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180"/>
        <w:spacing w:after="0"/>
        <w:rPr>
          <w:sz w:val="20"/>
          <w:szCs w:val="20"/>
          <w:color w:val="auto"/>
        </w:rPr>
      </w:pPr>
      <w:r>
        <w:rPr>
          <w:rFonts w:ascii="Arial" w:cs="Arial" w:eastAsia="Arial" w:hAnsi="Arial"/>
          <w:sz w:val="20"/>
          <w:szCs w:val="20"/>
          <w:b w:val="1"/>
          <w:bCs w:val="1"/>
          <w:color w:val="auto"/>
        </w:rPr>
        <w:t>UNITED STATES</w:t>
      </w:r>
    </w:p>
    <w:p>
      <w:pPr>
        <w:spacing w:after="0" w:line="24" w:lineRule="exact"/>
        <w:rPr>
          <w:sz w:val="24"/>
          <w:szCs w:val="24"/>
          <w:color w:val="auto"/>
        </w:rPr>
      </w:pPr>
    </w:p>
    <w:p>
      <w:pPr>
        <w:ind w:left="3520"/>
        <w:spacing w:after="0"/>
        <w:rPr>
          <w:sz w:val="20"/>
          <w:szCs w:val="20"/>
          <w:color w:val="auto"/>
        </w:rPr>
      </w:pPr>
      <w:r>
        <w:rPr>
          <w:rFonts w:ascii="Arial" w:cs="Arial" w:eastAsia="Arial" w:hAnsi="Arial"/>
          <w:sz w:val="20"/>
          <w:szCs w:val="20"/>
          <w:b w:val="1"/>
          <w:bCs w:val="1"/>
          <w:color w:val="auto"/>
        </w:rPr>
        <w:t>SECURITIES AND EXCHANGE COMMISSION</w:t>
      </w:r>
    </w:p>
    <w:p>
      <w:pPr>
        <w:spacing w:after="0" w:line="16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87"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197" w:lineRule="exact"/>
        <w:rPr>
          <w:sz w:val="24"/>
          <w:szCs w:val="24"/>
          <w:color w:val="auto"/>
        </w:rPr>
      </w:pPr>
    </w:p>
    <w:p>
      <w:pPr>
        <w:ind w:left="700" w:right="2440" w:hanging="550"/>
        <w:spacing w:after="0" w:line="357" w:lineRule="auto"/>
        <w:tabs>
          <w:tab w:leader="none" w:pos="484" w:val="left"/>
        </w:tabs>
        <w:numPr>
          <w:ilvl w:val="0"/>
          <w:numId w:val="1"/>
        </w:numPr>
        <w:rPr>
          <w:rFonts w:ascii="MS PGothic" w:cs="MS PGothic" w:eastAsia="MS PGothic" w:hAnsi="MS PGothic"/>
          <w:sz w:val="20"/>
          <w:szCs w:val="20"/>
          <w:color w:val="auto"/>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March 31, 2022</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27" w:lineRule="exact"/>
        <w:rPr>
          <w:sz w:val="24"/>
          <w:szCs w:val="24"/>
          <w:color w:val="auto"/>
        </w:rPr>
      </w:pPr>
    </w:p>
    <w:p>
      <w:pPr>
        <w:ind w:left="480" w:hanging="330"/>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4" w:lineRule="exact"/>
        <w:rPr>
          <w:sz w:val="24"/>
          <w:szCs w:val="24"/>
          <w:color w:val="auto"/>
        </w:rPr>
      </w:pPr>
    </w:p>
    <w:p>
      <w:pPr>
        <w:ind w:left="700"/>
        <w:spacing w:after="0"/>
        <w:tabs>
          <w:tab w:leader="none" w:pos="3700" w:val="left"/>
          <w:tab w:leader="none" w:pos="478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r>
        <w:rPr>
          <w:sz w:val="20"/>
          <w:szCs w:val="20"/>
          <w:color w:val="auto"/>
        </w:rPr>
        <w:tab/>
      </w:r>
      <w:r>
        <w:rPr>
          <w:rFonts w:ascii="Arial" w:cs="Arial" w:eastAsia="Arial" w:hAnsi="Arial"/>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1794510</wp:posOffset>
            </wp:positionH>
            <wp:positionV relativeFrom="paragraph">
              <wp:posOffset>-14605</wp:posOffset>
            </wp:positionV>
            <wp:extent cx="12573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27"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000-50600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2336800</wp:posOffset>
            </wp:positionH>
            <wp:positionV relativeFrom="paragraph">
              <wp:posOffset>168910</wp:posOffset>
            </wp:positionV>
            <wp:extent cx="2451735"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45173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Blackbaud,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sectPr>
      </w:pPr>
    </w:p>
    <w:p>
      <w:pPr>
        <w:spacing w:after="0" w:line="147" w:lineRule="exact"/>
        <w:rPr>
          <w:sz w:val="24"/>
          <w:szCs w:val="24"/>
          <w:color w:val="auto"/>
        </w:rPr>
      </w:pPr>
    </w:p>
    <w:p>
      <w:pPr>
        <w:ind w:left="2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11-2617163</w:t>
      </w:r>
    </w:p>
    <w:p>
      <w:pPr>
        <w:spacing w:after="0" w:line="79" w:lineRule="exact"/>
        <w:rPr>
          <w:sz w:val="24"/>
          <w:szCs w:val="24"/>
          <w:color w:val="auto"/>
        </w:rPr>
      </w:pPr>
    </w:p>
    <w:p>
      <w:pPr>
        <w:sectPr>
          <w:pgSz w:w="11900" w:h="16838" w:orient="portrait"/>
          <w:cols w:equalWidth="0" w:num="2">
            <w:col w:w="7320" w:space="720"/>
            <w:col w:w="3200"/>
          </w:cols>
          <w:pgMar w:left="320" w:top="922" w:right="339" w:bottom="1440" w:gutter="0" w:footer="0" w:header="0"/>
          <w:type w:val="continuous"/>
        </w:sectPr>
      </w:pPr>
    </w:p>
    <w:p>
      <w:pPr>
        <w:ind w:left="78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(I.R.S. Employer Identification No.)</w:t>
      </w:r>
    </w:p>
    <w:p>
      <w:pPr>
        <w:spacing w:after="0" w:line="107" w:lineRule="exact"/>
        <w:rPr>
          <w:sz w:val="24"/>
          <w:szCs w:val="24"/>
          <w:color w:val="auto"/>
        </w:rPr>
      </w:pPr>
    </w:p>
    <w:p>
      <w:pPr>
        <w:sectPr>
          <w:pgSz w:w="11900" w:h="16838" w:orient="portrait"/>
          <w:cols w:equalWidth="0" w:num="2">
            <w:col w:w="6520" w:space="720"/>
            <w:col w:w="4000"/>
          </w:cols>
          <w:pgMar w:left="320" w:top="922" w:right="339" w:bottom="1440" w:gutter="0" w:footer="0" w:header="0"/>
          <w:type w:val="continuous"/>
        </w:sectPr>
      </w:pPr>
    </w:p>
    <w:p>
      <w:pPr>
        <w:jc w:val="center"/>
        <w:spacing w:after="0"/>
        <w:rPr>
          <w:sz w:val="20"/>
          <w:szCs w:val="20"/>
          <w:color w:val="auto"/>
        </w:rPr>
      </w:pPr>
      <w:r>
        <w:rPr>
          <w:rFonts w:ascii="Arial" w:cs="Arial" w:eastAsia="Arial" w:hAnsi="Arial"/>
          <w:sz w:val="16"/>
          <w:szCs w:val="16"/>
          <w:b w:val="1"/>
          <w:bCs w:val="1"/>
          <w:color w:val="auto"/>
        </w:rPr>
        <w:t>65 Fairchild Street</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Charleston, South Carolina 29492</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(Address of principal executive offices, including zip code)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(843) 216-6200</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195"/>
        </w:trPr>
        <w:tc>
          <w:tcPr>
            <w:tcW w:w="4620" w:type="dxa"/>
            <w:vAlign w:val="bottom"/>
            <w:gridSpan w:val="3"/>
          </w:tcPr>
          <w:p>
            <w:pPr>
              <w:jc w:val="center"/>
              <w:ind w:right="380"/>
              <w:spacing w:after="0"/>
              <w:rPr>
                <w:sz w:val="20"/>
                <w:szCs w:val="20"/>
                <w:color w:val="auto"/>
              </w:rPr>
            </w:pPr>
            <w:r>
              <w:rPr>
                <w:rFonts w:ascii="Arial" w:cs="Arial" w:eastAsia="Arial" w:hAnsi="Arial"/>
                <w:sz w:val="16"/>
                <w:szCs w:val="16"/>
                <w:color w:val="auto"/>
              </w:rPr>
              <w:t>Securities Registered Pursuant to Section 12(b) of the Act:</w:t>
            </w:r>
          </w:p>
        </w:tc>
        <w:tc>
          <w:tcPr>
            <w:tcW w:w="4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9"/>
        </w:trPr>
        <w:tc>
          <w:tcPr>
            <w:tcW w:w="1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6"/>
                <w:szCs w:val="16"/>
                <w:color w:val="auto"/>
              </w:rPr>
              <w:t>Title of Each Class</w:t>
            </w:r>
          </w:p>
        </w:tc>
        <w:tc>
          <w:tcPr>
            <w:tcW w:w="1800" w:type="dxa"/>
            <w:vAlign w:val="bottom"/>
          </w:tcPr>
          <w:p>
            <w:pPr>
              <w:spacing w:after="0"/>
              <w:rPr>
                <w:sz w:val="18"/>
                <w:szCs w:val="18"/>
                <w:color w:val="auto"/>
              </w:rPr>
            </w:pPr>
          </w:p>
        </w:tc>
        <w:tc>
          <w:tcPr>
            <w:tcW w:w="1720" w:type="dxa"/>
            <w:vAlign w:val="bottom"/>
            <w:gridSpan w:val="2"/>
          </w:tcPr>
          <w:p>
            <w:pPr>
              <w:jc w:val="center"/>
              <w:ind w:left="319"/>
              <w:spacing w:after="0"/>
              <w:rPr>
                <w:sz w:val="20"/>
                <w:szCs w:val="20"/>
                <w:color w:val="auto"/>
              </w:rPr>
            </w:pPr>
            <w:r>
              <w:rPr>
                <w:rFonts w:ascii="Arial" w:cs="Arial" w:eastAsia="Arial" w:hAnsi="Arial"/>
                <w:sz w:val="16"/>
                <w:szCs w:val="16"/>
                <w:color w:val="auto"/>
              </w:rPr>
              <w:t>Trading Symbol(s)</w:t>
            </w:r>
          </w:p>
        </w:tc>
        <w:tc>
          <w:tcPr>
            <w:tcW w:w="1160" w:type="dxa"/>
            <w:vAlign w:val="bottom"/>
          </w:tcPr>
          <w:p>
            <w:pPr>
              <w:spacing w:after="0"/>
              <w:rPr>
                <w:sz w:val="18"/>
                <w:szCs w:val="18"/>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color w:val="auto"/>
              </w:rPr>
              <w:t>Name of Each Exchange on which Registered</w:t>
            </w:r>
          </w:p>
        </w:tc>
      </w:tr>
      <w:tr>
        <w:trPr>
          <w:trHeight w:val="20"/>
        </w:trPr>
        <w:tc>
          <w:tcPr>
            <w:tcW w:w="1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58"/>
        </w:trPr>
        <w:tc>
          <w:tcPr>
            <w:tcW w:w="46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rPr>
              <w:t>Common Stock, $0.001 Par Value</w:t>
            </w:r>
          </w:p>
        </w:tc>
        <w:tc>
          <w:tcPr>
            <w:tcW w:w="4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6"/>
                <w:szCs w:val="16"/>
                <w:b w:val="1"/>
                <w:bCs w:val="1"/>
                <w:color w:val="auto"/>
                <w:w w:val="98"/>
              </w:rPr>
              <w:t>BLKB</w:t>
            </w:r>
          </w:p>
        </w:tc>
        <w:tc>
          <w:tcPr>
            <w:tcW w:w="1160" w:type="dxa"/>
            <w:vAlign w:val="bottom"/>
          </w:tcPr>
          <w:p>
            <w:pPr>
              <w:spacing w:after="0"/>
              <w:rPr>
                <w:sz w:val="22"/>
                <w:szCs w:val="22"/>
                <w:color w:val="auto"/>
              </w:rPr>
            </w:pPr>
          </w:p>
        </w:tc>
        <w:tc>
          <w:tcPr>
            <w:tcW w:w="37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Nasdaq Global Select Market</w:t>
            </w:r>
          </w:p>
        </w:tc>
      </w:tr>
      <w:tr>
        <w:trPr>
          <w:trHeight w:val="73"/>
        </w:trPr>
        <w:tc>
          <w:tcPr>
            <w:tcW w:w="146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80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3320" w:type="dxa"/>
            <w:vAlign w:val="bottom"/>
            <w:tcBorders>
              <w:bottom w:val="single" w:sz="8" w:color="auto"/>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r>
    </w:tbl>
    <w:p>
      <w:pPr>
        <w:spacing w:after="0" w:line="200" w:lineRule="exact"/>
        <w:rPr>
          <w:sz w:val="24"/>
          <w:szCs w:val="24"/>
          <w:color w:val="auto"/>
        </w:rPr>
      </w:pPr>
    </w:p>
    <w:p>
      <w:pPr>
        <w:spacing w:after="0" w:line="288"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spacing w:after="0" w:line="219"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129" w:lineRule="exact"/>
        <w:rPr>
          <w:sz w:val="24"/>
          <w:szCs w:val="24"/>
          <w:color w:val="auto"/>
        </w:rPr>
      </w:pPr>
    </w:p>
    <w:p>
      <w:pPr>
        <w:jc w:val="both"/>
        <w:spacing w:after="0" w:line="242"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(Section 232.405 of this chapter) during the preceding 12 months (or for such shorter period that the registrant was required to submit such files).</w:t>
      </w:r>
    </w:p>
    <w:p>
      <w:pPr>
        <w:spacing w:after="0" w:line="219" w:lineRule="exact"/>
        <w:tabs>
          <w:tab w:leader="none" w:pos="680" w:val="left"/>
        </w:tabs>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ab/>
        <w:t xml:space="preserve">No </w:t>
      </w:r>
      <w:r>
        <w:rPr>
          <w:rFonts w:ascii="MS PGothic" w:cs="MS PGothic" w:eastAsia="MS PGothic" w:hAnsi="MS PGothic"/>
          <w:sz w:val="19"/>
          <w:szCs w:val="19"/>
          <w:color w:val="auto"/>
        </w:rPr>
        <w:t>☐</w:t>
      </w:r>
    </w:p>
    <w:p>
      <w:pPr>
        <w:spacing w:after="0" w:line="129" w:lineRule="exact"/>
        <w:rPr>
          <w:sz w:val="24"/>
          <w:szCs w:val="24"/>
          <w:color w:val="auto"/>
        </w:rPr>
      </w:pPr>
    </w:p>
    <w:p>
      <w:pPr>
        <w:jc w:val="both"/>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7"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120" w:type="dxa"/>
            <w:vAlign w:val="bottom"/>
          </w:tcPr>
          <w:p>
            <w:pPr>
              <w:ind w:left="2740"/>
              <w:spacing w:after="0"/>
              <w:rPr>
                <w:sz w:val="20"/>
                <w:szCs w:val="20"/>
                <w:color w:val="auto"/>
              </w:rPr>
            </w:pPr>
            <w:r>
              <w:rPr>
                <w:rFonts w:ascii="Arial" w:cs="Arial" w:eastAsia="Arial" w:hAnsi="Arial"/>
                <w:sz w:val="16"/>
                <w:szCs w:val="16"/>
                <w:color w:val="auto"/>
              </w:rPr>
              <w:t>Accelerated filer</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283"/>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3360" w:type="dxa"/>
            <w:vAlign w:val="bottom"/>
          </w:tcPr>
          <w:p>
            <w:pPr>
              <w:ind w:left="440"/>
              <w:spacing w:after="0" w:line="201" w:lineRule="exact"/>
              <w:rPr>
                <w:sz w:val="20"/>
                <w:szCs w:val="20"/>
                <w:color w:val="auto"/>
              </w:rPr>
            </w:pPr>
            <w:r>
              <w:rPr>
                <w:rFonts w:ascii="MS PGothic" w:cs="MS PGothic" w:eastAsia="MS PGothic" w:hAnsi="MS PGothic"/>
                <w:sz w:val="20"/>
                <w:szCs w:val="20"/>
                <w:color w:val="auto"/>
              </w:rPr>
              <w:t>☐</w:t>
            </w:r>
          </w:p>
        </w:tc>
        <w:tc>
          <w:tcPr>
            <w:tcW w:w="5120" w:type="dxa"/>
            <w:vAlign w:val="bottom"/>
          </w:tcPr>
          <w:p>
            <w:pPr>
              <w:ind w:left="2740"/>
              <w:spacing w:after="0"/>
              <w:rPr>
                <w:sz w:val="20"/>
                <w:szCs w:val="20"/>
                <w:color w:val="auto"/>
              </w:rPr>
            </w:pPr>
            <w:r>
              <w:rPr>
                <w:rFonts w:ascii="Arial" w:cs="Arial" w:eastAsia="Arial" w:hAnsi="Arial"/>
                <w:sz w:val="16"/>
                <w:szCs w:val="16"/>
                <w:color w:val="auto"/>
              </w:rPr>
              <w:t>Smaller reporting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r>
        <w:trPr>
          <w:trHeight w:val="310"/>
        </w:trPr>
        <w:tc>
          <w:tcPr>
            <w:tcW w:w="204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5120" w:type="dxa"/>
            <w:vAlign w:val="bottom"/>
          </w:tcPr>
          <w:p>
            <w:pPr>
              <w:ind w:left="2740"/>
              <w:spacing w:after="0"/>
              <w:rPr>
                <w:sz w:val="20"/>
                <w:szCs w:val="20"/>
                <w:color w:val="auto"/>
              </w:rPr>
            </w:pPr>
            <w:r>
              <w:rPr>
                <w:rFonts w:ascii="Arial" w:cs="Arial" w:eastAsia="Arial" w:hAnsi="Arial"/>
                <w:sz w:val="16"/>
                <w:szCs w:val="16"/>
                <w:color w:val="auto"/>
              </w:rPr>
              <w:t>Emerging growth company</w:t>
            </w:r>
          </w:p>
        </w:tc>
        <w:tc>
          <w:tcPr>
            <w:tcW w:w="620" w:type="dxa"/>
            <w:vAlign w:val="bottom"/>
          </w:tcPr>
          <w:p>
            <w:pPr>
              <w:ind w:left="440"/>
              <w:spacing w:after="0" w:line="201" w:lineRule="exact"/>
              <w:rPr>
                <w:sz w:val="20"/>
                <w:szCs w:val="20"/>
                <w:color w:val="auto"/>
              </w:rPr>
            </w:pPr>
            <w:r>
              <w:rPr>
                <w:rFonts w:ascii="MS PGothic" w:cs="MS PGothic" w:eastAsia="MS PGothic" w:hAnsi="MS PGothic"/>
                <w:sz w:val="20"/>
                <w:szCs w:val="20"/>
                <w:color w:val="auto"/>
                <w:w w:val="79"/>
              </w:rPr>
              <w:t>☐</w:t>
            </w:r>
          </w:p>
        </w:tc>
      </w:tr>
    </w:tbl>
    <w:p>
      <w:pPr>
        <w:spacing w:after="0" w:line="97" w:lineRule="exact"/>
        <w:rPr>
          <w:sz w:val="24"/>
          <w:szCs w:val="24"/>
          <w:color w:val="auto"/>
        </w:rPr>
      </w:pPr>
    </w:p>
    <w:p>
      <w:pPr>
        <w:ind w:right="20"/>
        <w:spacing w:after="0" w:line="22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9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registrant is a shell company (as defined in Rule 12b-2 of the Exchange Act).</w:t>
      </w:r>
    </w:p>
    <w:p>
      <w:pPr>
        <w:spacing w:after="0" w:line="8" w:lineRule="exact"/>
        <w:rPr>
          <w:sz w:val="24"/>
          <w:szCs w:val="24"/>
          <w:color w:val="auto"/>
        </w:rPr>
      </w:pPr>
    </w:p>
    <w:p>
      <w:pPr>
        <w:spacing w:after="0" w:line="219"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p>
    <w:p>
      <w:pPr>
        <w:spacing w:after="0" w:line="129"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outstanding as of May 2, 2022 was 52,943,047.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366395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40"/>
          <w:szCs w:val="40"/>
          <w:b w:val="1"/>
          <w:bCs w:val="1"/>
          <w:color w:val="50535A"/>
        </w:rPr>
        <w:t>TABLE OF CONTENTS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61"/>
        </w:trPr>
        <w:tc>
          <w:tcPr>
            <w:tcW w:w="9320" w:type="dxa"/>
            <w:vAlign w:val="bottom"/>
            <w:gridSpan w:val="2"/>
          </w:tcPr>
          <w:p>
            <w:pPr>
              <w:ind w:left="20"/>
              <w:spacing w:after="0"/>
              <w:rPr>
                <w:rFonts w:ascii="Arial" w:cs="Arial" w:eastAsia="Arial" w:hAnsi="Arial"/>
                <w:sz w:val="20"/>
                <w:szCs w:val="20"/>
                <w:b w:val="1"/>
                <w:bCs w:val="1"/>
                <w:color w:val="71BF43"/>
              </w:rPr>
            </w:pPr>
            <w:hyperlink w:anchor="page2">
              <w:r>
                <w:rPr>
                  <w:rFonts w:ascii="Arial" w:cs="Arial" w:eastAsia="Arial" w:hAnsi="Arial"/>
                  <w:sz w:val="20"/>
                  <w:szCs w:val="20"/>
                  <w:b w:val="1"/>
                  <w:bCs w:val="1"/>
                  <w:color w:val="71BF43"/>
                </w:rPr>
                <w:t>CAUTIONARY STATEMENT REGARDING FORWARD-LOOKING STATEMENTS</w:t>
              </w:r>
            </w:hyperlink>
          </w:p>
        </w:tc>
        <w:tc>
          <w:tcPr>
            <w:tcW w:w="1880" w:type="dxa"/>
            <w:vAlign w:val="bottom"/>
          </w:tcPr>
          <w:p>
            <w:pPr>
              <w:ind w:left="1420"/>
              <w:spacing w:after="0"/>
              <w:rPr>
                <w:rFonts w:ascii="Arial" w:cs="Arial" w:eastAsia="Arial" w:hAnsi="Arial"/>
                <w:sz w:val="20"/>
                <w:szCs w:val="20"/>
                <w:b w:val="1"/>
                <w:bCs w:val="1"/>
                <w:color w:val="71BF43"/>
              </w:rPr>
            </w:pPr>
            <w:hyperlink w:anchor="page2">
              <w:r>
                <w:rPr>
                  <w:rFonts w:ascii="Arial" w:cs="Arial" w:eastAsia="Arial" w:hAnsi="Arial"/>
                  <w:sz w:val="20"/>
                  <w:szCs w:val="20"/>
                  <w:b w:val="1"/>
                  <w:bCs w:val="1"/>
                  <w:color w:val="71BF43"/>
                </w:rPr>
                <w:t>2</w:t>
              </w:r>
            </w:hyperlink>
          </w:p>
        </w:tc>
      </w:tr>
      <w:tr>
        <w:trPr>
          <w:trHeight w:val="23"/>
        </w:trPr>
        <w:tc>
          <w:tcPr>
            <w:tcW w:w="940" w:type="dxa"/>
            <w:vAlign w:val="bottom"/>
            <w:tcBorders>
              <w:bottom w:val="single" w:sz="8" w:color="71BF43"/>
            </w:tcBorders>
          </w:tcPr>
          <w:p>
            <w:pPr>
              <w:spacing w:after="0"/>
              <w:rPr>
                <w:sz w:val="2"/>
                <w:szCs w:val="2"/>
                <w:color w:val="auto"/>
              </w:rPr>
            </w:pPr>
          </w:p>
        </w:tc>
        <w:tc>
          <w:tcPr>
            <w:tcW w:w="838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r>
      <w:tr>
        <w:trPr>
          <w:trHeight w:val="524"/>
        </w:trPr>
        <w:tc>
          <w:tcPr>
            <w:tcW w:w="940" w:type="dxa"/>
            <w:vAlign w:val="bottom"/>
          </w:tcPr>
          <w:p>
            <w:pPr>
              <w:ind w:left="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PART I.</w:t>
              </w:r>
            </w:hyperlink>
          </w:p>
        </w:tc>
        <w:tc>
          <w:tcPr>
            <w:tcW w:w="8380" w:type="dxa"/>
            <w:vAlign w:val="bottom"/>
          </w:tcPr>
          <w:p>
            <w:pPr>
              <w:ind w:left="14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FINANCIAL INFORMATION</w:t>
              </w:r>
            </w:hyperlink>
          </w:p>
        </w:tc>
        <w:tc>
          <w:tcPr>
            <w:tcW w:w="1880" w:type="dxa"/>
            <w:vAlign w:val="bottom"/>
          </w:tcPr>
          <w:p>
            <w:pPr>
              <w:ind w:left="1420"/>
              <w:spacing w:after="0"/>
              <w:rPr>
                <w:rFonts w:ascii="Arial" w:cs="Arial" w:eastAsia="Arial" w:hAnsi="Arial"/>
                <w:sz w:val="20"/>
                <w:szCs w:val="20"/>
                <w:b w:val="1"/>
                <w:bCs w:val="1"/>
                <w:color w:val="71BF43"/>
              </w:rPr>
            </w:pPr>
            <w:hyperlink w:anchor="page3">
              <w:r>
                <w:rPr>
                  <w:rFonts w:ascii="Arial" w:cs="Arial" w:eastAsia="Arial" w:hAnsi="Arial"/>
                  <w:sz w:val="20"/>
                  <w:szCs w:val="20"/>
                  <w:b w:val="1"/>
                  <w:bCs w:val="1"/>
                  <w:color w:val="71BF43"/>
                </w:rPr>
                <w:t>3</w:t>
              </w:r>
            </w:hyperlink>
          </w:p>
        </w:tc>
      </w:tr>
      <w:tr>
        <w:trPr>
          <w:trHeight w:val="23"/>
        </w:trPr>
        <w:tc>
          <w:tcPr>
            <w:tcW w:w="940" w:type="dxa"/>
            <w:vAlign w:val="bottom"/>
            <w:tcBorders>
              <w:bottom w:val="single" w:sz="8" w:color="71BF43"/>
            </w:tcBorders>
          </w:tcPr>
          <w:p>
            <w:pPr>
              <w:spacing w:after="0"/>
              <w:rPr>
                <w:sz w:val="2"/>
                <w:szCs w:val="2"/>
                <w:color w:val="auto"/>
              </w:rPr>
            </w:pPr>
          </w:p>
        </w:tc>
        <w:tc>
          <w:tcPr>
            <w:tcW w:w="838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r>
      <w:tr>
        <w:trPr>
          <w:trHeight w:val="331"/>
        </w:trPr>
        <w:tc>
          <w:tcPr>
            <w:tcW w:w="94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Item 1.</w:t>
              </w:r>
            </w:hyperlink>
          </w:p>
        </w:tc>
        <w:tc>
          <w:tcPr>
            <w:tcW w:w="8380" w:type="dxa"/>
            <w:vAlign w:val="bottom"/>
          </w:tcPr>
          <w:p>
            <w:pPr>
              <w:ind w:left="140"/>
              <w:spacing w:after="0"/>
              <w:rPr>
                <w:rFonts w:ascii="Arial" w:cs="Arial" w:eastAsia="Arial" w:hAnsi="Arial"/>
                <w:sz w:val="18"/>
                <w:szCs w:val="18"/>
                <w:color w:val="auto"/>
              </w:rPr>
            </w:pPr>
            <w:hyperlink w:anchor="page4">
              <w:r>
                <w:rPr>
                  <w:rFonts w:ascii="Arial" w:cs="Arial" w:eastAsia="Arial" w:hAnsi="Arial"/>
                  <w:sz w:val="18"/>
                  <w:szCs w:val="18"/>
                  <w:color w:val="auto"/>
                </w:rPr>
                <w:t>Financial statements</w:t>
              </w:r>
            </w:hyperlink>
          </w:p>
        </w:tc>
        <w:tc>
          <w:tcPr>
            <w:tcW w:w="1880" w:type="dxa"/>
            <w:vAlign w:val="bottom"/>
          </w:tcPr>
          <w:p>
            <w:pPr>
              <w:spacing w:after="0"/>
              <w:rPr>
                <w:sz w:val="24"/>
                <w:szCs w:val="24"/>
                <w:color w:val="auto"/>
              </w:rPr>
            </w:pPr>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Balance Sheets (Unaudited)</w:t>
              </w:r>
            </w:hyperlink>
          </w:p>
        </w:tc>
        <w:tc>
          <w:tcPr>
            <w:tcW w:w="1880" w:type="dxa"/>
            <w:vAlign w:val="bottom"/>
          </w:tcPr>
          <w:p>
            <w:pPr>
              <w:ind w:left="1420"/>
              <w:spacing w:after="0"/>
              <w:rPr>
                <w:rFonts w:ascii="Arial" w:cs="Arial" w:eastAsia="Arial" w:hAnsi="Arial"/>
                <w:sz w:val="18"/>
                <w:szCs w:val="18"/>
                <w:color w:val="auto"/>
              </w:rPr>
            </w:pPr>
            <w:hyperlink w:anchor="page4">
              <w:r>
                <w:rPr>
                  <w:rFonts w:ascii="Arial" w:cs="Arial" w:eastAsia="Arial" w:hAnsi="Arial"/>
                  <w:sz w:val="18"/>
                  <w:szCs w:val="18"/>
                  <w:color w:val="auto"/>
                </w:rPr>
                <w:t>3</w:t>
              </w:r>
            </w:hyperlink>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Statements of Comprehensive Income (Unaudited)</w:t>
              </w:r>
            </w:hyperlink>
          </w:p>
        </w:tc>
        <w:tc>
          <w:tcPr>
            <w:tcW w:w="1880" w:type="dxa"/>
            <w:vAlign w:val="bottom"/>
          </w:tcPr>
          <w:p>
            <w:pPr>
              <w:ind w:left="1420"/>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Cash Flows (Unaudited)</w:t>
              </w:r>
            </w:hyperlink>
          </w:p>
        </w:tc>
        <w:tc>
          <w:tcPr>
            <w:tcW w:w="1880" w:type="dxa"/>
            <w:vAlign w:val="bottom"/>
          </w:tcPr>
          <w:p>
            <w:pPr>
              <w:ind w:left="1420"/>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Stockholders’ Equity (Unaudited)</w:t>
              </w:r>
            </w:hyperlink>
          </w:p>
        </w:tc>
        <w:tc>
          <w:tcPr>
            <w:tcW w:w="1880" w:type="dxa"/>
            <w:vAlign w:val="bottom"/>
          </w:tcPr>
          <w:p>
            <w:pPr>
              <w:ind w:left="1420"/>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324"/>
        </w:trPr>
        <w:tc>
          <w:tcPr>
            <w:tcW w:w="940" w:type="dxa"/>
            <w:vAlign w:val="bottom"/>
          </w:tcPr>
          <w:p>
            <w:pPr>
              <w:spacing w:after="0"/>
              <w:rPr>
                <w:sz w:val="24"/>
                <w:szCs w:val="24"/>
                <w:color w:val="auto"/>
              </w:rPr>
            </w:pPr>
          </w:p>
        </w:tc>
        <w:tc>
          <w:tcPr>
            <w:tcW w:w="8380" w:type="dxa"/>
            <w:vAlign w:val="bottom"/>
          </w:tcPr>
          <w:p>
            <w:pPr>
              <w:ind w:left="340"/>
              <w:spacing w:after="0"/>
              <w:rPr>
                <w:rFonts w:ascii="Arial" w:cs="Arial" w:eastAsia="Arial" w:hAnsi="Arial"/>
                <w:sz w:val="18"/>
                <w:szCs w:val="18"/>
                <w:color w:val="auto"/>
              </w:rPr>
            </w:pPr>
            <w:hyperlink w:anchor="page7">
              <w:r>
                <w:rPr>
                  <w:rFonts w:ascii="Arial" w:cs="Arial" w:eastAsia="Arial" w:hAnsi="Arial"/>
                  <w:sz w:val="18"/>
                  <w:szCs w:val="18"/>
                  <w:color w:val="auto"/>
                </w:rPr>
                <w:t>Notes to Condensed Consolidated Financial Statements (Unaudited)</w:t>
              </w:r>
            </w:hyperlink>
          </w:p>
        </w:tc>
        <w:tc>
          <w:tcPr>
            <w:tcW w:w="1880" w:type="dxa"/>
            <w:vAlign w:val="bottom"/>
          </w:tcPr>
          <w:p>
            <w:pPr>
              <w:ind w:left="1420"/>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22">
              <w:r>
                <w:rPr>
                  <w:rFonts w:ascii="Arial" w:cs="Arial" w:eastAsia="Arial" w:hAnsi="Arial"/>
                  <w:sz w:val="18"/>
                  <w:szCs w:val="18"/>
                  <w:color w:val="auto"/>
                </w:rPr>
                <w:t>Item 2.</w:t>
              </w:r>
            </w:hyperlink>
          </w:p>
        </w:tc>
        <w:tc>
          <w:tcPr>
            <w:tcW w:w="8380" w:type="dxa"/>
            <w:vAlign w:val="bottom"/>
          </w:tcPr>
          <w:p>
            <w:pPr>
              <w:ind w:left="140"/>
              <w:spacing w:after="0"/>
              <w:rPr>
                <w:rFonts w:ascii="Arial" w:cs="Arial" w:eastAsia="Arial" w:hAnsi="Arial"/>
                <w:sz w:val="18"/>
                <w:szCs w:val="18"/>
                <w:color w:val="auto"/>
              </w:rPr>
            </w:pPr>
            <w:hyperlink w:anchor="page22">
              <w:r>
                <w:rPr>
                  <w:rFonts w:ascii="Arial" w:cs="Arial" w:eastAsia="Arial" w:hAnsi="Arial"/>
                  <w:sz w:val="18"/>
                  <w:szCs w:val="18"/>
                  <w:color w:val="auto"/>
                </w:rPr>
                <w:t>Management's discussion and analysis of financial condition and results of operations</w:t>
              </w:r>
            </w:hyperlink>
          </w:p>
        </w:tc>
        <w:tc>
          <w:tcPr>
            <w:tcW w:w="1880" w:type="dxa"/>
            <w:vAlign w:val="bottom"/>
          </w:tcPr>
          <w:p>
            <w:pPr>
              <w:ind w:left="1420"/>
              <w:spacing w:after="0"/>
              <w:rPr>
                <w:rFonts w:ascii="Arial" w:cs="Arial" w:eastAsia="Arial" w:hAnsi="Arial"/>
                <w:sz w:val="18"/>
                <w:szCs w:val="18"/>
                <w:color w:val="auto"/>
              </w:rPr>
            </w:pPr>
            <w:hyperlink w:anchor="page22">
              <w:r>
                <w:rPr>
                  <w:rFonts w:ascii="Arial" w:cs="Arial" w:eastAsia="Arial" w:hAnsi="Arial"/>
                  <w:sz w:val="18"/>
                  <w:szCs w:val="18"/>
                  <w:color w:val="auto"/>
                </w:rPr>
                <w:t>22</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2">
              <w:r>
                <w:rPr>
                  <w:rFonts w:ascii="Arial" w:cs="Arial" w:eastAsia="Arial" w:hAnsi="Arial"/>
                  <w:sz w:val="18"/>
                  <w:szCs w:val="18"/>
                  <w:color w:val="auto"/>
                </w:rPr>
                <w:t>Item 3.</w:t>
              </w:r>
            </w:hyperlink>
          </w:p>
        </w:tc>
        <w:tc>
          <w:tcPr>
            <w:tcW w:w="8380" w:type="dxa"/>
            <w:vAlign w:val="bottom"/>
          </w:tcPr>
          <w:p>
            <w:pPr>
              <w:ind w:left="140"/>
              <w:spacing w:after="0"/>
              <w:rPr>
                <w:rFonts w:ascii="Arial" w:cs="Arial" w:eastAsia="Arial" w:hAnsi="Arial"/>
                <w:sz w:val="18"/>
                <w:szCs w:val="18"/>
                <w:color w:val="auto"/>
              </w:rPr>
            </w:pPr>
            <w:hyperlink w:anchor="page42">
              <w:r>
                <w:rPr>
                  <w:rFonts w:ascii="Arial" w:cs="Arial" w:eastAsia="Arial" w:hAnsi="Arial"/>
                  <w:sz w:val="18"/>
                  <w:szCs w:val="18"/>
                  <w:color w:val="auto"/>
                </w:rPr>
                <w:t>Quantitative and qualitative disclosures about market risk</w:t>
              </w:r>
            </w:hyperlink>
          </w:p>
        </w:tc>
        <w:tc>
          <w:tcPr>
            <w:tcW w:w="1880" w:type="dxa"/>
            <w:vAlign w:val="bottom"/>
          </w:tcPr>
          <w:p>
            <w:pPr>
              <w:ind w:left="1420"/>
              <w:spacing w:after="0"/>
              <w:rPr>
                <w:rFonts w:ascii="Arial" w:cs="Arial" w:eastAsia="Arial" w:hAnsi="Arial"/>
                <w:sz w:val="18"/>
                <w:szCs w:val="18"/>
                <w:color w:val="auto"/>
              </w:rPr>
            </w:pPr>
            <w:hyperlink w:anchor="page42">
              <w:r>
                <w:rPr>
                  <w:rFonts w:ascii="Arial" w:cs="Arial" w:eastAsia="Arial" w:hAnsi="Arial"/>
                  <w:sz w:val="18"/>
                  <w:szCs w:val="18"/>
                  <w:color w:val="auto"/>
                </w:rPr>
                <w:t>42</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3">
              <w:r>
                <w:rPr>
                  <w:rFonts w:ascii="Arial" w:cs="Arial" w:eastAsia="Arial" w:hAnsi="Arial"/>
                  <w:sz w:val="18"/>
                  <w:szCs w:val="18"/>
                  <w:color w:val="auto"/>
                </w:rPr>
                <w:t>Item 4.</w:t>
              </w:r>
            </w:hyperlink>
          </w:p>
        </w:tc>
        <w:tc>
          <w:tcPr>
            <w:tcW w:w="8380" w:type="dxa"/>
            <w:vAlign w:val="bottom"/>
          </w:tcPr>
          <w:p>
            <w:pPr>
              <w:ind w:left="140"/>
              <w:spacing w:after="0"/>
              <w:rPr>
                <w:rFonts w:ascii="Arial" w:cs="Arial" w:eastAsia="Arial" w:hAnsi="Arial"/>
                <w:sz w:val="18"/>
                <w:szCs w:val="18"/>
                <w:color w:val="auto"/>
              </w:rPr>
            </w:pPr>
            <w:hyperlink w:anchor="page43">
              <w:r>
                <w:rPr>
                  <w:rFonts w:ascii="Arial" w:cs="Arial" w:eastAsia="Arial" w:hAnsi="Arial"/>
                  <w:sz w:val="18"/>
                  <w:szCs w:val="18"/>
                  <w:color w:val="auto"/>
                </w:rPr>
                <w:t>Controls and procedures</w:t>
              </w:r>
            </w:hyperlink>
          </w:p>
        </w:tc>
        <w:tc>
          <w:tcPr>
            <w:tcW w:w="1880" w:type="dxa"/>
            <w:vAlign w:val="bottom"/>
          </w:tcPr>
          <w:p>
            <w:pPr>
              <w:ind w:left="1420"/>
              <w:spacing w:after="0"/>
              <w:rPr>
                <w:rFonts w:ascii="Arial" w:cs="Arial" w:eastAsia="Arial" w:hAnsi="Arial"/>
                <w:sz w:val="18"/>
                <w:szCs w:val="18"/>
                <w:color w:val="auto"/>
              </w:rPr>
            </w:pPr>
            <w:hyperlink w:anchor="page43">
              <w:r>
                <w:rPr>
                  <w:rFonts w:ascii="Arial" w:cs="Arial" w:eastAsia="Arial" w:hAnsi="Arial"/>
                  <w:sz w:val="18"/>
                  <w:szCs w:val="18"/>
                  <w:color w:val="auto"/>
                </w:rPr>
                <w:t>42</w:t>
              </w:r>
            </w:hyperlink>
          </w:p>
        </w:tc>
      </w:tr>
      <w:tr>
        <w:trPr>
          <w:trHeight w:val="558"/>
        </w:trPr>
        <w:tc>
          <w:tcPr>
            <w:tcW w:w="940" w:type="dxa"/>
            <w:vAlign w:val="bottom"/>
          </w:tcPr>
          <w:p>
            <w:pPr>
              <w:ind w:left="20"/>
              <w:spacing w:after="0"/>
              <w:rPr>
                <w:rFonts w:ascii="Arial" w:cs="Arial" w:eastAsia="Arial" w:hAnsi="Arial"/>
                <w:sz w:val="20"/>
                <w:szCs w:val="20"/>
                <w:b w:val="1"/>
                <w:bCs w:val="1"/>
                <w:color w:val="71BF43"/>
              </w:rPr>
            </w:pPr>
            <w:hyperlink w:anchor="page43">
              <w:r>
                <w:rPr>
                  <w:rFonts w:ascii="Arial" w:cs="Arial" w:eastAsia="Arial" w:hAnsi="Arial"/>
                  <w:sz w:val="20"/>
                  <w:szCs w:val="20"/>
                  <w:b w:val="1"/>
                  <w:bCs w:val="1"/>
                  <w:color w:val="71BF43"/>
                </w:rPr>
                <w:t>PART II.</w:t>
              </w:r>
            </w:hyperlink>
          </w:p>
        </w:tc>
        <w:tc>
          <w:tcPr>
            <w:tcW w:w="8380" w:type="dxa"/>
            <w:vAlign w:val="bottom"/>
          </w:tcPr>
          <w:p>
            <w:pPr>
              <w:ind w:left="140"/>
              <w:spacing w:after="0"/>
              <w:rPr>
                <w:rFonts w:ascii="Arial" w:cs="Arial" w:eastAsia="Arial" w:hAnsi="Arial"/>
                <w:sz w:val="20"/>
                <w:szCs w:val="20"/>
                <w:b w:val="1"/>
                <w:bCs w:val="1"/>
                <w:color w:val="71BF43"/>
              </w:rPr>
            </w:pPr>
            <w:hyperlink w:anchor="page43">
              <w:r>
                <w:rPr>
                  <w:rFonts w:ascii="Arial" w:cs="Arial" w:eastAsia="Arial" w:hAnsi="Arial"/>
                  <w:sz w:val="20"/>
                  <w:szCs w:val="20"/>
                  <w:b w:val="1"/>
                  <w:bCs w:val="1"/>
                  <w:color w:val="71BF43"/>
                </w:rPr>
                <w:t>OTHER INFORMATION</w:t>
              </w:r>
            </w:hyperlink>
          </w:p>
        </w:tc>
        <w:tc>
          <w:tcPr>
            <w:tcW w:w="1880" w:type="dxa"/>
            <w:vAlign w:val="bottom"/>
          </w:tcPr>
          <w:p>
            <w:pPr>
              <w:ind w:left="1420"/>
              <w:spacing w:after="0"/>
              <w:rPr>
                <w:rFonts w:ascii="Arial" w:cs="Arial" w:eastAsia="Arial" w:hAnsi="Arial"/>
                <w:sz w:val="20"/>
                <w:szCs w:val="20"/>
                <w:b w:val="1"/>
                <w:bCs w:val="1"/>
                <w:color w:val="71BF43"/>
              </w:rPr>
            </w:pPr>
            <w:hyperlink w:anchor="page43">
              <w:r>
                <w:rPr>
                  <w:rFonts w:ascii="Arial" w:cs="Arial" w:eastAsia="Arial" w:hAnsi="Arial"/>
                  <w:sz w:val="20"/>
                  <w:szCs w:val="20"/>
                  <w:b w:val="1"/>
                  <w:bCs w:val="1"/>
                  <w:color w:val="71BF43"/>
                </w:rPr>
                <w:t>43</w:t>
              </w:r>
            </w:hyperlink>
          </w:p>
        </w:tc>
      </w:tr>
      <w:tr>
        <w:trPr>
          <w:trHeight w:val="23"/>
        </w:trPr>
        <w:tc>
          <w:tcPr>
            <w:tcW w:w="940" w:type="dxa"/>
            <w:vAlign w:val="bottom"/>
            <w:tcBorders>
              <w:bottom w:val="single" w:sz="8" w:color="71BF43"/>
            </w:tcBorders>
          </w:tcPr>
          <w:p>
            <w:pPr>
              <w:spacing w:after="0"/>
              <w:rPr>
                <w:sz w:val="2"/>
                <w:szCs w:val="2"/>
                <w:color w:val="auto"/>
              </w:rPr>
            </w:pPr>
          </w:p>
        </w:tc>
        <w:tc>
          <w:tcPr>
            <w:tcW w:w="838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r>
      <w:tr>
        <w:trPr>
          <w:trHeight w:val="331"/>
        </w:trPr>
        <w:tc>
          <w:tcPr>
            <w:tcW w:w="940" w:type="dxa"/>
            <w:vAlign w:val="bottom"/>
          </w:tcPr>
          <w:p>
            <w:pPr>
              <w:ind w:left="140"/>
              <w:spacing w:after="0"/>
              <w:rPr>
                <w:rFonts w:ascii="Arial" w:cs="Arial" w:eastAsia="Arial" w:hAnsi="Arial"/>
                <w:sz w:val="18"/>
                <w:szCs w:val="18"/>
                <w:color w:val="auto"/>
              </w:rPr>
            </w:pPr>
            <w:hyperlink w:anchor="page44">
              <w:r>
                <w:rPr>
                  <w:rFonts w:ascii="Arial" w:cs="Arial" w:eastAsia="Arial" w:hAnsi="Arial"/>
                  <w:sz w:val="18"/>
                  <w:szCs w:val="18"/>
                  <w:color w:val="auto"/>
                </w:rPr>
                <w:t>Item 1.</w:t>
              </w:r>
            </w:hyperlink>
          </w:p>
        </w:tc>
        <w:tc>
          <w:tcPr>
            <w:tcW w:w="8380" w:type="dxa"/>
            <w:vAlign w:val="bottom"/>
          </w:tcPr>
          <w:p>
            <w:pPr>
              <w:ind w:left="140"/>
              <w:spacing w:after="0"/>
              <w:rPr>
                <w:rFonts w:ascii="Arial" w:cs="Arial" w:eastAsia="Arial" w:hAnsi="Arial"/>
                <w:sz w:val="18"/>
                <w:szCs w:val="18"/>
                <w:color w:val="auto"/>
              </w:rPr>
            </w:pPr>
            <w:hyperlink w:anchor="page44">
              <w:r>
                <w:rPr>
                  <w:rFonts w:ascii="Arial" w:cs="Arial" w:eastAsia="Arial" w:hAnsi="Arial"/>
                  <w:sz w:val="18"/>
                  <w:szCs w:val="18"/>
                  <w:color w:val="auto"/>
                </w:rPr>
                <w:t>Legal proceedings</w:t>
              </w:r>
            </w:hyperlink>
          </w:p>
        </w:tc>
        <w:tc>
          <w:tcPr>
            <w:tcW w:w="1880" w:type="dxa"/>
            <w:vAlign w:val="bottom"/>
          </w:tcPr>
          <w:p>
            <w:pPr>
              <w:ind w:left="1420"/>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4">
              <w:r>
                <w:rPr>
                  <w:rFonts w:ascii="Arial" w:cs="Arial" w:eastAsia="Arial" w:hAnsi="Arial"/>
                  <w:sz w:val="18"/>
                  <w:szCs w:val="18"/>
                  <w:color w:val="auto"/>
                </w:rPr>
                <w:t>Item 1A.</w:t>
              </w:r>
            </w:hyperlink>
          </w:p>
        </w:tc>
        <w:tc>
          <w:tcPr>
            <w:tcW w:w="8380" w:type="dxa"/>
            <w:vAlign w:val="bottom"/>
          </w:tcPr>
          <w:p>
            <w:pPr>
              <w:ind w:left="140"/>
              <w:spacing w:after="0"/>
              <w:rPr>
                <w:rFonts w:ascii="Arial" w:cs="Arial" w:eastAsia="Arial" w:hAnsi="Arial"/>
                <w:sz w:val="18"/>
                <w:szCs w:val="18"/>
                <w:color w:val="auto"/>
              </w:rPr>
            </w:pPr>
            <w:hyperlink w:anchor="page44">
              <w:r>
                <w:rPr>
                  <w:rFonts w:ascii="Arial" w:cs="Arial" w:eastAsia="Arial" w:hAnsi="Arial"/>
                  <w:sz w:val="18"/>
                  <w:szCs w:val="18"/>
                  <w:color w:val="auto"/>
                </w:rPr>
                <w:t>Risk factors</w:t>
              </w:r>
            </w:hyperlink>
          </w:p>
        </w:tc>
        <w:tc>
          <w:tcPr>
            <w:tcW w:w="1880" w:type="dxa"/>
            <w:vAlign w:val="bottom"/>
          </w:tcPr>
          <w:p>
            <w:pPr>
              <w:ind w:left="1420"/>
              <w:spacing w:after="0"/>
              <w:rPr>
                <w:rFonts w:ascii="Arial" w:cs="Arial" w:eastAsia="Arial" w:hAnsi="Arial"/>
                <w:sz w:val="18"/>
                <w:szCs w:val="18"/>
                <w:color w:val="auto"/>
              </w:rPr>
            </w:pPr>
            <w:hyperlink w:anchor="page44">
              <w:r>
                <w:rPr>
                  <w:rFonts w:ascii="Arial" w:cs="Arial" w:eastAsia="Arial" w:hAnsi="Arial"/>
                  <w:sz w:val="18"/>
                  <w:szCs w:val="18"/>
                  <w:color w:val="auto"/>
                </w:rPr>
                <w:t>43</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Item 2.</w:t>
              </w:r>
            </w:hyperlink>
          </w:p>
        </w:tc>
        <w:tc>
          <w:tcPr>
            <w:tcW w:w="8380" w:type="dxa"/>
            <w:vAlign w:val="bottom"/>
          </w:tcPr>
          <w:p>
            <w:pPr>
              <w:ind w:left="140"/>
              <w:spacing w:after="0"/>
              <w:rPr>
                <w:rFonts w:ascii="Arial" w:cs="Arial" w:eastAsia="Arial" w:hAnsi="Arial"/>
                <w:sz w:val="18"/>
                <w:szCs w:val="18"/>
                <w:color w:val="auto"/>
              </w:rPr>
            </w:pPr>
            <w:hyperlink w:anchor="page45">
              <w:r>
                <w:rPr>
                  <w:rFonts w:ascii="Arial" w:cs="Arial" w:eastAsia="Arial" w:hAnsi="Arial"/>
                  <w:sz w:val="18"/>
                  <w:szCs w:val="18"/>
                  <w:color w:val="auto"/>
                </w:rPr>
                <w:t>Unregistered sales of equity securities and use of proceeds</w:t>
              </w:r>
            </w:hyperlink>
          </w:p>
        </w:tc>
        <w:tc>
          <w:tcPr>
            <w:tcW w:w="1880" w:type="dxa"/>
            <w:vAlign w:val="bottom"/>
          </w:tcPr>
          <w:p>
            <w:pPr>
              <w:ind w:left="1420"/>
              <w:spacing w:after="0"/>
              <w:rPr>
                <w:rFonts w:ascii="Arial" w:cs="Arial" w:eastAsia="Arial" w:hAnsi="Arial"/>
                <w:sz w:val="18"/>
                <w:szCs w:val="18"/>
                <w:color w:val="auto"/>
              </w:rPr>
            </w:pPr>
            <w:hyperlink w:anchor="page45">
              <w:r>
                <w:rPr>
                  <w:rFonts w:ascii="Arial" w:cs="Arial" w:eastAsia="Arial" w:hAnsi="Arial"/>
                  <w:sz w:val="18"/>
                  <w:szCs w:val="18"/>
                  <w:color w:val="auto"/>
                </w:rPr>
                <w:t>45</w:t>
              </w:r>
            </w:hyperlink>
          </w:p>
        </w:tc>
      </w:tr>
      <w:tr>
        <w:trPr>
          <w:trHeight w:val="324"/>
        </w:trPr>
        <w:tc>
          <w:tcPr>
            <w:tcW w:w="94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Item 6.</w:t>
              </w:r>
            </w:hyperlink>
          </w:p>
        </w:tc>
        <w:tc>
          <w:tcPr>
            <w:tcW w:w="8380" w:type="dxa"/>
            <w:vAlign w:val="bottom"/>
          </w:tcPr>
          <w:p>
            <w:pPr>
              <w:ind w:left="140"/>
              <w:spacing w:after="0"/>
              <w:rPr>
                <w:rFonts w:ascii="Arial" w:cs="Arial" w:eastAsia="Arial" w:hAnsi="Arial"/>
                <w:sz w:val="18"/>
                <w:szCs w:val="18"/>
                <w:color w:val="auto"/>
              </w:rPr>
            </w:pPr>
            <w:hyperlink w:anchor="page46">
              <w:r>
                <w:rPr>
                  <w:rFonts w:ascii="Arial" w:cs="Arial" w:eastAsia="Arial" w:hAnsi="Arial"/>
                  <w:sz w:val="18"/>
                  <w:szCs w:val="18"/>
                  <w:color w:val="auto"/>
                </w:rPr>
                <w:t>Exhibits</w:t>
              </w:r>
            </w:hyperlink>
          </w:p>
        </w:tc>
        <w:tc>
          <w:tcPr>
            <w:tcW w:w="1880" w:type="dxa"/>
            <w:vAlign w:val="bottom"/>
          </w:tcPr>
          <w:p>
            <w:pPr>
              <w:ind w:left="1420"/>
              <w:spacing w:after="0"/>
              <w:rPr>
                <w:rFonts w:ascii="Arial" w:cs="Arial" w:eastAsia="Arial" w:hAnsi="Arial"/>
                <w:sz w:val="18"/>
                <w:szCs w:val="18"/>
                <w:color w:val="auto"/>
              </w:rPr>
            </w:pPr>
            <w:hyperlink w:anchor="page46">
              <w:r>
                <w:rPr>
                  <w:rFonts w:ascii="Arial" w:cs="Arial" w:eastAsia="Arial" w:hAnsi="Arial"/>
                  <w:sz w:val="18"/>
                  <w:szCs w:val="18"/>
                  <w:color w:val="auto"/>
                </w:rPr>
                <w:t>46</w:t>
              </w:r>
            </w:hyperlink>
          </w:p>
        </w:tc>
      </w:tr>
      <w:tr>
        <w:trPr>
          <w:trHeight w:val="557"/>
        </w:trPr>
        <w:tc>
          <w:tcPr>
            <w:tcW w:w="9320" w:type="dxa"/>
            <w:vAlign w:val="bottom"/>
            <w:gridSpan w:val="2"/>
          </w:tcPr>
          <w:p>
            <w:pPr>
              <w:ind w:left="20"/>
              <w:spacing w:after="0"/>
              <w:rPr>
                <w:rFonts w:ascii="Arial" w:cs="Arial" w:eastAsia="Arial" w:hAnsi="Arial"/>
                <w:sz w:val="20"/>
                <w:szCs w:val="20"/>
                <w:b w:val="1"/>
                <w:bCs w:val="1"/>
                <w:color w:val="71BF43"/>
              </w:rPr>
            </w:pPr>
            <w:hyperlink w:anchor="page47">
              <w:r>
                <w:rPr>
                  <w:rFonts w:ascii="Arial" w:cs="Arial" w:eastAsia="Arial" w:hAnsi="Arial"/>
                  <w:sz w:val="20"/>
                  <w:szCs w:val="20"/>
                  <w:b w:val="1"/>
                  <w:bCs w:val="1"/>
                  <w:color w:val="71BF43"/>
                </w:rPr>
                <w:t>SIGNATURES</w:t>
              </w:r>
            </w:hyperlink>
          </w:p>
        </w:tc>
        <w:tc>
          <w:tcPr>
            <w:tcW w:w="1880" w:type="dxa"/>
            <w:vAlign w:val="bottom"/>
          </w:tcPr>
          <w:p>
            <w:pPr>
              <w:ind w:left="1420"/>
              <w:spacing w:after="0"/>
              <w:rPr>
                <w:rFonts w:ascii="Arial" w:cs="Arial" w:eastAsia="Arial" w:hAnsi="Arial"/>
                <w:sz w:val="20"/>
                <w:szCs w:val="20"/>
                <w:b w:val="1"/>
                <w:bCs w:val="1"/>
                <w:color w:val="71BF43"/>
              </w:rPr>
            </w:pPr>
            <w:hyperlink w:anchor="page47">
              <w:r>
                <w:rPr>
                  <w:rFonts w:ascii="Arial" w:cs="Arial" w:eastAsia="Arial" w:hAnsi="Arial"/>
                  <w:sz w:val="20"/>
                  <w:szCs w:val="20"/>
                  <w:b w:val="1"/>
                  <w:bCs w:val="1"/>
                  <w:color w:val="71BF43"/>
                </w:rPr>
                <w:t>47</w:t>
              </w:r>
            </w:hyperlink>
          </w:p>
        </w:tc>
      </w:tr>
      <w:tr>
        <w:trPr>
          <w:trHeight w:val="23"/>
        </w:trPr>
        <w:tc>
          <w:tcPr>
            <w:tcW w:w="940" w:type="dxa"/>
            <w:vAlign w:val="bottom"/>
            <w:tcBorders>
              <w:bottom w:val="single" w:sz="8" w:color="71BF43"/>
            </w:tcBorders>
          </w:tcPr>
          <w:p>
            <w:pPr>
              <w:spacing w:after="0"/>
              <w:rPr>
                <w:sz w:val="2"/>
                <w:szCs w:val="2"/>
                <w:color w:val="auto"/>
              </w:rPr>
            </w:pPr>
          </w:p>
        </w:tc>
        <w:tc>
          <w:tcPr>
            <w:tcW w:w="8380" w:type="dxa"/>
            <w:vAlign w:val="bottom"/>
            <w:tcBorders>
              <w:bottom w:val="single" w:sz="8" w:color="71BF43"/>
            </w:tcBorders>
          </w:tcPr>
          <w:p>
            <w:pPr>
              <w:spacing w:after="0"/>
              <w:rPr>
                <w:sz w:val="2"/>
                <w:szCs w:val="2"/>
                <w:color w:val="auto"/>
              </w:rPr>
            </w:pPr>
          </w:p>
        </w:tc>
        <w:tc>
          <w:tcPr>
            <w:tcW w:w="1880" w:type="dxa"/>
            <w:vAlign w:val="bottom"/>
            <w:tcBorders>
              <w:bottom w:val="single" w:sz="8" w:color="71BF43"/>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796925</wp:posOffset>
            </wp:positionV>
            <wp:extent cx="67691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330"/>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1" w:right="33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680" w:right="640"/>
        <w:spacing w:after="0" w:line="281" w:lineRule="auto"/>
        <w:rPr>
          <w:sz w:val="20"/>
          <w:szCs w:val="20"/>
          <w:color w:val="auto"/>
        </w:rPr>
      </w:pPr>
      <w:r>
        <w:rPr>
          <w:rFonts w:ascii="Arial" w:cs="Arial" w:eastAsia="Arial" w:hAnsi="Arial"/>
          <w:sz w:val="40"/>
          <w:szCs w:val="40"/>
          <w:b w:val="1"/>
          <w:bCs w:val="1"/>
          <w:color w:val="50535A"/>
        </w:rPr>
        <w:t>CAUTIONARY STATEMENT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-492760</wp:posOffset>
            </wp:positionV>
            <wp:extent cx="180340" cy="2228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340" cy="222885"/>
                    </a:xfrm>
                    <a:prstGeom prst="rect">
                      <a:avLst/>
                    </a:prstGeom>
                    <a:noFill/>
                  </pic:spPr>
                </pic:pic>
              </a:graphicData>
            </a:graphic>
          </wp:anchor>
        </w:drawing>
      </w:r>
    </w:p>
    <w:p>
      <w:pPr>
        <w:spacing w:after="0" w:line="16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This Quarterly Report on Form 10-Q, including the documents incorporated herein by reference, contains forward-looking statements that anticipate results based on our estimates, assumptions and plans that are subject to uncertainty. These "forward-looking statements" are made subject to the safe-harbor provisions of the Private Securities Litigation Reform Act of 1995, Section 27A of the Securities Act of 1933, as amended, and Section 21E of the Securities Exchange Act of 1934, as amended. Forward-looking statements consist of, among other things, specific and overall impacts of the COVID-19 global pandemic on our financial condition and results of operations and on the markets and communities in which we and our customers and partners operate, trend analyses, statements regarding future events, future financial performance, our anticipated growth, the effect of general economic and market conditions, our business strategy and our plan to build and grow our business, our operating results, our ability to successfully integrate acquired businesses and technologies, the effect of foreign currency exchange rate and interest rate fluctuations on our financial results, the impact of expensing stock-based compensation, the sufficiency of our capital resources, our ability to meet our ongoing debt and obligations as they become due, cybersecurity and data protection risks and related liabilities, and current or potential legal proceedings involving us, all of which are based on current expectations, estimates, and forecasts, and the beliefs and assumptions of our management. Words such as “believes,” “seeks,” “expects,” “may,” “might,” “should,” “intends,” “could,” “would,” “likely,” “will,” “targets,” “plans,” “anticipates,” “aims,” “projects,” “estimates” or any variations of such words and similar expressions are also intended to identify such forward-looking statements. These forward-looking statements are subject to risks, uncertainties and assumptions that are difficult to predict. Accordingly, they should not be viewed as assurances of future performance, and actual results may differ materially and adversely from those expressed in any forward-looking statements.</w:t>
      </w:r>
    </w:p>
    <w:p>
      <w:pPr>
        <w:spacing w:after="0" w:line="15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Important factors that could cause actual results to differ materially from our expectations expressed in forward-looking statements include, but are not limited to, those summarized under “Part II, Item 1A. Risk factors” and elsewhere in this report, in our Annual Report on Form 10-K for the year ended December 31, 2021 and in our other filings made with the United States Securities &amp; Exchange Commission ("SEC"). Forward-looking statements represent our management's beliefs and assumptions only as of the date of this Quarterly Report on Form 10-Q. We undertake no obligation to update or revise any forward-looking statements, or to update the reasons actual results could differ materially from those anticipated in any forward-looking statement, whether as a result of new information, future events or otherwise.</w:t>
      </w:r>
    </w:p>
    <w:p>
      <w:pPr>
        <w:spacing w:after="0" w:line="314"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auto"/>
        </w:rPr>
        <w:t>2</w:t>
      </w:r>
      <w:r>
        <w:rPr>
          <w:sz w:val="20"/>
          <w:szCs w:val="20"/>
          <w:color w:val="auto"/>
        </w:rPr>
        <w:tab/>
      </w:r>
      <w:r>
        <w:rPr>
          <w:sz w:val="1"/>
          <w:szCs w:val="1"/>
          <w:color w:val="auto"/>
        </w:rPr>
        <w:drawing>
          <wp:inline distT="0" distB="0" distL="0" distR="0">
            <wp:extent cx="676910" cy="171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 w:name="page4"/>
    <w:bookmarkEnd w:id="3"/>
    <w:p>
      <w:pPr>
        <w:ind w:left="680"/>
        <w:spacing w:after="0"/>
        <w:rPr>
          <w:sz w:val="20"/>
          <w:szCs w:val="20"/>
          <w:color w:val="auto"/>
        </w:rPr>
      </w:pPr>
      <w:r>
        <w:rPr>
          <w:rFonts w:ascii="Arial" w:cs="Arial" w:eastAsia="Arial" w:hAnsi="Arial"/>
          <w:sz w:val="40"/>
          <w:szCs w:val="40"/>
          <w:b w:val="1"/>
          <w:bCs w:val="1"/>
          <w:color w:val="50535A"/>
        </w:rPr>
        <w:t>PART I.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-272415</wp:posOffset>
            </wp:positionV>
            <wp:extent cx="17970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9705" cy="24003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FINANCIAL STATEMENTS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792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11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80" w:type="dxa"/>
            <w:vAlign w:val="bottom"/>
            <w:tcBorders>
              <w:bottom w:val="single" w:sz="8" w:color="ACACAC"/>
            </w:tcBorders>
            <w:shd w:val="clear" w:color="auto" w:fill="ACACAC"/>
          </w:tcPr>
          <w:p>
            <w:pPr>
              <w:spacing w:after="0"/>
              <w:rPr>
                <w:sz w:val="17"/>
                <w:szCs w:val="17"/>
                <w:color w:val="auto"/>
              </w:rPr>
            </w:pPr>
          </w:p>
        </w:tc>
        <w:tc>
          <w:tcPr>
            <w:tcW w:w="11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43"/>
        </w:trPr>
        <w:tc>
          <w:tcPr>
            <w:tcW w:w="792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Assets</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spacing w:after="0"/>
              <w:rPr>
                <w:sz w:val="21"/>
                <w:szCs w:val="21"/>
                <w:color w:val="auto"/>
              </w:rPr>
            </w:pP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Current assets:</w:t>
            </w:r>
          </w:p>
        </w:tc>
        <w:tc>
          <w:tcPr>
            <w:tcW w:w="4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Cash and cash equivalents</w:t>
            </w:r>
          </w:p>
        </w:tc>
        <w:tc>
          <w:tcPr>
            <w:tcW w:w="480" w:type="dxa"/>
            <w:vAlign w:val="bottom"/>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33,786</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55,146</w:t>
            </w: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Restricted cash</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279,594</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596,616</w:t>
            </w:r>
          </w:p>
        </w:tc>
        <w:tc>
          <w:tcPr>
            <w:tcW w:w="20" w:type="dxa"/>
            <w:vAlign w:val="bottom"/>
          </w:tcPr>
          <w:p>
            <w:pPr>
              <w:spacing w:after="0"/>
              <w:rPr>
                <w:sz w:val="20"/>
                <w:szCs w:val="20"/>
                <w:color w:val="auto"/>
              </w:rPr>
            </w:pPr>
          </w:p>
        </w:tc>
      </w:tr>
      <w:tr>
        <w:trPr>
          <w:trHeight w:val="228"/>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Accounts receivable, net of allowance of $10,772 and $11,155 at March 31, 2022 and December 31,</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2021, respectively</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91,770</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102,726</w:t>
            </w:r>
          </w:p>
        </w:tc>
        <w:tc>
          <w:tcPr>
            <w:tcW w:w="20" w:type="dxa"/>
            <w:vAlign w:val="bottom"/>
          </w:tcPr>
          <w:p>
            <w:pPr>
              <w:spacing w:after="0"/>
              <w:rPr>
                <w:sz w:val="18"/>
                <w:szCs w:val="18"/>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Customer funds receivable</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2,049</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977</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480" w:type="dxa"/>
            <w:vAlign w:val="bottom"/>
            <w:tcBorders>
              <w:bottom w:val="single" w:sz="8" w:color="auto"/>
            </w:tcBorders>
            <w:shd w:val="clear" w:color="auto" w:fill="F4F4F4"/>
          </w:tcPr>
          <w:p>
            <w:pPr>
              <w:spacing w:after="0"/>
              <w:rPr>
                <w:sz w:val="21"/>
                <w:szCs w:val="21"/>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99,913</w:t>
            </w:r>
          </w:p>
        </w:tc>
        <w:tc>
          <w:tcPr>
            <w:tcW w:w="400" w:type="dxa"/>
            <w:vAlign w:val="bottom"/>
            <w:tcBorders>
              <w:bottom w:val="single" w:sz="8" w:color="auto"/>
            </w:tcBorders>
            <w:shd w:val="clear" w:color="auto" w:fill="F4F4F4"/>
          </w:tcPr>
          <w:p>
            <w:pPr>
              <w:spacing w:after="0"/>
              <w:rPr>
                <w:sz w:val="21"/>
                <w:szCs w:val="21"/>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95,506</w:t>
            </w:r>
          </w:p>
        </w:tc>
        <w:tc>
          <w:tcPr>
            <w:tcW w:w="20" w:type="dxa"/>
            <w:vAlign w:val="bottom"/>
          </w:tcPr>
          <w:p>
            <w:pPr>
              <w:spacing w:after="0"/>
              <w:rPr>
                <w:sz w:val="21"/>
                <w:szCs w:val="21"/>
                <w:color w:val="auto"/>
              </w:rPr>
            </w:pPr>
          </w:p>
        </w:tc>
      </w:tr>
      <w:tr>
        <w:trPr>
          <w:trHeight w:val="227"/>
        </w:trPr>
        <w:tc>
          <w:tcPr>
            <w:tcW w:w="7920" w:type="dxa"/>
            <w:vAlign w:val="bottom"/>
          </w:tcPr>
          <w:p>
            <w:pPr>
              <w:ind w:left="660"/>
              <w:spacing w:after="0"/>
              <w:rPr>
                <w:sz w:val="20"/>
                <w:szCs w:val="20"/>
                <w:color w:val="auto"/>
              </w:rPr>
            </w:pPr>
            <w:r>
              <w:rPr>
                <w:rFonts w:ascii="Arial" w:cs="Arial" w:eastAsia="Arial" w:hAnsi="Arial"/>
                <w:sz w:val="16"/>
                <w:szCs w:val="16"/>
                <w:color w:val="auto"/>
              </w:rPr>
              <w:t>Total current assets</w:t>
            </w:r>
          </w:p>
        </w:tc>
        <w:tc>
          <w:tcPr>
            <w:tcW w:w="4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507,112</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850,971</w:t>
            </w:r>
          </w:p>
        </w:tc>
        <w:tc>
          <w:tcPr>
            <w:tcW w:w="20" w:type="dxa"/>
            <w:vAlign w:val="bottom"/>
          </w:tcPr>
          <w:p>
            <w:pPr>
              <w:spacing w:after="0"/>
              <w:rPr>
                <w:sz w:val="19"/>
                <w:szCs w:val="19"/>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Property and equipment, net</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112,675</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111,428</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Operating lease right-of-use assets</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51,808</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53,883</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Software development costs, net</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126,766</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121,377</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Goodwill</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1,056,794</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1,058,640</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Intangible assets, net</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683,348</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698,052</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F4F4F4"/>
            </w:tcBorders>
          </w:tcPr>
          <w:p>
            <w:pPr>
              <w:ind w:left="240"/>
              <w:spacing w:after="0"/>
              <w:rPr>
                <w:sz w:val="20"/>
                <w:szCs w:val="20"/>
                <w:color w:val="auto"/>
              </w:rPr>
            </w:pPr>
            <w:r>
              <w:rPr>
                <w:rFonts w:ascii="Arial" w:cs="Arial" w:eastAsia="Arial" w:hAnsi="Arial"/>
                <w:sz w:val="16"/>
                <w:szCs w:val="16"/>
                <w:color w:val="auto"/>
              </w:rPr>
              <w:t>Other assets</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90,194</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77,266</w:t>
            </w:r>
          </w:p>
        </w:tc>
        <w:tc>
          <w:tcPr>
            <w:tcW w:w="20" w:type="dxa"/>
            <w:vAlign w:val="bottom"/>
          </w:tcPr>
          <w:p>
            <w:pPr>
              <w:spacing w:after="0"/>
              <w:rPr>
                <w:sz w:val="20"/>
                <w:szCs w:val="20"/>
                <w:color w:val="auto"/>
              </w:rPr>
            </w:pPr>
          </w:p>
        </w:tc>
      </w:tr>
      <w:tr>
        <w:trPr>
          <w:trHeight w:val="243"/>
        </w:trPr>
        <w:tc>
          <w:tcPr>
            <w:tcW w:w="7920" w:type="dxa"/>
            <w:vAlign w:val="bottom"/>
            <w:shd w:val="clear" w:color="auto" w:fill="F4F4F4"/>
          </w:tcPr>
          <w:p>
            <w:pPr>
              <w:ind w:left="880"/>
              <w:spacing w:after="0"/>
              <w:rPr>
                <w:sz w:val="20"/>
                <w:szCs w:val="20"/>
                <w:color w:val="auto"/>
              </w:rPr>
            </w:pPr>
            <w:r>
              <w:rPr>
                <w:rFonts w:ascii="Arial" w:cs="Arial" w:eastAsia="Arial" w:hAnsi="Arial"/>
                <w:sz w:val="16"/>
                <w:szCs w:val="16"/>
                <w:b w:val="1"/>
                <w:bCs w:val="1"/>
                <w:color w:val="auto"/>
              </w:rPr>
              <w:t>Total assets</w:t>
            </w:r>
          </w:p>
        </w:tc>
        <w:tc>
          <w:tcPr>
            <w:tcW w:w="480" w:type="dxa"/>
            <w:vAlign w:val="bottom"/>
            <w:tcBorders>
              <w:bottom w:val="single" w:sz="8" w:color="auto"/>
            </w:tcBorders>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2,628,697</w:t>
            </w:r>
          </w:p>
        </w:tc>
        <w:tc>
          <w:tcPr>
            <w:tcW w:w="400" w:type="dxa"/>
            <w:vAlign w:val="bottom"/>
            <w:tcBorders>
              <w:bottom w:val="single" w:sz="8" w:color="auto"/>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2,971,617</w:t>
            </w:r>
          </w:p>
        </w:tc>
        <w:tc>
          <w:tcPr>
            <w:tcW w:w="20" w:type="dxa"/>
            <w:vAlign w:val="bottom"/>
          </w:tcPr>
          <w:p>
            <w:pPr>
              <w:spacing w:after="0"/>
              <w:rPr>
                <w:sz w:val="21"/>
                <w:szCs w:val="21"/>
                <w:color w:val="auto"/>
              </w:rPr>
            </w:pPr>
          </w:p>
        </w:tc>
      </w:tr>
      <w:tr>
        <w:trPr>
          <w:trHeight w:val="213"/>
        </w:trPr>
        <w:tc>
          <w:tcPr>
            <w:tcW w:w="7920" w:type="dxa"/>
            <w:vAlign w:val="bottom"/>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Current liabilities:</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spacing w:after="0"/>
              <w:rPr>
                <w:sz w:val="21"/>
                <w:szCs w:val="21"/>
                <w:color w:val="auto"/>
              </w:rPr>
            </w:pP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Trade accounts payable</w:t>
            </w:r>
          </w:p>
        </w:tc>
        <w:tc>
          <w:tcPr>
            <w:tcW w:w="480" w:type="dxa"/>
            <w:vAlign w:val="bottom"/>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39,490</w:t>
            </w:r>
          </w:p>
        </w:tc>
        <w:tc>
          <w:tcPr>
            <w:tcW w:w="400" w:type="dxa"/>
            <w:vAlign w:val="bottom"/>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22,067</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Accrued expenses and other current liabilities</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72,195</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100,096</w:t>
            </w: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Due to customers</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278,179</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594,273</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Debt, current portion</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18,116</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18,697</w:t>
            </w:r>
          </w:p>
        </w:tc>
        <w:tc>
          <w:tcPr>
            <w:tcW w:w="20" w:type="dxa"/>
            <w:vAlign w:val="bottom"/>
          </w:tcPr>
          <w:p>
            <w:pPr>
              <w:spacing w:after="0"/>
              <w:rPr>
                <w:sz w:val="21"/>
                <w:szCs w:val="21"/>
                <w:color w:val="auto"/>
              </w:rPr>
            </w:pPr>
          </w:p>
        </w:tc>
      </w:tr>
      <w:tr>
        <w:trPr>
          <w:trHeight w:val="237"/>
        </w:trPr>
        <w:tc>
          <w:tcPr>
            <w:tcW w:w="7920" w:type="dxa"/>
            <w:vAlign w:val="bottom"/>
            <w:tcBorders>
              <w:bottom w:val="single" w:sz="8" w:color="F4F4F4"/>
            </w:tcBorders>
          </w:tcPr>
          <w:p>
            <w:pPr>
              <w:ind w:left="460"/>
              <w:spacing w:after="0"/>
              <w:rPr>
                <w:sz w:val="20"/>
                <w:szCs w:val="20"/>
                <w:color w:val="auto"/>
              </w:rPr>
            </w:pPr>
            <w:r>
              <w:rPr>
                <w:rFonts w:ascii="Arial" w:cs="Arial" w:eastAsia="Arial" w:hAnsi="Arial"/>
                <w:sz w:val="16"/>
                <w:szCs w:val="16"/>
                <w:color w:val="auto"/>
              </w:rPr>
              <w:t>Deferred revenue, current portion</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350,952</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374,499</w:t>
            </w:r>
          </w:p>
        </w:tc>
        <w:tc>
          <w:tcPr>
            <w:tcW w:w="20" w:type="dxa"/>
            <w:vAlign w:val="bottom"/>
          </w:tcPr>
          <w:p>
            <w:pPr>
              <w:spacing w:after="0"/>
              <w:rPr>
                <w:sz w:val="20"/>
                <w:szCs w:val="20"/>
                <w:color w:val="auto"/>
              </w:rPr>
            </w:pPr>
          </w:p>
        </w:tc>
      </w:tr>
      <w:tr>
        <w:trPr>
          <w:trHeight w:val="243"/>
        </w:trPr>
        <w:tc>
          <w:tcPr>
            <w:tcW w:w="7920" w:type="dxa"/>
            <w:vAlign w:val="bottom"/>
            <w:shd w:val="clear" w:color="auto" w:fill="F4F4F4"/>
          </w:tcPr>
          <w:p>
            <w:pPr>
              <w:ind w:left="660"/>
              <w:spacing w:after="0"/>
              <w:rPr>
                <w:sz w:val="20"/>
                <w:szCs w:val="20"/>
                <w:color w:val="auto"/>
              </w:rPr>
            </w:pPr>
            <w:r>
              <w:rPr>
                <w:rFonts w:ascii="Arial" w:cs="Arial" w:eastAsia="Arial" w:hAnsi="Arial"/>
                <w:sz w:val="16"/>
                <w:szCs w:val="16"/>
                <w:color w:val="auto"/>
              </w:rPr>
              <w:t>Total current liabilities</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758,932</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1,109,632</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Debt, net of current portion</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963,109</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937,483</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Deferred tax liability</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144,590</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148,465</w:t>
            </w:r>
          </w:p>
        </w:tc>
        <w:tc>
          <w:tcPr>
            <w:tcW w:w="20" w:type="dxa"/>
            <w:vAlign w:val="bottom"/>
          </w:tcPr>
          <w:p>
            <w:pPr>
              <w:spacing w:after="0"/>
              <w:rPr>
                <w:sz w:val="21"/>
                <w:szCs w:val="21"/>
                <w:color w:val="auto"/>
              </w:rPr>
            </w:pPr>
          </w:p>
        </w:tc>
      </w:tr>
      <w:tr>
        <w:trPr>
          <w:trHeight w:val="233"/>
        </w:trPr>
        <w:tc>
          <w:tcPr>
            <w:tcW w:w="7920" w:type="dxa"/>
            <w:vAlign w:val="bottom"/>
          </w:tcPr>
          <w:p>
            <w:pPr>
              <w:ind w:left="240"/>
              <w:spacing w:after="0"/>
              <w:rPr>
                <w:sz w:val="20"/>
                <w:szCs w:val="20"/>
                <w:color w:val="auto"/>
              </w:rPr>
            </w:pPr>
            <w:r>
              <w:rPr>
                <w:rFonts w:ascii="Arial" w:cs="Arial" w:eastAsia="Arial" w:hAnsi="Arial"/>
                <w:sz w:val="16"/>
                <w:szCs w:val="16"/>
                <w:color w:val="auto"/>
              </w:rPr>
              <w:t>Deferred revenue, net of current portion</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4,725</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4,247</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Operating lease liabilities, net of current portion</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50,785</w:t>
            </w: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53,386</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F4F4F4"/>
            </w:tcBorders>
          </w:tcPr>
          <w:p>
            <w:pPr>
              <w:ind w:left="240"/>
              <w:spacing w:after="0"/>
              <w:rPr>
                <w:sz w:val="20"/>
                <w:szCs w:val="20"/>
                <w:color w:val="auto"/>
              </w:rPr>
            </w:pPr>
            <w:r>
              <w:rPr>
                <w:rFonts w:ascii="Arial" w:cs="Arial" w:eastAsia="Arial" w:hAnsi="Arial"/>
                <w:sz w:val="16"/>
                <w:szCs w:val="16"/>
                <w:color w:val="auto"/>
              </w:rPr>
              <w:t>Other liabilities</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1,506</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1,344</w:t>
            </w:r>
          </w:p>
        </w:tc>
        <w:tc>
          <w:tcPr>
            <w:tcW w:w="20" w:type="dxa"/>
            <w:vAlign w:val="bottom"/>
          </w:tcPr>
          <w:p>
            <w:pPr>
              <w:spacing w:after="0"/>
              <w:rPr>
                <w:sz w:val="20"/>
                <w:szCs w:val="20"/>
                <w:color w:val="auto"/>
              </w:rPr>
            </w:pPr>
          </w:p>
        </w:tc>
      </w:tr>
      <w:tr>
        <w:trPr>
          <w:trHeight w:val="243"/>
        </w:trPr>
        <w:tc>
          <w:tcPr>
            <w:tcW w:w="7920" w:type="dxa"/>
            <w:vAlign w:val="bottom"/>
            <w:shd w:val="clear" w:color="auto" w:fill="F4F4F4"/>
          </w:tcPr>
          <w:p>
            <w:pPr>
              <w:ind w:left="880"/>
              <w:spacing w:after="0"/>
              <w:rPr>
                <w:sz w:val="20"/>
                <w:szCs w:val="20"/>
                <w:color w:val="auto"/>
              </w:rPr>
            </w:pPr>
            <w:r>
              <w:rPr>
                <w:rFonts w:ascii="Arial" w:cs="Arial" w:eastAsia="Arial" w:hAnsi="Arial"/>
                <w:sz w:val="16"/>
                <w:szCs w:val="16"/>
                <w:b w:val="1"/>
                <w:bCs w:val="1"/>
                <w:color w:val="auto"/>
              </w:rPr>
              <w:t>Total liabilities</w:t>
            </w:r>
          </w:p>
        </w:tc>
        <w:tc>
          <w:tcPr>
            <w:tcW w:w="480" w:type="dxa"/>
            <w:vAlign w:val="bottom"/>
            <w:tcBorders>
              <w:bottom w:val="single" w:sz="8" w:color="auto"/>
            </w:tcBorders>
            <w:shd w:val="clear" w:color="auto" w:fill="F4F4F4"/>
          </w:tcPr>
          <w:p>
            <w:pPr>
              <w:spacing w:after="0"/>
              <w:rPr>
                <w:sz w:val="21"/>
                <w:szCs w:val="21"/>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1,923,647</w:t>
            </w:r>
          </w:p>
        </w:tc>
        <w:tc>
          <w:tcPr>
            <w:tcW w:w="400" w:type="dxa"/>
            <w:vAlign w:val="bottom"/>
            <w:tcBorders>
              <w:bottom w:val="single" w:sz="8" w:color="auto"/>
            </w:tcBorders>
            <w:shd w:val="clear" w:color="auto" w:fill="F4F4F4"/>
          </w:tcPr>
          <w:p>
            <w:pPr>
              <w:spacing w:after="0"/>
              <w:rPr>
                <w:sz w:val="21"/>
                <w:szCs w:val="21"/>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2,254,557</w:t>
            </w:r>
          </w:p>
        </w:tc>
        <w:tc>
          <w:tcPr>
            <w:tcW w:w="20" w:type="dxa"/>
            <w:vAlign w:val="bottom"/>
          </w:tcPr>
          <w:p>
            <w:pPr>
              <w:spacing w:after="0"/>
              <w:rPr>
                <w:sz w:val="21"/>
                <w:szCs w:val="21"/>
                <w:color w:val="auto"/>
              </w:rPr>
            </w:pPr>
          </w:p>
        </w:tc>
      </w:tr>
      <w:tr>
        <w:trPr>
          <w:trHeight w:val="213"/>
        </w:trPr>
        <w:tc>
          <w:tcPr>
            <w:tcW w:w="7920" w:type="dxa"/>
            <w:vAlign w:val="bottom"/>
          </w:tcPr>
          <w:p>
            <w:pPr>
              <w:ind w:left="240"/>
              <w:spacing w:after="0"/>
              <w:rPr>
                <w:sz w:val="20"/>
                <w:szCs w:val="20"/>
                <w:color w:val="auto"/>
              </w:rPr>
            </w:pPr>
            <w:r>
              <w:rPr>
                <w:rFonts w:ascii="Arial" w:cs="Arial" w:eastAsia="Arial" w:hAnsi="Arial"/>
                <w:sz w:val="16"/>
                <w:szCs w:val="16"/>
                <w:color w:val="auto"/>
              </w:rPr>
              <w:t>Commitments and contingencies (see Note 10)</w:t>
            </w: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3"/>
        </w:trPr>
        <w:tc>
          <w:tcPr>
            <w:tcW w:w="79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Stockholders’ equity:</w:t>
            </w:r>
          </w:p>
        </w:tc>
        <w:tc>
          <w:tcPr>
            <w:tcW w:w="480" w:type="dxa"/>
            <w:vAlign w:val="bottom"/>
            <w:shd w:val="clear" w:color="auto" w:fill="F4F4F4"/>
          </w:tcPr>
          <w:p>
            <w:pPr>
              <w:spacing w:after="0"/>
              <w:rPr>
                <w:sz w:val="21"/>
                <w:szCs w:val="21"/>
                <w:color w:val="auto"/>
              </w:rPr>
            </w:pPr>
          </w:p>
        </w:tc>
        <w:tc>
          <w:tcPr>
            <w:tcW w:w="1160" w:type="dxa"/>
            <w:vAlign w:val="bottom"/>
            <w:shd w:val="clear" w:color="auto" w:fill="F4F4F4"/>
          </w:tcPr>
          <w:p>
            <w:pPr>
              <w:spacing w:after="0"/>
              <w:rPr>
                <w:sz w:val="21"/>
                <w:szCs w:val="21"/>
                <w:color w:val="auto"/>
              </w:rPr>
            </w:pPr>
          </w:p>
        </w:tc>
        <w:tc>
          <w:tcPr>
            <w:tcW w:w="400" w:type="dxa"/>
            <w:vAlign w:val="bottom"/>
            <w:shd w:val="clear" w:color="auto" w:fill="F4F4F4"/>
          </w:tcPr>
          <w:p>
            <w:pPr>
              <w:spacing w:after="0"/>
              <w:rPr>
                <w:sz w:val="21"/>
                <w:szCs w:val="21"/>
                <w:color w:val="auto"/>
              </w:rPr>
            </w:pPr>
          </w:p>
        </w:tc>
        <w:tc>
          <w:tcPr>
            <w:tcW w:w="124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Preferred stock; 20,000,000 shares authorized, none outstanding</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28"/>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Common stock, $0.001 par value; 180,000,000 shares authorized, 67,658,172 and 66,165,666 shares</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issued at March 31, 2022 and December 31, 2021, respectively</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68</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66</w:t>
            </w:r>
          </w:p>
        </w:tc>
        <w:tc>
          <w:tcPr>
            <w:tcW w:w="20" w:type="dxa"/>
            <w:vAlign w:val="bottom"/>
          </w:tcPr>
          <w:p>
            <w:pPr>
              <w:spacing w:after="0"/>
              <w:rPr>
                <w:sz w:val="18"/>
                <w:szCs w:val="18"/>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Additional paid-in capital</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993,223</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968,927</w:t>
            </w:r>
          </w:p>
        </w:tc>
        <w:tc>
          <w:tcPr>
            <w:tcW w:w="20" w:type="dxa"/>
            <w:vAlign w:val="bottom"/>
          </w:tcPr>
          <w:p>
            <w:pPr>
              <w:spacing w:after="0"/>
              <w:rPr>
                <w:sz w:val="20"/>
                <w:szCs w:val="20"/>
                <w:color w:val="auto"/>
              </w:rPr>
            </w:pPr>
          </w:p>
        </w:tc>
      </w:tr>
      <w:tr>
        <w:trPr>
          <w:trHeight w:val="228"/>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Treasury stock, at cost; 14,715,944 and 14,182,805 shares at March 31, 2022 and December 31, 2021,</w:t>
            </w:r>
          </w:p>
        </w:tc>
        <w:tc>
          <w:tcPr>
            <w:tcW w:w="480" w:type="dxa"/>
            <w:vAlign w:val="bottom"/>
            <w:shd w:val="clear" w:color="auto" w:fill="F4F4F4"/>
          </w:tcPr>
          <w:p>
            <w:pPr>
              <w:spacing w:after="0"/>
              <w:rPr>
                <w:sz w:val="19"/>
                <w:szCs w:val="19"/>
                <w:color w:val="auto"/>
              </w:rPr>
            </w:pPr>
          </w:p>
        </w:tc>
        <w:tc>
          <w:tcPr>
            <w:tcW w:w="1160" w:type="dxa"/>
            <w:vAlign w:val="bottom"/>
            <w:shd w:val="clear" w:color="auto" w:fill="F4F4F4"/>
          </w:tcPr>
          <w:p>
            <w:pPr>
              <w:spacing w:after="0"/>
              <w:rPr>
                <w:sz w:val="19"/>
                <w:szCs w:val="19"/>
                <w:color w:val="auto"/>
              </w:rPr>
            </w:pPr>
          </w:p>
        </w:tc>
        <w:tc>
          <w:tcPr>
            <w:tcW w:w="400" w:type="dxa"/>
            <w:vAlign w:val="bottom"/>
            <w:shd w:val="clear" w:color="auto" w:fill="F4F4F4"/>
          </w:tcPr>
          <w:p>
            <w:pPr>
              <w:spacing w:after="0"/>
              <w:rPr>
                <w:sz w:val="19"/>
                <w:szCs w:val="19"/>
                <w:color w:val="auto"/>
              </w:rPr>
            </w:pPr>
          </w:p>
        </w:tc>
        <w:tc>
          <w:tcPr>
            <w:tcW w:w="124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4"/>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respectively</w:t>
            </w:r>
          </w:p>
        </w:tc>
        <w:tc>
          <w:tcPr>
            <w:tcW w:w="480" w:type="dxa"/>
            <w:vAlign w:val="bottom"/>
            <w:shd w:val="clear" w:color="auto" w:fill="F4F4F4"/>
          </w:tcPr>
          <w:p>
            <w:pPr>
              <w:spacing w:after="0"/>
              <w:rPr>
                <w:sz w:val="18"/>
                <w:szCs w:val="18"/>
                <w:color w:val="auto"/>
              </w:rPr>
            </w:pPr>
          </w:p>
        </w:tc>
        <w:tc>
          <w:tcPr>
            <w:tcW w:w="11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(535,585)</w:t>
            </w:r>
          </w:p>
        </w:tc>
        <w:tc>
          <w:tcPr>
            <w:tcW w:w="400" w:type="dxa"/>
            <w:vAlign w:val="bottom"/>
            <w:shd w:val="clear" w:color="auto" w:fill="F4F4F4"/>
          </w:tcPr>
          <w:p>
            <w:pPr>
              <w:spacing w:after="0"/>
              <w:rPr>
                <w:sz w:val="18"/>
                <w:szCs w:val="18"/>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(500,911)</w:t>
            </w:r>
          </w:p>
        </w:tc>
        <w:tc>
          <w:tcPr>
            <w:tcW w:w="20" w:type="dxa"/>
            <w:vAlign w:val="bottom"/>
          </w:tcPr>
          <w:p>
            <w:pPr>
              <w:spacing w:after="0"/>
              <w:rPr>
                <w:sz w:val="18"/>
                <w:szCs w:val="18"/>
                <w:color w:val="auto"/>
              </w:rPr>
            </w:pPr>
          </w:p>
        </w:tc>
      </w:tr>
      <w:tr>
        <w:trPr>
          <w:trHeight w:val="233"/>
        </w:trPr>
        <w:tc>
          <w:tcPr>
            <w:tcW w:w="7920" w:type="dxa"/>
            <w:vAlign w:val="bottom"/>
          </w:tcPr>
          <w:p>
            <w:pPr>
              <w:ind w:left="460"/>
              <w:spacing w:after="0"/>
              <w:rPr>
                <w:sz w:val="20"/>
                <w:szCs w:val="20"/>
                <w:color w:val="auto"/>
              </w:rPr>
            </w:pPr>
            <w:r>
              <w:rPr>
                <w:rFonts w:ascii="Arial" w:cs="Arial" w:eastAsia="Arial" w:hAnsi="Arial"/>
                <w:sz w:val="16"/>
                <w:szCs w:val="16"/>
                <w:color w:val="auto"/>
              </w:rPr>
              <w:t>Accumulated other comprehensive income</w:t>
            </w:r>
          </w:p>
        </w:tc>
        <w:tc>
          <w:tcPr>
            <w:tcW w:w="4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15,295</w:t>
            </w:r>
          </w:p>
        </w:tc>
        <w:tc>
          <w:tcPr>
            <w:tcW w:w="4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6,522</w:t>
            </w:r>
          </w:p>
        </w:tc>
        <w:tc>
          <w:tcPr>
            <w:tcW w:w="20" w:type="dxa"/>
            <w:vAlign w:val="bottom"/>
          </w:tcPr>
          <w:p>
            <w:pPr>
              <w:spacing w:after="0"/>
              <w:rPr>
                <w:sz w:val="20"/>
                <w:szCs w:val="20"/>
                <w:color w:val="auto"/>
              </w:rPr>
            </w:pPr>
          </w:p>
        </w:tc>
      </w:tr>
      <w:tr>
        <w:trPr>
          <w:trHeight w:val="253"/>
        </w:trPr>
        <w:tc>
          <w:tcPr>
            <w:tcW w:w="7920" w:type="dxa"/>
            <w:vAlign w:val="bottom"/>
            <w:shd w:val="clear" w:color="auto" w:fill="F4F4F4"/>
          </w:tcPr>
          <w:p>
            <w:pPr>
              <w:ind w:left="460"/>
              <w:spacing w:after="0"/>
              <w:rPr>
                <w:sz w:val="20"/>
                <w:szCs w:val="20"/>
                <w:color w:val="auto"/>
              </w:rPr>
            </w:pPr>
            <w:r>
              <w:rPr>
                <w:rFonts w:ascii="Arial" w:cs="Arial" w:eastAsia="Arial" w:hAnsi="Arial"/>
                <w:sz w:val="16"/>
                <w:szCs w:val="16"/>
                <w:color w:val="auto"/>
              </w:rPr>
              <w:t>Retained earnings</w:t>
            </w:r>
          </w:p>
        </w:tc>
        <w:tc>
          <w:tcPr>
            <w:tcW w:w="480" w:type="dxa"/>
            <w:vAlign w:val="bottom"/>
            <w:tcBorders>
              <w:bottom w:val="single" w:sz="8" w:color="auto"/>
            </w:tcBorders>
            <w:shd w:val="clear" w:color="auto" w:fill="F4F4F4"/>
          </w:tcPr>
          <w:p>
            <w:pPr>
              <w:spacing w:after="0"/>
              <w:rPr>
                <w:sz w:val="21"/>
                <w:szCs w:val="21"/>
                <w:color w:val="auto"/>
              </w:rPr>
            </w:pPr>
          </w:p>
        </w:tc>
        <w:tc>
          <w:tcPr>
            <w:tcW w:w="116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232,049</w:t>
            </w:r>
          </w:p>
        </w:tc>
        <w:tc>
          <w:tcPr>
            <w:tcW w:w="400" w:type="dxa"/>
            <w:vAlign w:val="bottom"/>
            <w:tcBorders>
              <w:bottom w:val="single" w:sz="8" w:color="auto"/>
            </w:tcBorders>
            <w:shd w:val="clear" w:color="auto" w:fill="F4F4F4"/>
          </w:tcPr>
          <w:p>
            <w:pPr>
              <w:spacing w:after="0"/>
              <w:rPr>
                <w:sz w:val="21"/>
                <w:szCs w:val="21"/>
                <w:color w:val="auto"/>
              </w:rPr>
            </w:pPr>
          </w:p>
        </w:tc>
        <w:tc>
          <w:tcPr>
            <w:tcW w:w="12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242,456</w:t>
            </w:r>
          </w:p>
        </w:tc>
        <w:tc>
          <w:tcPr>
            <w:tcW w:w="20" w:type="dxa"/>
            <w:vAlign w:val="bottom"/>
          </w:tcPr>
          <w:p>
            <w:pPr>
              <w:spacing w:after="0"/>
              <w:rPr>
                <w:sz w:val="21"/>
                <w:szCs w:val="21"/>
                <w:color w:val="auto"/>
              </w:rPr>
            </w:pPr>
          </w:p>
        </w:tc>
      </w:tr>
      <w:tr>
        <w:trPr>
          <w:trHeight w:val="230"/>
        </w:trPr>
        <w:tc>
          <w:tcPr>
            <w:tcW w:w="7920" w:type="dxa"/>
            <w:vAlign w:val="bottom"/>
            <w:tcBorders>
              <w:bottom w:val="single" w:sz="8" w:color="F4F4F4"/>
            </w:tcBorders>
          </w:tcPr>
          <w:p>
            <w:pPr>
              <w:ind w:left="880"/>
              <w:spacing w:after="0"/>
              <w:rPr>
                <w:sz w:val="20"/>
                <w:szCs w:val="20"/>
                <w:color w:val="auto"/>
              </w:rPr>
            </w:pPr>
            <w:r>
              <w:rPr>
                <w:rFonts w:ascii="Arial" w:cs="Arial" w:eastAsia="Arial" w:hAnsi="Arial"/>
                <w:sz w:val="16"/>
                <w:szCs w:val="16"/>
                <w:b w:val="1"/>
                <w:bCs w:val="1"/>
                <w:color w:val="auto"/>
              </w:rPr>
              <w:t>Total stockholders’ equity</w:t>
            </w:r>
          </w:p>
        </w:tc>
        <w:tc>
          <w:tcPr>
            <w:tcW w:w="4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705,050</w:t>
            </w:r>
          </w:p>
        </w:tc>
        <w:tc>
          <w:tcPr>
            <w:tcW w:w="4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717,060</w:t>
            </w:r>
          </w:p>
        </w:tc>
        <w:tc>
          <w:tcPr>
            <w:tcW w:w="20" w:type="dxa"/>
            <w:vAlign w:val="bottom"/>
          </w:tcPr>
          <w:p>
            <w:pPr>
              <w:spacing w:after="0"/>
              <w:rPr>
                <w:sz w:val="20"/>
                <w:szCs w:val="20"/>
                <w:color w:val="auto"/>
              </w:rPr>
            </w:pPr>
          </w:p>
        </w:tc>
      </w:tr>
      <w:tr>
        <w:trPr>
          <w:trHeight w:val="237"/>
        </w:trPr>
        <w:tc>
          <w:tcPr>
            <w:tcW w:w="7920" w:type="dxa"/>
            <w:vAlign w:val="bottom"/>
            <w:tcBorders>
              <w:bottom w:val="single" w:sz="8" w:color="71BF43"/>
            </w:tcBorders>
            <w:shd w:val="clear" w:color="auto" w:fill="F4F4F4"/>
          </w:tcPr>
          <w:p>
            <w:pPr>
              <w:ind w:left="880"/>
              <w:spacing w:after="0"/>
              <w:rPr>
                <w:sz w:val="20"/>
                <w:szCs w:val="20"/>
                <w:color w:val="auto"/>
              </w:rPr>
            </w:pPr>
            <w:r>
              <w:rPr>
                <w:rFonts w:ascii="Arial" w:cs="Arial" w:eastAsia="Arial" w:hAnsi="Arial"/>
                <w:sz w:val="16"/>
                <w:szCs w:val="16"/>
                <w:b w:val="1"/>
                <w:bCs w:val="1"/>
                <w:color w:val="auto"/>
              </w:rPr>
              <w:t>Total liabilities and stockholders’ equity</w:t>
            </w:r>
          </w:p>
        </w:tc>
        <w:tc>
          <w:tcPr>
            <w:tcW w:w="480" w:type="dxa"/>
            <w:vAlign w:val="bottom"/>
            <w:tcBorders>
              <w:bottom w:val="single" w:sz="8" w:color="71BF43"/>
            </w:tcBorders>
            <w:shd w:val="clear" w:color="auto" w:fill="F4F4F4"/>
          </w:tcPr>
          <w:p>
            <w:pPr>
              <w:jc w:val="right"/>
              <w:ind w:right="29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2,628,697</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2,971,617</w:t>
            </w:r>
          </w:p>
        </w:tc>
        <w:tc>
          <w:tcPr>
            <w:tcW w:w="20" w:type="dxa"/>
            <w:vAlign w:val="bottom"/>
          </w:tcPr>
          <w:p>
            <w:pPr>
              <w:spacing w:after="0"/>
              <w:rPr>
                <w:sz w:val="20"/>
                <w:szCs w:val="20"/>
                <w:color w:val="auto"/>
              </w:rPr>
            </w:pPr>
          </w:p>
        </w:tc>
      </w:tr>
    </w:tbl>
    <w:p>
      <w:pPr>
        <w:spacing w:after="0" w:line="1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302260</wp:posOffset>
            </wp:positionV>
            <wp:extent cx="67691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r>
      <w:tr>
        <w:trPr>
          <w:trHeight w:val="316"/>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3" w:right="339" w:bottom="1440" w:gutter="0" w:footer="0" w:header="0"/>
        </w:sectPr>
      </w:pPr>
    </w:p>
    <w:bookmarkStart w:id="4" w:name="page5"/>
    <w:bookmarkEnd w:id="4"/>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30" w:type="dxa"/>
            <w:vAlign w:val="bottom"/>
            <w:shd w:val="clear" w:color="auto" w:fill="ACACAC"/>
          </w:tcPr>
          <w:p>
            <w:pPr>
              <w:spacing w:after="0"/>
              <w:rPr>
                <w:sz w:val="16"/>
                <w:szCs w:val="16"/>
                <w:color w:val="auto"/>
              </w:rPr>
            </w:pPr>
          </w:p>
        </w:tc>
        <w:tc>
          <w:tcPr>
            <w:tcW w:w="263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r>
      <w:tr>
        <w:trPr>
          <w:trHeight w:val="190"/>
        </w:trPr>
        <w:tc>
          <w:tcPr>
            <w:tcW w:w="8630" w:type="dxa"/>
            <w:vAlign w:val="bottom"/>
            <w:shd w:val="clear" w:color="auto" w:fill="ACACAC"/>
          </w:tcPr>
          <w:p>
            <w:pPr>
              <w:spacing w:after="0"/>
              <w:rPr>
                <w:sz w:val="16"/>
                <w:szCs w:val="16"/>
                <w:color w:val="auto"/>
              </w:rPr>
            </w:pPr>
          </w:p>
        </w:tc>
        <w:tc>
          <w:tcPr>
            <w:tcW w:w="1310" w:type="dxa"/>
            <w:vAlign w:val="bottom"/>
            <w:shd w:val="clear" w:color="auto" w:fill="ACACAC"/>
          </w:tcPr>
          <w:p>
            <w:pPr>
              <w:spacing w:after="0"/>
              <w:rPr>
                <w:sz w:val="16"/>
                <w:szCs w:val="16"/>
                <w:color w:val="auto"/>
              </w:rPr>
            </w:pP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r>
      <w:tr>
        <w:trPr>
          <w:trHeight w:val="230"/>
        </w:trPr>
        <w:tc>
          <w:tcPr>
            <w:tcW w:w="863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31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13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r>
      <w:tr>
        <w:trPr>
          <w:trHeight w:val="26"/>
        </w:trPr>
        <w:tc>
          <w:tcPr>
            <w:tcW w:w="8630" w:type="dxa"/>
            <w:vAlign w:val="bottom"/>
            <w:shd w:val="clear" w:color="auto" w:fill="ACACAC"/>
          </w:tcPr>
          <w:p>
            <w:pPr>
              <w:spacing w:after="0"/>
              <w:rPr>
                <w:sz w:val="2"/>
                <w:szCs w:val="2"/>
                <w:color w:val="auto"/>
              </w:rPr>
            </w:pPr>
          </w:p>
        </w:tc>
        <w:tc>
          <w:tcPr>
            <w:tcW w:w="1310" w:type="dxa"/>
            <w:vAlign w:val="bottom"/>
            <w:shd w:val="clear" w:color="auto" w:fill="ACACAC"/>
          </w:tcPr>
          <w:p>
            <w:pPr>
              <w:spacing w:after="0"/>
              <w:rPr>
                <w:sz w:val="2"/>
                <w:szCs w:val="2"/>
                <w:color w:val="auto"/>
              </w:rPr>
            </w:pPr>
          </w:p>
        </w:tc>
        <w:tc>
          <w:tcPr>
            <w:tcW w:w="1320" w:type="dxa"/>
            <w:vAlign w:val="bottom"/>
            <w:shd w:val="clear" w:color="auto" w:fill="ACACAC"/>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631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-153670</wp:posOffset>
            </wp:positionV>
            <wp:extent cx="1671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b w:val="1"/>
          <w:bCs w:val="1"/>
          <w:color w:val="auto"/>
        </w:rPr>
        <w:t>Revenue</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620" w:type="dxa"/>
            <w:vAlign w:val="bottom"/>
          </w:tcPr>
          <w:p>
            <w:pPr>
              <w:ind w:left="240"/>
              <w:spacing w:after="0"/>
              <w:rPr>
                <w:sz w:val="20"/>
                <w:szCs w:val="20"/>
                <w:color w:val="auto"/>
              </w:rPr>
            </w:pPr>
            <w:r>
              <w:rPr>
                <w:rFonts w:ascii="Arial" w:cs="Arial" w:eastAsia="Arial" w:hAnsi="Arial"/>
                <w:sz w:val="16"/>
                <w:szCs w:val="16"/>
                <w:color w:val="auto"/>
              </w:rPr>
              <w:t>Recurring</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244,666</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206,750</w:t>
            </w:r>
          </w:p>
        </w:tc>
      </w:tr>
      <w:tr>
        <w:trPr>
          <w:trHeight w:val="253"/>
        </w:trPr>
        <w:tc>
          <w:tcPr>
            <w:tcW w:w="86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One-time services and other</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12,458</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12,441</w:t>
            </w:r>
          </w:p>
        </w:tc>
      </w:tr>
      <w:tr>
        <w:trPr>
          <w:trHeight w:val="227"/>
        </w:trPr>
        <w:tc>
          <w:tcPr>
            <w:tcW w:w="8620" w:type="dxa"/>
            <w:vAlign w:val="bottom"/>
          </w:tcPr>
          <w:p>
            <w:pPr>
              <w:ind w:left="460"/>
              <w:spacing w:after="0"/>
              <w:rPr>
                <w:sz w:val="20"/>
                <w:szCs w:val="20"/>
                <w:color w:val="auto"/>
              </w:rPr>
            </w:pPr>
            <w:r>
              <w:rPr>
                <w:rFonts w:ascii="Arial" w:cs="Arial" w:eastAsia="Arial" w:hAnsi="Arial"/>
                <w:sz w:val="16"/>
                <w:szCs w:val="16"/>
                <w:b w:val="1"/>
                <w:bCs w:val="1"/>
                <w:color w:val="auto"/>
              </w:rPr>
              <w:t>Total revenue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257,124</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219,191</w:t>
            </w:r>
          </w:p>
        </w:tc>
      </w:tr>
      <w:tr>
        <w:trPr>
          <w:trHeight w:val="253"/>
        </w:trPr>
        <w:tc>
          <w:tcPr>
            <w:tcW w:w="862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Cost of revenue</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r>
      <w:tr>
        <w:trPr>
          <w:trHeight w:val="233"/>
        </w:trPr>
        <w:tc>
          <w:tcPr>
            <w:tcW w:w="8620" w:type="dxa"/>
            <w:vAlign w:val="bottom"/>
          </w:tcPr>
          <w:p>
            <w:pPr>
              <w:ind w:left="240"/>
              <w:spacing w:after="0"/>
              <w:rPr>
                <w:sz w:val="20"/>
                <w:szCs w:val="20"/>
                <w:color w:val="auto"/>
              </w:rPr>
            </w:pPr>
            <w:r>
              <w:rPr>
                <w:rFonts w:ascii="Arial" w:cs="Arial" w:eastAsia="Arial" w:hAnsi="Arial"/>
                <w:sz w:val="16"/>
                <w:szCs w:val="16"/>
                <w:color w:val="auto"/>
              </w:rPr>
              <w:t>Cost of recurring</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112,174</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88,865</w:t>
            </w:r>
          </w:p>
        </w:tc>
      </w:tr>
      <w:tr>
        <w:trPr>
          <w:trHeight w:val="253"/>
        </w:trPr>
        <w:tc>
          <w:tcPr>
            <w:tcW w:w="86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Cost of one-time services and other</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11,188</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14,520</w:t>
            </w:r>
          </w:p>
        </w:tc>
      </w:tr>
      <w:tr>
        <w:trPr>
          <w:trHeight w:val="230"/>
        </w:trPr>
        <w:tc>
          <w:tcPr>
            <w:tcW w:w="8620" w:type="dxa"/>
            <w:vAlign w:val="bottom"/>
            <w:tcBorders>
              <w:bottom w:val="single" w:sz="8" w:color="F4F4F4"/>
            </w:tcBorders>
          </w:tcPr>
          <w:p>
            <w:pPr>
              <w:ind w:left="460"/>
              <w:spacing w:after="0"/>
              <w:rPr>
                <w:sz w:val="20"/>
                <w:szCs w:val="20"/>
                <w:color w:val="auto"/>
              </w:rPr>
            </w:pPr>
            <w:r>
              <w:rPr>
                <w:rFonts w:ascii="Arial" w:cs="Arial" w:eastAsia="Arial" w:hAnsi="Arial"/>
                <w:sz w:val="16"/>
                <w:szCs w:val="16"/>
                <w:b w:val="1"/>
                <w:bCs w:val="1"/>
                <w:color w:val="auto"/>
              </w:rPr>
              <w:t>Total cost of revenue</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123,362</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103,385</w:t>
            </w:r>
          </w:p>
        </w:tc>
      </w:tr>
      <w:tr>
        <w:trPr>
          <w:trHeight w:val="243"/>
        </w:trPr>
        <w:tc>
          <w:tcPr>
            <w:tcW w:w="862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Gross profit</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133,762</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115,806</w:t>
            </w:r>
          </w:p>
        </w:tc>
      </w:tr>
      <w:tr>
        <w:trPr>
          <w:trHeight w:val="213"/>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Operating expenses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53"/>
        </w:trPr>
        <w:tc>
          <w:tcPr>
            <w:tcW w:w="86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Sales, marketing and customer success</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55,216</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48,793</w:t>
            </w:r>
          </w:p>
        </w:tc>
      </w:tr>
      <w:tr>
        <w:trPr>
          <w:trHeight w:val="233"/>
        </w:trPr>
        <w:tc>
          <w:tcPr>
            <w:tcW w:w="862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39,952</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29,179</w:t>
            </w:r>
          </w:p>
        </w:tc>
      </w:tr>
      <w:tr>
        <w:trPr>
          <w:trHeight w:val="253"/>
        </w:trPr>
        <w:tc>
          <w:tcPr>
            <w:tcW w:w="86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43,762</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30,587</w:t>
            </w:r>
          </w:p>
        </w:tc>
      </w:tr>
      <w:tr>
        <w:trPr>
          <w:trHeight w:val="233"/>
        </w:trPr>
        <w:tc>
          <w:tcPr>
            <w:tcW w:w="8620" w:type="dxa"/>
            <w:vAlign w:val="bottom"/>
          </w:tcPr>
          <w:p>
            <w:pPr>
              <w:ind w:left="240"/>
              <w:spacing w:after="0"/>
              <w:rPr>
                <w:sz w:val="20"/>
                <w:szCs w:val="20"/>
                <w:color w:val="auto"/>
              </w:rPr>
            </w:pPr>
            <w:r>
              <w:rPr>
                <w:rFonts w:ascii="Arial" w:cs="Arial" w:eastAsia="Arial" w:hAnsi="Arial"/>
                <w:sz w:val="16"/>
                <w:szCs w:val="16"/>
                <w:color w:val="auto"/>
              </w:rPr>
              <w:t>Amortization</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811</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549</w:t>
            </w:r>
          </w:p>
        </w:tc>
      </w:tr>
      <w:tr>
        <w:trPr>
          <w:trHeight w:val="253"/>
        </w:trPr>
        <w:tc>
          <w:tcPr>
            <w:tcW w:w="86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Restructuring</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54</w:t>
            </w:r>
          </w:p>
        </w:tc>
      </w:tr>
      <w:tr>
        <w:trPr>
          <w:trHeight w:val="230"/>
        </w:trPr>
        <w:tc>
          <w:tcPr>
            <w:tcW w:w="8620" w:type="dxa"/>
            <w:vAlign w:val="bottom"/>
            <w:tcBorders>
              <w:bottom w:val="single" w:sz="8" w:color="F4F4F4"/>
            </w:tcBorders>
          </w:tcPr>
          <w:p>
            <w:pPr>
              <w:ind w:left="460"/>
              <w:spacing w:after="0"/>
              <w:rPr>
                <w:sz w:val="20"/>
                <w:szCs w:val="20"/>
                <w:color w:val="auto"/>
              </w:rPr>
            </w:pPr>
            <w:r>
              <w:rPr>
                <w:rFonts w:ascii="Arial" w:cs="Arial" w:eastAsia="Arial" w:hAnsi="Arial"/>
                <w:sz w:val="16"/>
                <w:szCs w:val="16"/>
                <w:b w:val="1"/>
                <w:bCs w:val="1"/>
                <w:color w:val="auto"/>
              </w:rPr>
              <w:t>Total operating expenses</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139,741</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109,162</w:t>
            </w:r>
          </w:p>
        </w:tc>
      </w:tr>
      <w:tr>
        <w:trPr>
          <w:trHeight w:val="243"/>
        </w:trPr>
        <w:tc>
          <w:tcPr>
            <w:tcW w:w="862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(Loss) income from operations</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(5,979)</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6,644</w:t>
            </w:r>
          </w:p>
        </w:tc>
      </w:tr>
      <w:tr>
        <w:trPr>
          <w:trHeight w:val="227"/>
        </w:trPr>
        <w:tc>
          <w:tcPr>
            <w:tcW w:w="8620" w:type="dxa"/>
            <w:vAlign w:val="bottom"/>
          </w:tcPr>
          <w:p>
            <w:pPr>
              <w:ind w:left="24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(7,599)</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(5,114)</w:t>
            </w:r>
          </w:p>
        </w:tc>
      </w:tr>
      <w:tr>
        <w:trPr>
          <w:trHeight w:val="253"/>
        </w:trPr>
        <w:tc>
          <w:tcPr>
            <w:tcW w:w="86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Other income (expense), net</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1,121</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(1,010)</w:t>
            </w:r>
          </w:p>
        </w:tc>
      </w:tr>
      <w:tr>
        <w:trPr>
          <w:trHeight w:val="227"/>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(Loss) income before provision for income taxes</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(12,457)</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520</w:t>
            </w:r>
          </w:p>
        </w:tc>
      </w:tr>
      <w:tr>
        <w:trPr>
          <w:trHeight w:val="253"/>
        </w:trPr>
        <w:tc>
          <w:tcPr>
            <w:tcW w:w="86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Income tax (benefit) provision</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(2,050)</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684</w:t>
            </w:r>
          </w:p>
        </w:tc>
      </w:tr>
      <w:tr>
        <w:trPr>
          <w:trHeight w:val="230"/>
        </w:trPr>
        <w:tc>
          <w:tcPr>
            <w:tcW w:w="8620" w:type="dxa"/>
            <w:vAlign w:val="bottom"/>
            <w:tcBorders>
              <w:bottom w:val="single" w:sz="8" w:color="F4F4F4"/>
            </w:tcBorders>
          </w:tcPr>
          <w:p>
            <w:pPr>
              <w:ind w:left="20"/>
              <w:spacing w:after="0"/>
              <w:rPr>
                <w:sz w:val="20"/>
                <w:szCs w:val="20"/>
                <w:color w:val="auto"/>
              </w:rPr>
            </w:pPr>
            <w:r>
              <w:rPr>
                <w:rFonts w:ascii="Arial" w:cs="Arial" w:eastAsia="Arial" w:hAnsi="Arial"/>
                <w:sz w:val="16"/>
                <w:szCs w:val="16"/>
                <w:b w:val="1"/>
                <w:bCs w:val="1"/>
                <w:color w:val="auto"/>
              </w:rPr>
              <w:t>Net loss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(10,407)</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w:t>
            </w:r>
          </w:p>
        </w:tc>
      </w:tr>
      <w:tr>
        <w:trPr>
          <w:trHeight w:val="230"/>
        </w:trPr>
        <w:tc>
          <w:tcPr>
            <w:tcW w:w="862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Loss per share</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8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r>
      <w:tr>
        <w:trPr>
          <w:trHeight w:val="233"/>
        </w:trPr>
        <w:tc>
          <w:tcPr>
            <w:tcW w:w="8620" w:type="dxa"/>
            <w:vAlign w:val="bottom"/>
          </w:tcPr>
          <w:p>
            <w:pPr>
              <w:ind w:left="24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(0.20)</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53"/>
        </w:trPr>
        <w:tc>
          <w:tcPr>
            <w:tcW w:w="86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(0.20)</w:t>
            </w:r>
          </w:p>
        </w:tc>
        <w:tc>
          <w:tcPr>
            <w:tcW w:w="280" w:type="dxa"/>
            <w:vAlign w:val="bottom"/>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r>
      <w:tr>
        <w:trPr>
          <w:trHeight w:val="233"/>
        </w:trPr>
        <w:tc>
          <w:tcPr>
            <w:tcW w:w="8620" w:type="dxa"/>
            <w:vAlign w:val="bottom"/>
          </w:tcPr>
          <w:p>
            <w:pPr>
              <w:ind w:left="20"/>
              <w:spacing w:after="0"/>
              <w:rPr>
                <w:sz w:val="20"/>
                <w:szCs w:val="20"/>
                <w:color w:val="auto"/>
              </w:rPr>
            </w:pPr>
            <w:r>
              <w:rPr>
                <w:rFonts w:ascii="Arial" w:cs="Arial" w:eastAsia="Arial" w:hAnsi="Arial"/>
                <w:sz w:val="16"/>
                <w:szCs w:val="16"/>
                <w:b w:val="1"/>
                <w:bCs w:val="1"/>
                <w:color w:val="auto"/>
              </w:rPr>
              <w:t>Common shares and equivalents outstanding</w:t>
            </w: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3"/>
        </w:trPr>
        <w:tc>
          <w:tcPr>
            <w:tcW w:w="86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Basic weighted average shares</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51,199,717</w:t>
            </w: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47,363,197</w:t>
            </w:r>
          </w:p>
        </w:tc>
      </w:tr>
      <w:tr>
        <w:trPr>
          <w:trHeight w:val="233"/>
        </w:trPr>
        <w:tc>
          <w:tcPr>
            <w:tcW w:w="8620" w:type="dxa"/>
            <w:vAlign w:val="bottom"/>
          </w:tcPr>
          <w:p>
            <w:pPr>
              <w:ind w:left="240"/>
              <w:spacing w:after="0"/>
              <w:rPr>
                <w:sz w:val="20"/>
                <w:szCs w:val="20"/>
                <w:color w:val="auto"/>
              </w:rPr>
            </w:pPr>
            <w:r>
              <w:rPr>
                <w:rFonts w:ascii="Arial" w:cs="Arial" w:eastAsia="Arial" w:hAnsi="Arial"/>
                <w:sz w:val="16"/>
                <w:szCs w:val="16"/>
                <w:color w:val="auto"/>
              </w:rPr>
              <w:t>Diluted weighted average shares</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51,199,717</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47,363,197</w:t>
            </w:r>
          </w:p>
        </w:tc>
      </w:tr>
      <w:tr>
        <w:trPr>
          <w:trHeight w:val="253"/>
        </w:trPr>
        <w:tc>
          <w:tcPr>
            <w:tcW w:w="8620" w:type="dxa"/>
            <w:vAlign w:val="bottom"/>
            <w:shd w:val="clear" w:color="auto" w:fill="F4F4F4"/>
          </w:tcPr>
          <w:p>
            <w:pPr>
              <w:ind w:left="20"/>
              <w:spacing w:after="0"/>
              <w:rPr>
                <w:sz w:val="20"/>
                <w:szCs w:val="20"/>
                <w:color w:val="auto"/>
              </w:rPr>
            </w:pPr>
            <w:r>
              <w:rPr>
                <w:rFonts w:ascii="Arial" w:cs="Arial" w:eastAsia="Arial" w:hAnsi="Arial"/>
                <w:sz w:val="16"/>
                <w:szCs w:val="16"/>
                <w:b w:val="1"/>
                <w:bCs w:val="1"/>
                <w:color w:val="auto"/>
              </w:rPr>
              <w:t>Other comprehensive income</w:t>
            </w:r>
          </w:p>
        </w:tc>
        <w:tc>
          <w:tcPr>
            <w:tcW w:w="26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c>
          <w:tcPr>
            <w:tcW w:w="280" w:type="dxa"/>
            <w:vAlign w:val="bottom"/>
            <w:shd w:val="clear" w:color="auto" w:fill="F4F4F4"/>
          </w:tcPr>
          <w:p>
            <w:pPr>
              <w:spacing w:after="0"/>
              <w:rPr>
                <w:sz w:val="21"/>
                <w:szCs w:val="21"/>
                <w:color w:val="auto"/>
              </w:rPr>
            </w:pPr>
          </w:p>
        </w:tc>
        <w:tc>
          <w:tcPr>
            <w:tcW w:w="1040" w:type="dxa"/>
            <w:vAlign w:val="bottom"/>
            <w:shd w:val="clear" w:color="auto" w:fill="F4F4F4"/>
          </w:tcPr>
          <w:p>
            <w:pPr>
              <w:spacing w:after="0"/>
              <w:rPr>
                <w:sz w:val="21"/>
                <w:szCs w:val="21"/>
                <w:color w:val="auto"/>
              </w:rPr>
            </w:pPr>
          </w:p>
        </w:tc>
      </w:tr>
      <w:tr>
        <w:trPr>
          <w:trHeight w:val="233"/>
        </w:trPr>
        <w:tc>
          <w:tcPr>
            <w:tcW w:w="8620" w:type="dxa"/>
            <w:vAlign w:val="bottom"/>
          </w:tcPr>
          <w:p>
            <w:pPr>
              <w:ind w:left="240"/>
              <w:spacing w:after="0"/>
              <w:rPr>
                <w:sz w:val="20"/>
                <w:szCs w:val="20"/>
                <w:color w:val="auto"/>
              </w:rPr>
            </w:pPr>
            <w:r>
              <w:rPr>
                <w:rFonts w:ascii="Arial" w:cs="Arial" w:eastAsia="Arial" w:hAnsi="Arial"/>
                <w:sz w:val="16"/>
                <w:szCs w:val="16"/>
                <w:color w:val="auto"/>
              </w:rPr>
              <w:t>Foreign currency translation adjustment</w:t>
            </w:r>
          </w:p>
        </w:tc>
        <w:tc>
          <w:tcPr>
            <w:tcW w:w="2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(2,132)</w:t>
            </w: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2,511</w:t>
            </w:r>
          </w:p>
        </w:tc>
      </w:tr>
      <w:tr>
        <w:trPr>
          <w:trHeight w:val="253"/>
        </w:trPr>
        <w:tc>
          <w:tcPr>
            <w:tcW w:w="8620" w:type="dxa"/>
            <w:vAlign w:val="bottom"/>
            <w:shd w:val="clear" w:color="auto" w:fill="F4F4F4"/>
          </w:tcPr>
          <w:p>
            <w:pPr>
              <w:ind w:left="240"/>
              <w:spacing w:after="0"/>
              <w:rPr>
                <w:sz w:val="20"/>
                <w:szCs w:val="20"/>
                <w:color w:val="auto"/>
              </w:rPr>
            </w:pPr>
            <w:r>
              <w:rPr>
                <w:rFonts w:ascii="Arial" w:cs="Arial" w:eastAsia="Arial" w:hAnsi="Arial"/>
                <w:sz w:val="16"/>
                <w:szCs w:val="16"/>
                <w:color w:val="auto"/>
              </w:rPr>
              <w:t>Unrealized gain on derivative instruments, net of tax</w:t>
            </w:r>
          </w:p>
        </w:tc>
        <w:tc>
          <w:tcPr>
            <w:tcW w:w="26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10,905</w:t>
            </w:r>
          </w:p>
        </w:tc>
        <w:tc>
          <w:tcPr>
            <w:tcW w:w="280" w:type="dxa"/>
            <w:vAlign w:val="bottom"/>
            <w:tcBorders>
              <w:bottom w:val="single" w:sz="8" w:color="auto"/>
            </w:tcBorders>
            <w:shd w:val="clear" w:color="auto" w:fill="F4F4F4"/>
          </w:tcPr>
          <w:p>
            <w:pPr>
              <w:spacing w:after="0"/>
              <w:rPr>
                <w:sz w:val="21"/>
                <w:szCs w:val="21"/>
                <w:color w:val="auto"/>
              </w:rPr>
            </w:pPr>
          </w:p>
        </w:tc>
        <w:tc>
          <w:tcPr>
            <w:tcW w:w="10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4,149</w:t>
            </w:r>
          </w:p>
        </w:tc>
      </w:tr>
      <w:tr>
        <w:trPr>
          <w:trHeight w:val="230"/>
        </w:trPr>
        <w:tc>
          <w:tcPr>
            <w:tcW w:w="8620" w:type="dxa"/>
            <w:vAlign w:val="bottom"/>
            <w:tcBorders>
              <w:bottom w:val="single" w:sz="8" w:color="F4F4F4"/>
            </w:tcBorders>
          </w:tcPr>
          <w:p>
            <w:pPr>
              <w:ind w:left="460"/>
              <w:spacing w:after="0"/>
              <w:rPr>
                <w:sz w:val="20"/>
                <w:szCs w:val="20"/>
                <w:color w:val="auto"/>
              </w:rPr>
            </w:pPr>
            <w:r>
              <w:rPr>
                <w:rFonts w:ascii="Arial" w:cs="Arial" w:eastAsia="Arial" w:hAnsi="Arial"/>
                <w:sz w:val="16"/>
                <w:szCs w:val="16"/>
                <w:b w:val="1"/>
                <w:bCs w:val="1"/>
                <w:color w:val="auto"/>
              </w:rPr>
              <w:t>Total other comprehensive income</w:t>
            </w: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8,773</w:t>
            </w: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6,660</w:t>
            </w:r>
          </w:p>
        </w:tc>
      </w:tr>
      <w:tr>
        <w:trPr>
          <w:trHeight w:val="237"/>
        </w:trPr>
        <w:tc>
          <w:tcPr>
            <w:tcW w:w="862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Comprehensive (loss) income</w:t>
            </w:r>
          </w:p>
        </w:tc>
        <w:tc>
          <w:tcPr>
            <w:tcW w:w="26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(1,634)</w:t>
            </w:r>
          </w:p>
        </w:tc>
        <w:tc>
          <w:tcPr>
            <w:tcW w:w="280" w:type="dxa"/>
            <w:vAlign w:val="bottom"/>
            <w:tcBorders>
              <w:bottom w:val="single" w:sz="8" w:color="71BF43"/>
            </w:tcBorders>
            <w:shd w:val="clear" w:color="auto" w:fill="F4F4F4"/>
          </w:tcPr>
          <w:p>
            <w:pPr>
              <w:jc w:val="right"/>
              <w:ind w:right="7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6,496</w:t>
            </w:r>
          </w:p>
        </w:tc>
      </w:tr>
    </w:tbl>
    <w:p>
      <w:pPr>
        <w:spacing w:after="0" w:line="6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46" w:lineRule="exact"/>
        <w:rPr>
          <w:sz w:val="20"/>
          <w:szCs w:val="20"/>
          <w:color w:val="auto"/>
        </w:rPr>
      </w:pPr>
    </w:p>
    <w:p>
      <w:pPr>
        <w:ind w:left="20"/>
        <w:spacing w:after="0"/>
        <w:tabs>
          <w:tab w:leader="none" w:pos="379" w:val="left"/>
        </w:tabs>
        <w:rPr>
          <w:sz w:val="20"/>
          <w:szCs w:val="20"/>
          <w:color w:val="auto"/>
        </w:rPr>
      </w:pPr>
      <w:r>
        <w:rPr>
          <w:rFonts w:ascii="Arial" w:cs="Arial" w:eastAsia="Arial" w:hAnsi="Arial"/>
          <w:sz w:val="14"/>
          <w:szCs w:val="14"/>
          <w:color w:val="auto"/>
        </w:rPr>
        <w:t>4</w:t>
      </w:r>
      <w:r>
        <w:rPr>
          <w:sz w:val="20"/>
          <w:szCs w:val="20"/>
          <w:color w:val="auto"/>
        </w:rPr>
        <w:tab/>
      </w:r>
      <w:r>
        <w:rPr>
          <w:sz w:val="1"/>
          <w:szCs w:val="1"/>
          <w:color w:val="auto"/>
        </w:rPr>
        <w:drawing>
          <wp:inline distT="0" distB="0" distL="0" distR="0">
            <wp:extent cx="676910" cy="1714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769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5" w:name="page6"/>
    <w:bookmarkEnd w:id="5"/>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7"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878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20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878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880" w:type="dxa"/>
            <w:vAlign w:val="bottom"/>
            <w:shd w:val="clear" w:color="auto" w:fill="ACACAC"/>
          </w:tcPr>
          <w:p>
            <w:pPr>
              <w:spacing w:after="0"/>
              <w:rPr>
                <w:sz w:val="16"/>
                <w:szCs w:val="16"/>
                <w:color w:val="auto"/>
              </w:rPr>
            </w:pPr>
          </w:p>
        </w:tc>
        <w:tc>
          <w:tcPr>
            <w:tcW w:w="320" w:type="dxa"/>
            <w:vAlign w:val="bottom"/>
            <w:shd w:val="clear" w:color="auto" w:fill="ACACAC"/>
          </w:tcPr>
          <w:p>
            <w:pPr>
              <w:spacing w:after="0"/>
              <w:rPr>
                <w:sz w:val="16"/>
                <w:szCs w:val="16"/>
                <w:color w:val="auto"/>
              </w:rPr>
            </w:pPr>
          </w:p>
        </w:tc>
        <w:tc>
          <w:tcPr>
            <w:tcW w:w="8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235"/>
        </w:trPr>
        <w:tc>
          <w:tcPr>
            <w:tcW w:w="87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20"/>
                <w:szCs w:val="20"/>
                <w:color w:val="auto"/>
              </w:rPr>
            </w:pPr>
          </w:p>
        </w:tc>
        <w:tc>
          <w:tcPr>
            <w:tcW w:w="8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20" w:type="dxa"/>
            <w:vAlign w:val="bottom"/>
            <w:tcBorders>
              <w:bottom w:val="single" w:sz="8" w:color="ACACAC"/>
            </w:tcBorders>
            <w:shd w:val="clear" w:color="auto" w:fill="ACACAC"/>
          </w:tcPr>
          <w:p>
            <w:pPr>
              <w:spacing w:after="0"/>
              <w:rPr>
                <w:sz w:val="20"/>
                <w:szCs w:val="20"/>
                <w:color w:val="auto"/>
              </w:rPr>
            </w:pPr>
          </w:p>
        </w:tc>
        <w:tc>
          <w:tcPr>
            <w:tcW w:w="8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43"/>
        </w:trPr>
        <w:tc>
          <w:tcPr>
            <w:tcW w:w="878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Cash flows from operating activities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8780" w:type="dxa"/>
            <w:vAlign w:val="bottom"/>
          </w:tcPr>
          <w:p>
            <w:pPr>
              <w:ind w:left="24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(10,407)</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34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25,545</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20,461</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560"/>
              <w:spacing w:after="0"/>
              <w:rPr>
                <w:sz w:val="20"/>
                <w:szCs w:val="20"/>
                <w:color w:val="auto"/>
              </w:rPr>
            </w:pPr>
            <w:r>
              <w:rPr>
                <w:rFonts w:ascii="Arial" w:cs="Arial" w:eastAsia="Arial" w:hAnsi="Arial"/>
                <w:sz w:val="16"/>
                <w:szCs w:val="16"/>
                <w:color w:val="auto"/>
              </w:rPr>
              <w:t>Provision for credit losses and sales returns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1,875</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2,141</w:t>
            </w:r>
          </w:p>
        </w:tc>
        <w:tc>
          <w:tcPr>
            <w:tcW w:w="20" w:type="dxa"/>
            <w:vAlign w:val="bottom"/>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Stock-based compensation expense</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27,860</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30,005</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560"/>
              <w:spacing w:after="0"/>
              <w:rPr>
                <w:sz w:val="20"/>
                <w:szCs w:val="20"/>
                <w:color w:val="auto"/>
              </w:rPr>
            </w:pPr>
            <w:r>
              <w:rPr>
                <w:rFonts w:ascii="Arial" w:cs="Arial" w:eastAsia="Arial" w:hAnsi="Arial"/>
                <w:sz w:val="16"/>
                <w:szCs w:val="16"/>
                <w:color w:val="auto"/>
              </w:rPr>
              <w:t>Deferred taxes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(7,431)</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(1,142)</w:t>
            </w:r>
          </w:p>
        </w:tc>
        <w:tc>
          <w:tcPr>
            <w:tcW w:w="20" w:type="dxa"/>
            <w:vAlign w:val="bottom"/>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Amortization of deferred financing costs and discount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645</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506</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560"/>
              <w:spacing w:after="0"/>
              <w:rPr>
                <w:sz w:val="20"/>
                <w:szCs w:val="20"/>
                <w:color w:val="auto"/>
              </w:rPr>
            </w:pPr>
            <w:r>
              <w:rPr>
                <w:rFonts w:ascii="Arial" w:cs="Arial" w:eastAsia="Arial" w:hAnsi="Arial"/>
                <w:sz w:val="16"/>
                <w:szCs w:val="16"/>
                <w:color w:val="auto"/>
              </w:rPr>
              <w:t>Other non-cash adjustments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(150)</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21"/>
                <w:szCs w:val="21"/>
                <w:color w:val="auto"/>
              </w:rPr>
            </w:pPr>
          </w:p>
        </w:tc>
      </w:tr>
      <w:tr>
        <w:trPr>
          <w:trHeight w:val="233"/>
        </w:trPr>
        <w:tc>
          <w:tcPr>
            <w:tcW w:w="8780" w:type="dxa"/>
            <w:vAlign w:val="bottom"/>
          </w:tcPr>
          <w:p>
            <w:pPr>
              <w:ind w:left="560"/>
              <w:spacing w:after="0"/>
              <w:rPr>
                <w:sz w:val="20"/>
                <w:szCs w:val="20"/>
                <w:color w:val="auto"/>
              </w:rPr>
            </w:pPr>
            <w:r>
              <w:rPr>
                <w:rFonts w:ascii="Arial" w:cs="Arial" w:eastAsia="Arial" w:hAnsi="Arial"/>
                <w:sz w:val="16"/>
                <w:szCs w:val="16"/>
                <w:color w:val="auto"/>
              </w:rPr>
              <w:t>Changes in operating assets and liabilities, net of acquisition and disposal of businesses:</w:t>
            </w:r>
          </w:p>
        </w:tc>
        <w:tc>
          <w:tcPr>
            <w:tcW w:w="3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Accounts receivable</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9,010</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10,407</w:t>
            </w:r>
          </w:p>
        </w:tc>
        <w:tc>
          <w:tcPr>
            <w:tcW w:w="20" w:type="dxa"/>
            <w:vAlign w:val="bottom"/>
          </w:tcPr>
          <w:p>
            <w:pPr>
              <w:spacing w:after="0"/>
              <w:rPr>
                <w:sz w:val="21"/>
                <w:szCs w:val="21"/>
                <w:color w:val="auto"/>
              </w:rPr>
            </w:pPr>
          </w:p>
        </w:tc>
      </w:tr>
      <w:tr>
        <w:trPr>
          <w:trHeight w:val="233"/>
        </w:trPr>
        <w:tc>
          <w:tcPr>
            <w:tcW w:w="8780" w:type="dxa"/>
            <w:vAlign w:val="bottom"/>
          </w:tcPr>
          <w:p>
            <w:pPr>
              <w:ind w:left="660"/>
              <w:spacing w:after="0"/>
              <w:rPr>
                <w:sz w:val="20"/>
                <w:szCs w:val="20"/>
                <w:color w:val="auto"/>
              </w:rPr>
            </w:pPr>
            <w:r>
              <w:rPr>
                <w:rFonts w:ascii="Arial" w:cs="Arial" w:eastAsia="Arial" w:hAnsi="Arial"/>
                <w:sz w:val="16"/>
                <w:szCs w:val="16"/>
                <w:color w:val="auto"/>
              </w:rPr>
              <w:t>Prepaid expenses and other assets</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(2,067)</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(17,426)</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Trade accounts payable</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15,919</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7,550</w:t>
            </w:r>
          </w:p>
        </w:tc>
        <w:tc>
          <w:tcPr>
            <w:tcW w:w="20" w:type="dxa"/>
            <w:vAlign w:val="bottom"/>
          </w:tcPr>
          <w:p>
            <w:pPr>
              <w:spacing w:after="0"/>
              <w:rPr>
                <w:sz w:val="21"/>
                <w:szCs w:val="21"/>
                <w:color w:val="auto"/>
              </w:rPr>
            </w:pPr>
          </w:p>
        </w:tc>
      </w:tr>
      <w:tr>
        <w:trPr>
          <w:trHeight w:val="233"/>
        </w:trPr>
        <w:tc>
          <w:tcPr>
            <w:tcW w:w="8780" w:type="dxa"/>
            <w:vAlign w:val="bottom"/>
          </w:tcPr>
          <w:p>
            <w:pPr>
              <w:ind w:left="660"/>
              <w:spacing w:after="0"/>
              <w:rPr>
                <w:sz w:val="20"/>
                <w:szCs w:val="20"/>
                <w:color w:val="auto"/>
              </w:rPr>
            </w:pPr>
            <w:r>
              <w:rPr>
                <w:rFonts w:ascii="Arial" w:cs="Arial" w:eastAsia="Arial" w:hAnsi="Arial"/>
                <w:sz w:val="16"/>
                <w:szCs w:val="16"/>
                <w:color w:val="auto"/>
              </w:rPr>
              <w:t>Accrued expenses and other liabilities</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(13,430)</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549</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660"/>
              <w:spacing w:after="0"/>
              <w:rPr>
                <w:sz w:val="20"/>
                <w:szCs w:val="20"/>
                <w:color w:val="auto"/>
              </w:rPr>
            </w:pPr>
            <w:r>
              <w:rPr>
                <w:rFonts w:ascii="Arial" w:cs="Arial" w:eastAsia="Arial" w:hAnsi="Arial"/>
                <w:sz w:val="16"/>
                <w:szCs w:val="16"/>
                <w:color w:val="auto"/>
              </w:rPr>
              <w:t>Deferred revenue</w:t>
            </w:r>
          </w:p>
        </w:tc>
        <w:tc>
          <w:tcPr>
            <w:tcW w:w="340" w:type="dxa"/>
            <w:vAlign w:val="bottom"/>
            <w:tcBorders>
              <w:bottom w:val="single" w:sz="8" w:color="auto"/>
            </w:tcBorders>
            <w:shd w:val="clear" w:color="auto" w:fill="F4F4F4"/>
          </w:tcPr>
          <w:p>
            <w:pPr>
              <w:spacing w:after="0"/>
              <w:rPr>
                <w:sz w:val="21"/>
                <w:szCs w:val="21"/>
                <w:color w:val="auto"/>
              </w:rPr>
            </w:pPr>
          </w:p>
        </w:tc>
        <w:tc>
          <w:tcPr>
            <w:tcW w:w="8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(22,865)</w:t>
            </w:r>
          </w:p>
        </w:tc>
        <w:tc>
          <w:tcPr>
            <w:tcW w:w="320" w:type="dxa"/>
            <w:vAlign w:val="bottom"/>
            <w:tcBorders>
              <w:bottom w:val="single" w:sz="8" w:color="auto"/>
            </w:tcBorders>
            <w:shd w:val="clear" w:color="auto" w:fill="F4F4F4"/>
          </w:tcPr>
          <w:p>
            <w:pPr>
              <w:spacing w:after="0"/>
              <w:rPr>
                <w:sz w:val="21"/>
                <w:szCs w:val="21"/>
                <w:color w:val="auto"/>
              </w:rPr>
            </w:pPr>
          </w:p>
        </w:tc>
        <w:tc>
          <w:tcPr>
            <w:tcW w:w="88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6"/>
                <w:szCs w:val="16"/>
                <w:color w:val="auto"/>
              </w:rPr>
              <w:t>(22,752)</w:t>
            </w:r>
          </w:p>
        </w:tc>
        <w:tc>
          <w:tcPr>
            <w:tcW w:w="20" w:type="dxa"/>
            <w:vAlign w:val="bottom"/>
          </w:tcPr>
          <w:p>
            <w:pPr>
              <w:spacing w:after="0"/>
              <w:rPr>
                <w:sz w:val="21"/>
                <w:szCs w:val="21"/>
                <w:color w:val="auto"/>
              </w:rPr>
            </w:pPr>
          </w:p>
        </w:tc>
      </w:tr>
      <w:tr>
        <w:trPr>
          <w:trHeight w:val="227"/>
        </w:trPr>
        <w:tc>
          <w:tcPr>
            <w:tcW w:w="8780" w:type="dxa"/>
            <w:vAlign w:val="bottom"/>
          </w:tcPr>
          <w:p>
            <w:pPr>
              <w:ind w:left="880"/>
              <w:spacing w:after="0"/>
              <w:rPr>
                <w:sz w:val="20"/>
                <w:szCs w:val="20"/>
                <w:color w:val="auto"/>
              </w:rPr>
            </w:pPr>
            <w:r>
              <w:rPr>
                <w:rFonts w:ascii="Arial" w:cs="Arial" w:eastAsia="Arial" w:hAnsi="Arial"/>
                <w:sz w:val="16"/>
                <w:szCs w:val="16"/>
                <w:b w:val="1"/>
                <w:bCs w:val="1"/>
                <w:color w:val="auto"/>
              </w:rPr>
              <w:t>Net cash provided by operating activities</w:t>
            </w:r>
          </w:p>
        </w:tc>
        <w:tc>
          <w:tcPr>
            <w:tcW w:w="3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24,504</w:t>
            </w:r>
          </w:p>
        </w:tc>
        <w:tc>
          <w:tcPr>
            <w:tcW w:w="3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30,103</w:t>
            </w:r>
          </w:p>
        </w:tc>
        <w:tc>
          <w:tcPr>
            <w:tcW w:w="20" w:type="dxa"/>
            <w:vAlign w:val="bottom"/>
          </w:tcPr>
          <w:p>
            <w:pPr>
              <w:spacing w:after="0"/>
              <w:rPr>
                <w:sz w:val="19"/>
                <w:szCs w:val="19"/>
                <w:color w:val="auto"/>
              </w:rPr>
            </w:pPr>
          </w:p>
        </w:tc>
      </w:tr>
      <w:tr>
        <w:trPr>
          <w:trHeight w:val="253"/>
        </w:trPr>
        <w:tc>
          <w:tcPr>
            <w:tcW w:w="8780" w:type="dxa"/>
            <w:vAlign w:val="bottom"/>
            <w:shd w:val="clear" w:color="auto" w:fill="F4F4F4"/>
          </w:tcPr>
          <w:p>
            <w:pPr>
              <w:ind w:left="120"/>
              <w:spacing w:after="0"/>
              <w:rPr>
                <w:sz w:val="20"/>
                <w:szCs w:val="20"/>
                <w:color w:val="auto"/>
              </w:rPr>
            </w:pPr>
            <w:r>
              <w:rPr>
                <w:rFonts w:ascii="Arial" w:cs="Arial" w:eastAsia="Arial" w:hAnsi="Arial"/>
                <w:sz w:val="16"/>
                <w:szCs w:val="16"/>
                <w:b w:val="1"/>
                <w:bCs w:val="1"/>
                <w:color w:val="auto"/>
              </w:rPr>
              <w:t>Cash flows from investing activities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33"/>
        </w:trPr>
        <w:tc>
          <w:tcPr>
            <w:tcW w:w="8780" w:type="dxa"/>
            <w:vAlign w:val="bottom"/>
          </w:tcPr>
          <w:p>
            <w:pPr>
              <w:ind w:left="240"/>
              <w:spacing w:after="0"/>
              <w:rPr>
                <w:sz w:val="20"/>
                <w:szCs w:val="20"/>
                <w:color w:val="auto"/>
              </w:rPr>
            </w:pPr>
            <w:r>
              <w:rPr>
                <w:rFonts w:ascii="Arial" w:cs="Arial" w:eastAsia="Arial" w:hAnsi="Arial"/>
                <w:sz w:val="16"/>
                <w:szCs w:val="16"/>
                <w:color w:val="auto"/>
              </w:rPr>
              <w:t>Purchase of property and equipment</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(4,266)</w:t>
            </w: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(3,470)</w:t>
            </w:r>
          </w:p>
        </w:tc>
        <w:tc>
          <w:tcPr>
            <w:tcW w:w="20" w:type="dxa"/>
            <w:vAlign w:val="bottom"/>
          </w:tcPr>
          <w:p>
            <w:pPr>
              <w:spacing w:after="0"/>
              <w:rPr>
                <w:sz w:val="20"/>
                <w:szCs w:val="20"/>
                <w:color w:val="auto"/>
              </w:rPr>
            </w:pPr>
          </w:p>
        </w:tc>
      </w:tr>
      <w:tr>
        <w:trPr>
          <w:trHeight w:val="253"/>
        </w:trPr>
        <w:tc>
          <w:tcPr>
            <w:tcW w:w="8780" w:type="dxa"/>
            <w:vAlign w:val="bottom"/>
            <w:shd w:val="clear" w:color="auto" w:fill="F4F4F4"/>
          </w:tcPr>
          <w:p>
            <w:pPr>
              <w:ind w:left="240"/>
              <w:spacing w:after="0"/>
              <w:rPr>
                <w:sz w:val="20"/>
                <w:szCs w:val="20"/>
                <w:color w:val="auto"/>
              </w:rPr>
            </w:pPr>
            <w:r>
              <w:rPr>
                <w:rFonts w:ascii="Arial" w:cs="Arial" w:eastAsia="Arial" w:hAnsi="Arial"/>
                <w:sz w:val="16"/>
                <w:szCs w:val="16"/>
                <w:color w:val="auto"/>
              </w:rPr>
              <w:t>Capitalized software development costs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(12,683)</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(9,302)</w:t>
            </w:r>
          </w:p>
        </w:tc>
        <w:tc>
          <w:tcPr>
            <w:tcW w:w="20" w:type="dxa"/>
            <w:vAlign w:val="bottom"/>
          </w:tcPr>
          <w:p>
            <w:pPr>
              <w:spacing w:after="0"/>
              <w:rPr>
                <w:sz w:val="21"/>
                <w:szCs w:val="21"/>
                <w:color w:val="auto"/>
              </w:rPr>
            </w:pPr>
          </w:p>
        </w:tc>
      </w:tr>
      <w:tr>
        <w:trPr>
          <w:trHeight w:val="236"/>
        </w:trPr>
        <w:tc>
          <w:tcPr>
            <w:tcW w:w="8780" w:type="dxa"/>
            <w:vAlign w:val="bottom"/>
            <w:tcBorders>
              <w:bottom w:val="single" w:sz="8" w:color="F4F4F4"/>
            </w:tcBorders>
          </w:tcPr>
          <w:p>
            <w:pPr>
              <w:ind w:left="240"/>
              <w:spacing w:after="0"/>
              <w:rPr>
                <w:sz w:val="20"/>
                <w:szCs w:val="20"/>
                <w:color w:val="auto"/>
              </w:rPr>
            </w:pPr>
            <w:r>
              <w:rPr>
                <w:rFonts w:ascii="Arial" w:cs="Arial" w:eastAsia="Arial" w:hAnsi="Arial"/>
                <w:sz w:val="16"/>
                <w:szCs w:val="16"/>
                <w:color w:val="auto"/>
              </w:rPr>
              <w:t>Purchase of net assets of acquired companies, net of cash and restricted cash acquired</w:t>
            </w:r>
          </w:p>
        </w:tc>
        <w:tc>
          <w:tcPr>
            <w:tcW w:w="3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(19,985)</w:t>
            </w:r>
          </w:p>
        </w:tc>
        <w:tc>
          <w:tcPr>
            <w:tcW w:w="3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r>
      <w:tr>
        <w:trPr>
          <w:trHeight w:val="243"/>
        </w:trPr>
        <w:tc>
          <w:tcPr>
            <w:tcW w:w="8780" w:type="dxa"/>
            <w:vAlign w:val="bottom"/>
            <w:shd w:val="clear" w:color="auto" w:fill="F4F4F4"/>
          </w:tcPr>
          <w:p>
            <w:pPr>
              <w:ind w:left="880"/>
              <w:spacing w:after="0"/>
              <w:rPr>
                <w:sz w:val="20"/>
                <w:szCs w:val="20"/>
                <w:color w:val="auto"/>
              </w:rPr>
            </w:pPr>
            <w:r>
              <w:rPr>
                <w:rFonts w:ascii="Arial" w:cs="Arial" w:eastAsia="Arial" w:hAnsi="Arial"/>
                <w:sz w:val="16"/>
                <w:szCs w:val="16"/>
                <w:b w:val="1"/>
                <w:bCs w:val="1"/>
                <w:color w:val="auto"/>
              </w:rPr>
              <w:t>Net cash used in investing activities</w:t>
            </w:r>
          </w:p>
        </w:tc>
        <w:tc>
          <w:tcPr>
            <w:tcW w:w="34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(36,934)</w:t>
            </w:r>
          </w:p>
        </w:tc>
        <w:tc>
          <w:tcPr>
            <w:tcW w:w="320" w:type="dxa"/>
            <w:vAlign w:val="bottom"/>
            <w:shd w:val="clear" w:color="auto" w:fill="F4F4F4"/>
          </w:tcPr>
          <w:p>
            <w:pPr>
              <w:spacing w:after="0"/>
              <w:rPr>
                <w:sz w:val="21"/>
                <w:szCs w:val="21"/>
                <w:color w:val="auto"/>
              </w:rPr>
            </w:pPr>
          </w:p>
        </w:tc>
        <w:tc>
          <w:tcPr>
            <w:tcW w:w="8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(12,772)</w:t>
            </w:r>
          </w:p>
        </w:tc>
        <w:tc>
          <w:tcPr>
            <w:tcW w:w="20" w:type="dxa"/>
            <w:vAlign w:val="bottom"/>
          </w:tcPr>
          <w:p>
            <w:pPr>
              <w:spacing w:after="0"/>
              <w:rPr>
                <w:sz w:val="21"/>
                <w:szCs w:val="21"/>
                <w:color w:val="auto"/>
              </w:rPr>
            </w:pPr>
          </w:p>
        </w:tc>
      </w:tr>
      <w:tr>
        <w:trPr>
          <w:trHeight w:val="223"/>
        </w:trPr>
        <w:tc>
          <w:tcPr>
            <w:tcW w:w="8780" w:type="dxa"/>
            <w:vAlign w:val="bottom"/>
          </w:tcPr>
          <w:p>
            <w:pPr>
              <w:ind w:left="120"/>
              <w:spacing w:after="0"/>
              <w:rPr>
                <w:sz w:val="20"/>
                <w:szCs w:val="20"/>
                <w:color w:val="auto"/>
              </w:rPr>
            </w:pPr>
            <w:r>
              <w:rPr>
                <w:rFonts w:ascii="Arial" w:cs="Arial" w:eastAsia="Arial" w:hAnsi="Arial"/>
                <w:sz w:val="16"/>
                <w:szCs w:val="16"/>
                <w:b w:val="1"/>
                <w:bCs w:val="1"/>
                <w:color w:val="auto"/>
              </w:rPr>
              <w:t>Cash flows from financing activities</w:t>
            </w: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12700</wp:posOffset>
            </wp:positionV>
            <wp:extent cx="7115175"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-3552825</wp:posOffset>
            </wp:positionV>
            <wp:extent cx="155130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p>
      <w:pPr>
        <w:spacing w:after="0" w:line="4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Proceeds from issuance of debt</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Payments on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Employee taxes paid for withheld shares upon equity award settlement</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Change in due to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Change in customer funds receivable</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Purchase of treasury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9" w:lineRule="exact"/>
        <w:rPr>
          <w:sz w:val="20"/>
          <w:szCs w:val="20"/>
          <w:color w:val="auto"/>
        </w:rPr>
      </w:pPr>
    </w:p>
    <w:p>
      <w:pPr>
        <w:ind w:left="90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Effect of exchange rate on cash, cash equivalents and restricted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19050</wp:posOffset>
            </wp:positionV>
            <wp:extent cx="7115175" cy="1631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15175" cy="163195"/>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decrease in cash, cash equivalents and restricted cash</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31750</wp:posOffset>
            </wp:positionV>
            <wp:extent cx="7115175"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15175" cy="162560"/>
                    </a:xfrm>
                    <a:prstGeom prst="rect">
                      <a:avLst/>
                    </a:prstGeom>
                    <a:noFill/>
                  </pic:spPr>
                </pic:pic>
              </a:graphicData>
            </a:graphic>
          </wp:anchor>
        </w:drawing>
      </w:r>
    </w:p>
    <w:p>
      <w:pPr>
        <w:spacing w:after="0" w:line="39"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cash equivalents and restricted cash,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40640</wp:posOffset>
            </wp:positionV>
            <wp:extent cx="711517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left="620"/>
        <w:spacing w:after="0"/>
        <w:tabs>
          <w:tab w:leader="none" w:pos="1820" w:val="left"/>
        </w:tabs>
        <w:rPr>
          <w:sz w:val="20"/>
          <w:szCs w:val="20"/>
          <w:color w:val="auto"/>
        </w:rPr>
      </w:pPr>
      <w:r>
        <w:rPr>
          <w:rFonts w:ascii="Arial" w:cs="Arial" w:eastAsia="Arial" w:hAnsi="Arial"/>
          <w:sz w:val="16"/>
          <w:szCs w:val="16"/>
          <w:color w:val="auto"/>
        </w:rPr>
        <w:t>59,400</w:t>
      </w:r>
      <w:r>
        <w:rPr>
          <w:sz w:val="20"/>
          <w:szCs w:val="20"/>
          <w:color w:val="auto"/>
        </w:rPr>
        <w:tab/>
      </w:r>
      <w:r>
        <w:rPr>
          <w:rFonts w:ascii="Arial" w:cs="Arial" w:eastAsia="Arial" w:hAnsi="Arial"/>
          <w:sz w:val="16"/>
          <w:szCs w:val="16"/>
          <w:color w:val="auto"/>
        </w:rPr>
        <w:t>80,700</w:t>
      </w:r>
    </w:p>
    <w:p>
      <w:pPr>
        <w:spacing w:after="0" w:line="59" w:lineRule="exact"/>
        <w:rPr>
          <w:sz w:val="20"/>
          <w:szCs w:val="20"/>
          <w:color w:val="auto"/>
        </w:rPr>
      </w:pPr>
    </w:p>
    <w:p>
      <w:pPr>
        <w:jc w:val="both"/>
        <w:ind w:left="560"/>
        <w:spacing w:after="0"/>
        <w:tabs>
          <w:tab w:leader="none" w:pos="1760" w:val="left"/>
        </w:tabs>
        <w:rPr>
          <w:sz w:val="20"/>
          <w:szCs w:val="20"/>
          <w:color w:val="auto"/>
        </w:rPr>
      </w:pPr>
      <w:r>
        <w:rPr>
          <w:rFonts w:ascii="Arial" w:cs="Arial" w:eastAsia="Arial" w:hAnsi="Arial"/>
          <w:sz w:val="16"/>
          <w:szCs w:val="16"/>
          <w:color w:val="auto"/>
        </w:rPr>
        <w:t>(33,765)</w:t>
      </w:r>
      <w:r>
        <w:rPr>
          <w:sz w:val="20"/>
          <w:szCs w:val="20"/>
          <w:color w:val="auto"/>
        </w:rPr>
        <w:tab/>
      </w:r>
      <w:r>
        <w:rPr>
          <w:rFonts w:ascii="Arial" w:cs="Arial" w:eastAsia="Arial" w:hAnsi="Arial"/>
          <w:sz w:val="16"/>
          <w:szCs w:val="16"/>
          <w:color w:val="auto"/>
        </w:rPr>
        <w:t>(59,667)</w:t>
      </w:r>
    </w:p>
    <w:p>
      <w:pPr>
        <w:spacing w:after="0" w:line="59" w:lineRule="exact"/>
        <w:rPr>
          <w:sz w:val="20"/>
          <w:szCs w:val="20"/>
          <w:color w:val="auto"/>
        </w:rPr>
      </w:pPr>
    </w:p>
    <w:p>
      <w:pPr>
        <w:jc w:val="both"/>
        <w:ind w:left="560"/>
        <w:spacing w:after="0"/>
        <w:tabs>
          <w:tab w:leader="none" w:pos="1760" w:val="left"/>
        </w:tabs>
        <w:rPr>
          <w:sz w:val="20"/>
          <w:szCs w:val="20"/>
          <w:color w:val="auto"/>
        </w:rPr>
      </w:pPr>
      <w:r>
        <w:rPr>
          <w:rFonts w:ascii="Arial" w:cs="Arial" w:eastAsia="Arial" w:hAnsi="Arial"/>
          <w:sz w:val="16"/>
          <w:szCs w:val="16"/>
          <w:color w:val="auto"/>
        </w:rPr>
        <w:t>(34,674)</w:t>
      </w:r>
      <w:r>
        <w:rPr>
          <w:sz w:val="20"/>
          <w:szCs w:val="20"/>
          <w:color w:val="auto"/>
        </w:rPr>
        <w:tab/>
      </w:r>
      <w:r>
        <w:rPr>
          <w:rFonts w:ascii="Arial" w:cs="Arial" w:eastAsia="Arial" w:hAnsi="Arial"/>
          <w:sz w:val="16"/>
          <w:szCs w:val="16"/>
          <w:color w:val="auto"/>
        </w:rPr>
        <w:t>(18,426)</w:t>
      </w:r>
    </w:p>
    <w:p>
      <w:pPr>
        <w:spacing w:after="0" w:line="59" w:lineRule="exact"/>
        <w:rPr>
          <w:sz w:val="20"/>
          <w:szCs w:val="20"/>
          <w:color w:val="auto"/>
        </w:rPr>
      </w:pPr>
    </w:p>
    <w:p>
      <w:pPr>
        <w:jc w:val="both"/>
        <w:ind w:left="480"/>
        <w:spacing w:after="0"/>
        <w:tabs>
          <w:tab w:leader="none" w:pos="1660" w:val="left"/>
        </w:tabs>
        <w:rPr>
          <w:sz w:val="20"/>
          <w:szCs w:val="20"/>
          <w:color w:val="auto"/>
        </w:rPr>
      </w:pPr>
      <w:r>
        <w:rPr>
          <w:rFonts w:ascii="Arial" w:cs="Arial" w:eastAsia="Arial" w:hAnsi="Arial"/>
          <w:sz w:val="16"/>
          <w:szCs w:val="16"/>
          <w:color w:val="auto"/>
        </w:rPr>
        <w:t>(315,294)</w:t>
      </w:r>
      <w:r>
        <w:rPr>
          <w:sz w:val="20"/>
          <w:szCs w:val="20"/>
          <w:color w:val="auto"/>
        </w:rPr>
        <w:tab/>
      </w:r>
      <w:r>
        <w:rPr>
          <w:rFonts w:ascii="Arial" w:cs="Arial" w:eastAsia="Arial" w:hAnsi="Arial"/>
          <w:sz w:val="16"/>
          <w:szCs w:val="16"/>
          <w:color w:val="auto"/>
        </w:rPr>
        <w:t>(353,597)</w:t>
      </w:r>
    </w:p>
    <w:p>
      <w:pPr>
        <w:spacing w:after="0" w:line="59" w:lineRule="exact"/>
        <w:rPr>
          <w:sz w:val="20"/>
          <w:szCs w:val="20"/>
          <w:color w:val="auto"/>
        </w:rPr>
      </w:pPr>
    </w:p>
    <w:p>
      <w:pPr>
        <w:jc w:val="both"/>
        <w:ind w:left="660"/>
        <w:spacing w:after="0"/>
        <w:tabs>
          <w:tab w:leader="none" w:pos="1980" w:val="left"/>
        </w:tabs>
        <w:rPr>
          <w:sz w:val="20"/>
          <w:szCs w:val="20"/>
          <w:color w:val="auto"/>
        </w:rPr>
      </w:pPr>
      <w:r>
        <w:rPr>
          <w:rFonts w:ascii="Arial" w:cs="Arial" w:eastAsia="Arial" w:hAnsi="Arial"/>
          <w:sz w:val="16"/>
          <w:szCs w:val="16"/>
          <w:color w:val="auto"/>
        </w:rPr>
        <w:t>(1,115)</w:t>
      </w:r>
      <w:r>
        <w:rPr>
          <w:sz w:val="20"/>
          <w:szCs w:val="20"/>
          <w:color w:val="auto"/>
        </w:rPr>
        <w:tab/>
      </w:r>
      <w:r>
        <w:rPr>
          <w:rFonts w:ascii="Arial" w:cs="Arial" w:eastAsia="Arial" w:hAnsi="Arial"/>
          <w:sz w:val="16"/>
          <w:szCs w:val="16"/>
          <w:color w:val="auto"/>
        </w:rPr>
        <w:t>(563)</w:t>
      </w:r>
    </w:p>
    <w:p>
      <w:pPr>
        <w:spacing w:after="0" w:line="59" w:lineRule="exact"/>
        <w:rPr>
          <w:sz w:val="20"/>
          <w:szCs w:val="20"/>
          <w:color w:val="auto"/>
        </w:rPr>
      </w:pPr>
    </w:p>
    <w:p>
      <w:pPr>
        <w:ind w:left="960"/>
        <w:spacing w:after="0"/>
        <w:rPr>
          <w:sz w:val="20"/>
          <w:szCs w:val="20"/>
          <w:color w:val="auto"/>
        </w:rPr>
      </w:pPr>
      <w:r>
        <w:rPr>
          <w:rFonts w:ascii="Arial" w:cs="Arial" w:eastAsia="Arial" w:hAnsi="Arial"/>
          <w:sz w:val="16"/>
          <w:szCs w:val="16"/>
          <w:color w:val="auto"/>
        </w:rPr>
        <w:t>—(28,066)</w:t>
      </w:r>
    </w:p>
    <w:p>
      <w:pPr>
        <w:spacing w:after="0" w:line="7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(325,448)(379,619)</w:t>
      </w:r>
    </w:p>
    <w:p>
      <w:pPr>
        <w:spacing w:after="0" w:line="59" w:lineRule="exact"/>
        <w:rPr>
          <w:sz w:val="20"/>
          <w:szCs w:val="20"/>
          <w:color w:val="auto"/>
        </w:rPr>
      </w:pPr>
    </w:p>
    <w:p>
      <w:pPr>
        <w:ind w:left="2060" w:hanging="1274"/>
        <w:spacing w:after="0"/>
        <w:tabs>
          <w:tab w:leader="none" w:pos="2060" w:val="left"/>
        </w:tabs>
        <w:numPr>
          <w:ilvl w:val="0"/>
          <w:numId w:val="4"/>
        </w:numPr>
        <w:rPr>
          <w:rFonts w:ascii="Arial" w:cs="Arial" w:eastAsia="Arial" w:hAnsi="Arial"/>
          <w:sz w:val="16"/>
          <w:szCs w:val="16"/>
          <w:color w:val="auto"/>
        </w:rPr>
      </w:pPr>
      <w:r>
        <w:rPr>
          <w:rFonts w:ascii="Arial" w:cs="Arial" w:eastAsia="Arial" w:hAnsi="Arial"/>
          <w:sz w:val="16"/>
          <w:szCs w:val="16"/>
          <w:color w:val="auto"/>
        </w:rPr>
        <w:t>230</w:t>
      </w:r>
    </w:p>
    <w:p>
      <w:pPr>
        <w:spacing w:after="0" w:line="72" w:lineRule="exact"/>
        <w:rPr>
          <w:rFonts w:ascii="Arial" w:cs="Arial" w:eastAsia="Arial" w:hAnsi="Arial"/>
          <w:sz w:val="16"/>
          <w:szCs w:val="16"/>
          <w:color w:val="auto"/>
        </w:rPr>
      </w:pPr>
    </w:p>
    <w:p>
      <w:pPr>
        <w:ind w:left="480"/>
        <w:spacing w:after="0"/>
        <w:rPr>
          <w:rFonts w:ascii="Arial" w:cs="Arial" w:eastAsia="Arial" w:hAnsi="Arial"/>
          <w:sz w:val="16"/>
          <w:szCs w:val="16"/>
          <w:color w:val="auto"/>
        </w:rPr>
      </w:pPr>
      <w:r>
        <w:rPr>
          <w:rFonts w:ascii="Arial" w:cs="Arial" w:eastAsia="Arial" w:hAnsi="Arial"/>
          <w:sz w:val="16"/>
          <w:szCs w:val="16"/>
          <w:color w:val="auto"/>
        </w:rPr>
        <w:t>(338,382)(362,058)</w:t>
      </w:r>
    </w:p>
    <w:p>
      <w:pPr>
        <w:spacing w:after="0" w:line="59"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6"/>
          <w:szCs w:val="16"/>
          <w:color w:val="auto"/>
        </w:rPr>
        <w:t>651,762644,969</w:t>
      </w:r>
    </w:p>
    <w:p>
      <w:pPr>
        <w:spacing w:after="0" w:line="73" w:lineRule="exact"/>
        <w:rPr>
          <w:sz w:val="20"/>
          <w:szCs w:val="20"/>
          <w:color w:val="auto"/>
        </w:rPr>
      </w:pPr>
    </w:p>
    <w:p>
      <w:pPr>
        <w:spacing w:after="0"/>
        <w:tabs>
          <w:tab w:leader="none" w:pos="520" w:val="left"/>
          <w:tab w:leader="none" w:pos="17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313,380 $</w:t>
      </w:r>
      <w:r>
        <w:rPr>
          <w:sz w:val="20"/>
          <w:szCs w:val="20"/>
          <w:color w:val="auto"/>
        </w:rPr>
        <w:tab/>
      </w:r>
      <w:r>
        <w:rPr>
          <w:rFonts w:ascii="Arial" w:cs="Arial" w:eastAsia="Arial" w:hAnsi="Arial"/>
          <w:sz w:val="16"/>
          <w:szCs w:val="16"/>
          <w:color w:val="auto"/>
        </w:rPr>
        <w:t>282,911</w:t>
      </w:r>
    </w:p>
    <w:p>
      <w:pPr>
        <w:spacing w:after="0" w:line="200" w:lineRule="exact"/>
        <w:rPr>
          <w:sz w:val="20"/>
          <w:szCs w:val="20"/>
          <w:color w:val="auto"/>
        </w:rPr>
      </w:pPr>
    </w:p>
    <w:p>
      <w:pPr>
        <w:sectPr>
          <w:pgSz w:w="11900" w:h="16838" w:orient="portrait"/>
          <w:cols w:equalWidth="0" w:num="2">
            <w:col w:w="8100" w:space="720"/>
            <w:col w:w="2440"/>
          </w:cols>
          <w:pgMar w:left="320" w:top="1440" w:right="319" w:bottom="1440" w:gutter="0" w:footer="0" w:header="0"/>
          <w:type w:val="continuous"/>
        </w:sectPr>
      </w:pPr>
    </w:p>
    <w:p>
      <w:pPr>
        <w:spacing w:after="0" w:line="48"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table provides a reconciliation of cash and cash equivalents and restricted cash reported within the condensed consolidated balance sheets that sum to the total of the same such amounts shown above in the condensed consolidated statements of cash flows: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20" w:type="dxa"/>
            <w:vAlign w:val="bottom"/>
            <w:shd w:val="clear" w:color="auto" w:fill="ACACAC"/>
          </w:tcPr>
          <w:p>
            <w:pPr>
              <w:spacing w:after="0"/>
              <w:rPr>
                <w:sz w:val="16"/>
                <w:szCs w:val="16"/>
                <w:color w:val="auto"/>
              </w:rPr>
            </w:pPr>
          </w:p>
        </w:tc>
        <w:tc>
          <w:tcPr>
            <w:tcW w:w="540" w:type="dxa"/>
            <w:vAlign w:val="bottom"/>
            <w:shd w:val="clear" w:color="auto" w:fill="ACACAC"/>
          </w:tcPr>
          <w:p>
            <w:pPr>
              <w:spacing w:after="0"/>
              <w:rPr>
                <w:sz w:val="16"/>
                <w:szCs w:val="16"/>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400" w:type="dxa"/>
            <w:vAlign w:val="bottom"/>
            <w:shd w:val="clear" w:color="auto" w:fill="ACACAC"/>
          </w:tcPr>
          <w:p>
            <w:pPr>
              <w:spacing w:after="0"/>
              <w:rPr>
                <w:sz w:val="16"/>
                <w:szCs w:val="16"/>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40" w:type="dxa"/>
            <w:vAlign w:val="bottom"/>
            <w:tcBorders>
              <w:bottom w:val="single" w:sz="8" w:color="ACACAC"/>
            </w:tcBorders>
            <w:shd w:val="clear" w:color="auto" w:fill="ACACAC"/>
          </w:tcPr>
          <w:p>
            <w:pPr>
              <w:spacing w:after="0"/>
              <w:rPr>
                <w:sz w:val="17"/>
                <w:szCs w:val="17"/>
                <w:color w:val="auto"/>
              </w:rPr>
            </w:pPr>
          </w:p>
        </w:tc>
        <w:tc>
          <w:tcPr>
            <w:tcW w:w="11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ACACAC"/>
            </w:tcBorders>
            <w:shd w:val="clear" w:color="auto" w:fill="ACACAC"/>
          </w:tcPr>
          <w:p>
            <w:pPr>
              <w:spacing w:after="0"/>
              <w:rPr>
                <w:sz w:val="17"/>
                <w:szCs w:val="17"/>
                <w:color w:val="auto"/>
              </w:rPr>
            </w:pPr>
          </w:p>
        </w:tc>
        <w:tc>
          <w:tcPr>
            <w:tcW w:w="12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43"/>
        </w:trPr>
        <w:tc>
          <w:tcPr>
            <w:tcW w:w="7920" w:type="dxa"/>
            <w:vAlign w:val="bottom"/>
            <w:shd w:val="clear" w:color="auto" w:fill="F4F4F4"/>
          </w:tcPr>
          <w:p>
            <w:pPr>
              <w:ind w:left="20"/>
              <w:spacing w:after="0"/>
              <w:rPr>
                <w:sz w:val="20"/>
                <w:szCs w:val="20"/>
                <w:color w:val="auto"/>
              </w:rPr>
            </w:pPr>
            <w:r>
              <w:rPr>
                <w:rFonts w:ascii="Arial" w:cs="Arial" w:eastAsia="Arial" w:hAnsi="Arial"/>
                <w:sz w:val="16"/>
                <w:szCs w:val="16"/>
                <w:color w:val="auto"/>
              </w:rPr>
              <w:t>Cash and cash equivalents</w:t>
            </w:r>
          </w:p>
        </w:tc>
        <w:tc>
          <w:tcPr>
            <w:tcW w:w="540" w:type="dxa"/>
            <w:vAlign w:val="bottom"/>
            <w:shd w:val="clear" w:color="auto" w:fill="F4F4F4"/>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33,786</w:t>
            </w:r>
          </w:p>
        </w:tc>
        <w:tc>
          <w:tcPr>
            <w:tcW w:w="400" w:type="dxa"/>
            <w:vAlign w:val="bottom"/>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F4F4F4"/>
          </w:tcPr>
          <w:p>
            <w:pPr>
              <w:jc w:val="right"/>
              <w:ind w:right="3"/>
              <w:spacing w:after="0"/>
              <w:rPr>
                <w:sz w:val="20"/>
                <w:szCs w:val="20"/>
                <w:color w:val="auto"/>
              </w:rPr>
            </w:pPr>
            <w:r>
              <w:rPr>
                <w:rFonts w:ascii="Arial" w:cs="Arial" w:eastAsia="Arial" w:hAnsi="Arial"/>
                <w:sz w:val="16"/>
                <w:szCs w:val="16"/>
                <w:color w:val="auto"/>
              </w:rPr>
              <w:t>55,146</w:t>
            </w:r>
          </w:p>
        </w:tc>
        <w:tc>
          <w:tcPr>
            <w:tcW w:w="20" w:type="dxa"/>
            <w:vAlign w:val="bottom"/>
          </w:tcPr>
          <w:p>
            <w:pPr>
              <w:spacing w:after="0"/>
              <w:rPr>
                <w:sz w:val="21"/>
                <w:szCs w:val="21"/>
                <w:color w:val="auto"/>
              </w:rPr>
            </w:pPr>
          </w:p>
        </w:tc>
      </w:tr>
      <w:tr>
        <w:trPr>
          <w:trHeight w:val="236"/>
        </w:trPr>
        <w:tc>
          <w:tcPr>
            <w:tcW w:w="7920" w:type="dxa"/>
            <w:vAlign w:val="bottom"/>
            <w:tcBorders>
              <w:bottom w:val="single" w:sz="8" w:color="F4F4F4"/>
            </w:tcBorders>
          </w:tcPr>
          <w:p>
            <w:pPr>
              <w:ind w:left="20"/>
              <w:spacing w:after="0"/>
              <w:rPr>
                <w:sz w:val="20"/>
                <w:szCs w:val="20"/>
                <w:color w:val="auto"/>
              </w:rPr>
            </w:pPr>
            <w:r>
              <w:rPr>
                <w:rFonts w:ascii="Arial" w:cs="Arial" w:eastAsia="Arial" w:hAnsi="Arial"/>
                <w:sz w:val="16"/>
                <w:szCs w:val="16"/>
                <w:color w:val="auto"/>
              </w:rPr>
              <w:t>Restricted cash</w:t>
            </w:r>
          </w:p>
        </w:tc>
        <w:tc>
          <w:tcPr>
            <w:tcW w:w="5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279,594</w:t>
            </w:r>
          </w:p>
        </w:tc>
        <w:tc>
          <w:tcPr>
            <w:tcW w:w="4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
              <w:spacing w:after="0"/>
              <w:rPr>
                <w:sz w:val="20"/>
                <w:szCs w:val="20"/>
                <w:color w:val="auto"/>
              </w:rPr>
            </w:pPr>
            <w:r>
              <w:rPr>
                <w:rFonts w:ascii="Arial" w:cs="Arial" w:eastAsia="Arial" w:hAnsi="Arial"/>
                <w:sz w:val="16"/>
                <w:szCs w:val="16"/>
                <w:color w:val="auto"/>
              </w:rPr>
              <w:t>596,616</w:t>
            </w:r>
          </w:p>
        </w:tc>
        <w:tc>
          <w:tcPr>
            <w:tcW w:w="20" w:type="dxa"/>
            <w:vAlign w:val="bottom"/>
          </w:tcPr>
          <w:p>
            <w:pPr>
              <w:spacing w:after="0"/>
              <w:rPr>
                <w:sz w:val="20"/>
                <w:szCs w:val="20"/>
                <w:color w:val="auto"/>
              </w:rPr>
            </w:pPr>
          </w:p>
        </w:tc>
      </w:tr>
      <w:tr>
        <w:trPr>
          <w:trHeight w:val="236"/>
        </w:trPr>
        <w:tc>
          <w:tcPr>
            <w:tcW w:w="792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6"/>
                <w:szCs w:val="16"/>
                <w:color w:val="auto"/>
              </w:rPr>
              <w:t>Total cash, cash equivalents and restricted cash in the statement of cash flows</w:t>
            </w:r>
          </w:p>
        </w:tc>
        <w:tc>
          <w:tcPr>
            <w:tcW w:w="540" w:type="dxa"/>
            <w:vAlign w:val="bottom"/>
            <w:tcBorders>
              <w:bottom w:val="single" w:sz="8" w:color="71BF43"/>
            </w:tcBorders>
            <w:shd w:val="clear" w:color="auto" w:fill="F4F4F4"/>
          </w:tcPr>
          <w:p>
            <w:pPr>
              <w:jc w:val="right"/>
              <w:ind w:right="3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313,380</w:t>
            </w:r>
          </w:p>
        </w:tc>
        <w:tc>
          <w:tcPr>
            <w:tcW w:w="400" w:type="dxa"/>
            <w:vAlign w:val="bottom"/>
            <w:tcBorders>
              <w:bottom w:val="single" w:sz="8" w:color="71BF43"/>
            </w:tcBorders>
            <w:shd w:val="clear" w:color="auto" w:fill="F4F4F4"/>
          </w:tcPr>
          <w:p>
            <w:pPr>
              <w:jc w:val="right"/>
              <w:ind w:right="219"/>
              <w:spacing w:after="0"/>
              <w:rPr>
                <w:sz w:val="20"/>
                <w:szCs w:val="20"/>
                <w:color w:val="auto"/>
              </w:rPr>
            </w:pPr>
            <w:r>
              <w:rPr>
                <w:rFonts w:ascii="Arial" w:cs="Arial" w:eastAsia="Arial" w:hAnsi="Arial"/>
                <w:sz w:val="16"/>
                <w:szCs w:val="16"/>
                <w:color w:val="auto"/>
                <w:w w:val="89"/>
              </w:rPr>
              <w:t>$</w:t>
            </w:r>
          </w:p>
        </w:tc>
        <w:tc>
          <w:tcPr>
            <w:tcW w:w="1260" w:type="dxa"/>
            <w:vAlign w:val="bottom"/>
            <w:tcBorders>
              <w:bottom w:val="single" w:sz="8" w:color="71BF43"/>
            </w:tcBorders>
            <w:shd w:val="clear" w:color="auto" w:fill="F4F4F4"/>
          </w:tcPr>
          <w:p>
            <w:pPr>
              <w:jc w:val="right"/>
              <w:ind w:right="3"/>
              <w:spacing w:after="0"/>
              <w:rPr>
                <w:sz w:val="20"/>
                <w:szCs w:val="20"/>
                <w:color w:val="auto"/>
              </w:rPr>
            </w:pPr>
            <w:r>
              <w:rPr>
                <w:rFonts w:ascii="Arial" w:cs="Arial" w:eastAsia="Arial" w:hAnsi="Arial"/>
                <w:sz w:val="16"/>
                <w:szCs w:val="16"/>
                <w:color w:val="auto"/>
              </w:rPr>
              <w:t>651,762</w:t>
            </w:r>
          </w:p>
        </w:tc>
        <w:tc>
          <w:tcPr>
            <w:tcW w:w="20" w:type="dxa"/>
            <w:vAlign w:val="bottom"/>
          </w:tcPr>
          <w:p>
            <w:pPr>
              <w:spacing w:after="0"/>
              <w:rPr>
                <w:sz w:val="20"/>
                <w:szCs w:val="20"/>
                <w:color w:val="auto"/>
              </w:rPr>
            </w:pPr>
          </w:p>
        </w:tc>
      </w:tr>
    </w:tbl>
    <w:p>
      <w:pPr>
        <w:spacing w:after="0" w:line="11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559435</wp:posOffset>
            </wp:positionV>
            <wp:extent cx="67691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76910"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16"/>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type w:val="continuous"/>
        </w:sectPr>
      </w:pPr>
    </w:p>
    <w:bookmarkStart w:id="6" w:name="page7"/>
    <w:bookmarkEnd w:id="6"/>
    <w:p>
      <w:pPr>
        <w:jc w:val="center"/>
        <w:ind w:right="-79"/>
        <w:spacing w:after="0"/>
        <w:rPr>
          <w:sz w:val="20"/>
          <w:szCs w:val="20"/>
          <w:color w:val="auto"/>
        </w:rPr>
      </w:pPr>
      <w:r>
        <w:rPr>
          <w:rFonts w:ascii="Arial" w:cs="Arial" w:eastAsia="Arial" w:hAnsi="Arial"/>
          <w:sz w:val="18"/>
          <w:szCs w:val="18"/>
          <w:b w:val="1"/>
          <w:bCs w:val="1"/>
          <w:color w:val="auto"/>
        </w:rPr>
        <w:t>Blackbaud, Inc.</w:t>
      </w:r>
    </w:p>
    <w:p>
      <w:pPr>
        <w:spacing w:after="0" w:line="3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280670</wp:posOffset>
            </wp:positionV>
            <wp:extent cx="8890" cy="4889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48895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4480" w:type="dxa"/>
            <w:vAlign w:val="bottom"/>
            <w:shd w:val="clear" w:color="auto" w:fill="ACACAC"/>
          </w:tcPr>
          <w:p>
            <w:pPr>
              <w:spacing w:after="0"/>
              <w:rPr>
                <w:sz w:val="19"/>
                <w:szCs w:val="19"/>
                <w:color w:val="auto"/>
              </w:rPr>
            </w:pPr>
          </w:p>
        </w:tc>
        <w:tc>
          <w:tcPr>
            <w:tcW w:w="960" w:type="dxa"/>
            <w:vAlign w:val="bottom"/>
            <w:shd w:val="clear" w:color="auto" w:fill="ACACAC"/>
          </w:tcPr>
          <w:p>
            <w:pPr>
              <w:spacing w:after="0"/>
              <w:rPr>
                <w:sz w:val="19"/>
                <w:szCs w:val="19"/>
                <w:color w:val="auto"/>
              </w:rPr>
            </w:pPr>
          </w:p>
        </w:tc>
        <w:tc>
          <w:tcPr>
            <w:tcW w:w="660" w:type="dxa"/>
            <w:vAlign w:val="bottom"/>
            <w:shd w:val="clear" w:color="auto" w:fill="ACACAC"/>
          </w:tcPr>
          <w:p>
            <w:pPr>
              <w:spacing w:after="0"/>
              <w:rPr>
                <w:sz w:val="19"/>
                <w:szCs w:val="19"/>
                <w:color w:val="auto"/>
              </w:rPr>
            </w:pPr>
          </w:p>
        </w:tc>
        <w:tc>
          <w:tcPr>
            <w:tcW w:w="1000" w:type="dxa"/>
            <w:vAlign w:val="bottom"/>
            <w:shd w:val="clear" w:color="auto" w:fill="ACACAC"/>
          </w:tcPr>
          <w:p>
            <w:pPr>
              <w:spacing w:after="0"/>
              <w:rPr>
                <w:sz w:val="19"/>
                <w:szCs w:val="19"/>
                <w:color w:val="auto"/>
              </w:rPr>
            </w:pPr>
          </w:p>
        </w:tc>
        <w:tc>
          <w:tcPr>
            <w:tcW w:w="900" w:type="dxa"/>
            <w:vAlign w:val="bottom"/>
            <w:shd w:val="clear" w:color="auto" w:fill="ACACAC"/>
          </w:tcPr>
          <w:p>
            <w:pPr>
              <w:spacing w:after="0"/>
              <w:rPr>
                <w:sz w:val="19"/>
                <w:szCs w:val="19"/>
                <w:color w:val="auto"/>
              </w:rPr>
            </w:pPr>
          </w:p>
        </w:tc>
        <w:tc>
          <w:tcPr>
            <w:tcW w:w="1140" w:type="dxa"/>
            <w:vAlign w:val="bottom"/>
            <w:shd w:val="clear" w:color="auto" w:fill="ACACAC"/>
          </w:tcPr>
          <w:p>
            <w:pPr>
              <w:jc w:val="right"/>
              <w:ind w:right="61"/>
              <w:spacing w:after="0"/>
              <w:rPr>
                <w:sz w:val="20"/>
                <w:szCs w:val="20"/>
                <w:color w:val="auto"/>
              </w:rPr>
            </w:pPr>
            <w:r>
              <w:rPr>
                <w:rFonts w:ascii="Arial" w:cs="Arial" w:eastAsia="Arial" w:hAnsi="Arial"/>
                <w:sz w:val="14"/>
                <w:szCs w:val="14"/>
                <w:b w:val="1"/>
                <w:bCs w:val="1"/>
                <w:color w:val="FFFFFF"/>
              </w:rPr>
              <w:t>Accumulated</w:t>
            </w:r>
          </w:p>
        </w:tc>
        <w:tc>
          <w:tcPr>
            <w:tcW w:w="800" w:type="dxa"/>
            <w:vAlign w:val="bottom"/>
            <w:shd w:val="clear" w:color="auto" w:fill="ACACAC"/>
          </w:tcPr>
          <w:p>
            <w:pPr>
              <w:spacing w:after="0"/>
              <w:rPr>
                <w:sz w:val="19"/>
                <w:szCs w:val="19"/>
                <w:color w:val="auto"/>
              </w:rPr>
            </w:pPr>
          </w:p>
        </w:tc>
        <w:tc>
          <w:tcPr>
            <w:tcW w:w="98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00" w:type="dxa"/>
            <w:vAlign w:val="bottom"/>
          </w:tcPr>
          <w:p>
            <w:pPr>
              <w:spacing w:after="0"/>
              <w:rPr>
                <w:sz w:val="14"/>
                <w:szCs w:val="14"/>
                <w:color w:val="auto"/>
              </w:rPr>
            </w:pPr>
          </w:p>
        </w:tc>
        <w:tc>
          <w:tcPr>
            <w:tcW w:w="4480" w:type="dxa"/>
            <w:vAlign w:val="bottom"/>
            <w:shd w:val="clear" w:color="auto" w:fill="ACACAC"/>
          </w:tcPr>
          <w:p>
            <w:pPr>
              <w:spacing w:after="0"/>
              <w:rPr>
                <w:sz w:val="14"/>
                <w:szCs w:val="14"/>
                <w:color w:val="auto"/>
              </w:rPr>
            </w:pPr>
          </w:p>
        </w:tc>
        <w:tc>
          <w:tcPr>
            <w:tcW w:w="162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1000" w:type="dxa"/>
            <w:vAlign w:val="bottom"/>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Additional</w:t>
            </w:r>
          </w:p>
        </w:tc>
        <w:tc>
          <w:tcPr>
            <w:tcW w:w="900" w:type="dxa"/>
            <w:vAlign w:val="bottom"/>
            <w:shd w:val="clear" w:color="auto" w:fill="ACACAC"/>
          </w:tcPr>
          <w:p>
            <w:pPr>
              <w:spacing w:after="0"/>
              <w:rPr>
                <w:sz w:val="14"/>
                <w:szCs w:val="14"/>
                <w:color w:val="auto"/>
              </w:rPr>
            </w:pPr>
          </w:p>
        </w:tc>
        <w:tc>
          <w:tcPr>
            <w:tcW w:w="1140" w:type="dxa"/>
            <w:vAlign w:val="bottom"/>
            <w:shd w:val="clear" w:color="auto" w:fill="ACACAC"/>
          </w:tcPr>
          <w:p>
            <w:pPr>
              <w:jc w:val="right"/>
              <w:ind w:right="61"/>
              <w:spacing w:after="0"/>
              <w:rPr>
                <w:sz w:val="20"/>
                <w:szCs w:val="20"/>
                <w:color w:val="auto"/>
              </w:rPr>
            </w:pPr>
            <w:r>
              <w:rPr>
                <w:rFonts w:ascii="Arial" w:cs="Arial" w:eastAsia="Arial" w:hAnsi="Arial"/>
                <w:sz w:val="14"/>
                <w:szCs w:val="14"/>
                <w:b w:val="1"/>
                <w:bCs w:val="1"/>
                <w:color w:val="FFFFFF"/>
              </w:rPr>
              <w:t>other</w:t>
            </w:r>
          </w:p>
        </w:tc>
        <w:tc>
          <w:tcPr>
            <w:tcW w:w="800" w:type="dxa"/>
            <w:vAlign w:val="bottom"/>
            <w:shd w:val="clear" w:color="auto" w:fill="ACACAC"/>
          </w:tcPr>
          <w:p>
            <w:pPr>
              <w:spacing w:after="0"/>
              <w:rPr>
                <w:sz w:val="14"/>
                <w:szCs w:val="14"/>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23"/>
        </w:trPr>
        <w:tc>
          <w:tcPr>
            <w:tcW w:w="100" w:type="dxa"/>
            <w:vAlign w:val="bottom"/>
          </w:tcPr>
          <w:p>
            <w:pPr>
              <w:spacing w:after="0"/>
              <w:rPr>
                <w:sz w:val="10"/>
                <w:szCs w:val="10"/>
                <w:color w:val="auto"/>
              </w:rPr>
            </w:pPr>
          </w:p>
        </w:tc>
        <w:tc>
          <w:tcPr>
            <w:tcW w:w="4480" w:type="dxa"/>
            <w:vAlign w:val="bottom"/>
            <w:shd w:val="clear" w:color="auto" w:fill="ACACAC"/>
          </w:tcPr>
          <w:p>
            <w:pPr>
              <w:spacing w:after="0"/>
              <w:rPr>
                <w:sz w:val="10"/>
                <w:szCs w:val="10"/>
                <w:color w:val="auto"/>
              </w:rPr>
            </w:pPr>
          </w:p>
        </w:tc>
        <w:tc>
          <w:tcPr>
            <w:tcW w:w="1620" w:type="dxa"/>
            <w:vAlign w:val="bottom"/>
            <w:gridSpan w:val="2"/>
            <w:vMerge w:val="continue"/>
            <w:shd w:val="clear" w:color="auto" w:fill="ACACAC"/>
          </w:tcPr>
          <w:p>
            <w:pPr>
              <w:spacing w:after="0"/>
              <w:rPr>
                <w:sz w:val="10"/>
                <w:szCs w:val="10"/>
                <w:color w:val="auto"/>
              </w:rPr>
            </w:pPr>
          </w:p>
        </w:tc>
        <w:tc>
          <w:tcPr>
            <w:tcW w:w="1000" w:type="dxa"/>
            <w:vAlign w:val="bottom"/>
            <w:vMerge w:val="restart"/>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paid-in</w:t>
            </w:r>
          </w:p>
        </w:tc>
        <w:tc>
          <w:tcPr>
            <w:tcW w:w="2040" w:type="dxa"/>
            <w:vAlign w:val="bottom"/>
            <w:gridSpan w:val="2"/>
            <w:vMerge w:val="restart"/>
            <w:shd w:val="clear" w:color="auto" w:fill="ACACAC"/>
          </w:tcPr>
          <w:p>
            <w:pPr>
              <w:jc w:val="right"/>
              <w:ind w:right="61"/>
              <w:spacing w:after="0"/>
              <w:rPr>
                <w:sz w:val="20"/>
                <w:szCs w:val="20"/>
                <w:color w:val="auto"/>
              </w:rPr>
            </w:pPr>
            <w:r>
              <w:rPr>
                <w:rFonts w:ascii="Arial" w:cs="Arial" w:eastAsia="Arial" w:hAnsi="Arial"/>
                <w:sz w:val="14"/>
                <w:szCs w:val="14"/>
                <w:b w:val="1"/>
                <w:bCs w:val="1"/>
                <w:color w:val="FFFFFF"/>
              </w:rPr>
              <w:t>Treasury comprehensive</w:t>
            </w:r>
          </w:p>
        </w:tc>
        <w:tc>
          <w:tcPr>
            <w:tcW w:w="800" w:type="dxa"/>
            <w:vAlign w:val="bottom"/>
            <w:vMerge w:val="restart"/>
            <w:shd w:val="clear" w:color="auto" w:fill="ACACAC"/>
          </w:tcPr>
          <w:p>
            <w:pPr>
              <w:ind w:left="160"/>
              <w:spacing w:after="0"/>
              <w:rPr>
                <w:sz w:val="20"/>
                <w:szCs w:val="20"/>
                <w:color w:val="auto"/>
              </w:rPr>
            </w:pPr>
            <w:r>
              <w:rPr>
                <w:rFonts w:ascii="Arial" w:cs="Arial" w:eastAsia="Arial" w:hAnsi="Arial"/>
                <w:sz w:val="14"/>
                <w:szCs w:val="14"/>
                <w:b w:val="1"/>
                <w:bCs w:val="1"/>
                <w:color w:val="FFFFFF"/>
              </w:rPr>
              <w:t>Retained</w:t>
            </w:r>
          </w:p>
        </w:tc>
        <w:tc>
          <w:tcPr>
            <w:tcW w:w="9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stockholders'</w:t>
            </w:r>
          </w:p>
        </w:tc>
        <w:tc>
          <w:tcPr>
            <w:tcW w:w="0" w:type="dxa"/>
            <w:vAlign w:val="bottom"/>
          </w:tcPr>
          <w:p>
            <w:pPr>
              <w:spacing w:after="0"/>
              <w:rPr>
                <w:sz w:val="1"/>
                <w:szCs w:val="1"/>
                <w:color w:val="auto"/>
              </w:rPr>
            </w:pPr>
          </w:p>
        </w:tc>
      </w:tr>
      <w:tr>
        <w:trPr>
          <w:trHeight w:val="39"/>
        </w:trPr>
        <w:tc>
          <w:tcPr>
            <w:tcW w:w="100" w:type="dxa"/>
            <w:vAlign w:val="bottom"/>
          </w:tcPr>
          <w:p>
            <w:pPr>
              <w:spacing w:after="0"/>
              <w:rPr>
                <w:sz w:val="3"/>
                <w:szCs w:val="3"/>
                <w:color w:val="auto"/>
              </w:rPr>
            </w:pPr>
          </w:p>
        </w:tc>
        <w:tc>
          <w:tcPr>
            <w:tcW w:w="4480" w:type="dxa"/>
            <w:vAlign w:val="bottom"/>
            <w:shd w:val="clear" w:color="auto" w:fill="ACACAC"/>
          </w:tcPr>
          <w:p>
            <w:pPr>
              <w:spacing w:after="0"/>
              <w:rPr>
                <w:sz w:val="3"/>
                <w:szCs w:val="3"/>
                <w:color w:val="auto"/>
              </w:rPr>
            </w:pPr>
          </w:p>
        </w:tc>
        <w:tc>
          <w:tcPr>
            <w:tcW w:w="960" w:type="dxa"/>
            <w:vAlign w:val="bottom"/>
            <w:shd w:val="clear" w:color="auto" w:fill="ACACAC"/>
          </w:tcPr>
          <w:p>
            <w:pPr>
              <w:spacing w:after="0"/>
              <w:rPr>
                <w:sz w:val="3"/>
                <w:szCs w:val="3"/>
                <w:color w:val="auto"/>
              </w:rPr>
            </w:pPr>
          </w:p>
        </w:tc>
        <w:tc>
          <w:tcPr>
            <w:tcW w:w="660" w:type="dxa"/>
            <w:vAlign w:val="bottom"/>
            <w:shd w:val="clear" w:color="auto" w:fill="ACACAC"/>
          </w:tcPr>
          <w:p>
            <w:pPr>
              <w:spacing w:after="0"/>
              <w:rPr>
                <w:sz w:val="3"/>
                <w:szCs w:val="3"/>
                <w:color w:val="auto"/>
              </w:rPr>
            </w:pPr>
          </w:p>
        </w:tc>
        <w:tc>
          <w:tcPr>
            <w:tcW w:w="1000" w:type="dxa"/>
            <w:vAlign w:val="bottom"/>
            <w:vMerge w:val="continue"/>
            <w:shd w:val="clear" w:color="auto" w:fill="ACACAC"/>
          </w:tcPr>
          <w:p>
            <w:pPr>
              <w:spacing w:after="0"/>
              <w:rPr>
                <w:sz w:val="3"/>
                <w:szCs w:val="3"/>
                <w:color w:val="auto"/>
              </w:rPr>
            </w:pPr>
          </w:p>
        </w:tc>
        <w:tc>
          <w:tcPr>
            <w:tcW w:w="2040" w:type="dxa"/>
            <w:vAlign w:val="bottom"/>
            <w:gridSpan w:val="2"/>
            <w:vMerge w:val="continue"/>
            <w:shd w:val="clear" w:color="auto" w:fill="ACACAC"/>
          </w:tcPr>
          <w:p>
            <w:pPr>
              <w:spacing w:after="0"/>
              <w:rPr>
                <w:sz w:val="3"/>
                <w:szCs w:val="3"/>
                <w:color w:val="auto"/>
              </w:rPr>
            </w:pPr>
          </w:p>
        </w:tc>
        <w:tc>
          <w:tcPr>
            <w:tcW w:w="800" w:type="dxa"/>
            <w:vAlign w:val="bottom"/>
            <w:vMerge w:val="continue"/>
            <w:shd w:val="clear" w:color="auto" w:fill="ACACAC"/>
          </w:tcPr>
          <w:p>
            <w:pPr>
              <w:spacing w:after="0"/>
              <w:rPr>
                <w:sz w:val="3"/>
                <w:szCs w:val="3"/>
                <w:color w:val="auto"/>
              </w:rPr>
            </w:pPr>
          </w:p>
        </w:tc>
        <w:tc>
          <w:tcPr>
            <w:tcW w:w="980" w:type="dxa"/>
            <w:vAlign w:val="bottom"/>
            <w:vMerge w:val="continue"/>
            <w:shd w:val="clear" w:color="auto" w:fill="ACACA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4480" w:type="dxa"/>
            <w:vAlign w:val="bottom"/>
            <w:tcBorders>
              <w:bottom w:val="single" w:sz="8" w:color="ACACAC"/>
            </w:tcBorders>
            <w:shd w:val="clear" w:color="auto" w:fill="ACACAC"/>
          </w:tcPr>
          <w:p>
            <w:pPr>
              <w:spacing w:after="0"/>
              <w:rPr>
                <w:sz w:val="20"/>
                <w:szCs w:val="20"/>
                <w:color w:val="auto"/>
              </w:rPr>
            </w:pPr>
            <w:r>
              <w:rPr>
                <w:rFonts w:ascii="Arial" w:cs="Arial" w:eastAsia="Arial" w:hAnsi="Arial"/>
                <w:sz w:val="14"/>
                <w:szCs w:val="14"/>
                <w:b w:val="1"/>
                <w:bCs w:val="1"/>
                <w:color w:val="FFFFFF"/>
              </w:rPr>
              <w:t>llars in thousands)</w:t>
            </w: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1000" w:type="dxa"/>
            <w:vAlign w:val="bottom"/>
            <w:tcBorders>
              <w:bottom w:val="single" w:sz="8" w:color="ACACAC"/>
            </w:tcBorders>
            <w:shd w:val="clear" w:color="auto" w:fill="ACACAC"/>
          </w:tcPr>
          <w:p>
            <w:pPr>
              <w:jc w:val="right"/>
              <w:ind w:right="21"/>
              <w:spacing w:after="0"/>
              <w:rPr>
                <w:sz w:val="20"/>
                <w:szCs w:val="20"/>
                <w:color w:val="auto"/>
              </w:rPr>
            </w:pPr>
            <w:r>
              <w:rPr>
                <w:rFonts w:ascii="Arial" w:cs="Arial" w:eastAsia="Arial" w:hAnsi="Arial"/>
                <w:sz w:val="14"/>
                <w:szCs w:val="14"/>
                <w:b w:val="1"/>
                <w:bCs w:val="1"/>
                <w:color w:val="FFFFFF"/>
              </w:rPr>
              <w:t>capital</w:t>
            </w:r>
          </w:p>
        </w:tc>
        <w:tc>
          <w:tcPr>
            <w:tcW w:w="900" w:type="dxa"/>
            <w:vAlign w:val="bottom"/>
            <w:tcBorders>
              <w:bottom w:val="single" w:sz="8" w:color="ACACAC"/>
            </w:tcBorders>
            <w:shd w:val="clear" w:color="auto" w:fill="ACACAC"/>
          </w:tcPr>
          <w:p>
            <w:pPr>
              <w:jc w:val="right"/>
              <w:ind w:right="20"/>
              <w:spacing w:after="0"/>
              <w:rPr>
                <w:sz w:val="20"/>
                <w:szCs w:val="20"/>
                <w:color w:val="auto"/>
              </w:rPr>
            </w:pPr>
            <w:r>
              <w:rPr>
                <w:rFonts w:ascii="Arial" w:cs="Arial" w:eastAsia="Arial" w:hAnsi="Arial"/>
                <w:sz w:val="14"/>
                <w:szCs w:val="14"/>
                <w:b w:val="1"/>
                <w:bCs w:val="1"/>
                <w:color w:val="FFFFFF"/>
              </w:rPr>
              <w:t>stock</w:t>
            </w:r>
          </w:p>
        </w:tc>
        <w:tc>
          <w:tcPr>
            <w:tcW w:w="1140" w:type="dxa"/>
            <w:vAlign w:val="bottom"/>
            <w:tcBorders>
              <w:bottom w:val="single" w:sz="8" w:color="ACACAC"/>
            </w:tcBorders>
            <w:shd w:val="clear" w:color="auto" w:fill="ACACAC"/>
          </w:tcPr>
          <w:p>
            <w:pPr>
              <w:jc w:val="right"/>
              <w:ind w:right="61"/>
              <w:spacing w:after="0"/>
              <w:rPr>
                <w:sz w:val="20"/>
                <w:szCs w:val="20"/>
                <w:color w:val="auto"/>
              </w:rPr>
            </w:pPr>
            <w:r>
              <w:rPr>
                <w:rFonts w:ascii="Arial" w:cs="Arial" w:eastAsia="Arial" w:hAnsi="Arial"/>
                <w:sz w:val="14"/>
                <w:szCs w:val="14"/>
                <w:b w:val="1"/>
                <w:bCs w:val="1"/>
                <w:color w:val="FFFFFF"/>
              </w:rPr>
              <w:t>income (loss)</w:t>
            </w:r>
          </w:p>
        </w:tc>
        <w:tc>
          <w:tcPr>
            <w:tcW w:w="800" w:type="dxa"/>
            <w:vAlign w:val="bottom"/>
            <w:tcBorders>
              <w:bottom w:val="single" w:sz="8" w:color="ACACAC"/>
            </w:tcBorders>
            <w:shd w:val="clear" w:color="auto" w:fill="ACACAC"/>
          </w:tcPr>
          <w:p>
            <w:pPr>
              <w:ind w:left="180"/>
              <w:spacing w:after="0"/>
              <w:rPr>
                <w:sz w:val="20"/>
                <w:szCs w:val="20"/>
                <w:color w:val="auto"/>
              </w:rPr>
            </w:pPr>
            <w:r>
              <w:rPr>
                <w:rFonts w:ascii="Arial" w:cs="Arial" w:eastAsia="Arial" w:hAnsi="Arial"/>
                <w:sz w:val="14"/>
                <w:szCs w:val="14"/>
                <w:b w:val="1"/>
                <w:bCs w:val="1"/>
                <w:color w:val="FFFFFF"/>
              </w:rPr>
              <w:t>earnings</w:t>
            </w: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0" w:type="dxa"/>
            <w:vAlign w:val="bottom"/>
          </w:tcPr>
          <w:p>
            <w:pPr>
              <w:spacing w:after="0"/>
              <w:rPr>
                <w:sz w:val="1"/>
                <w:szCs w:val="1"/>
                <w:color w:val="auto"/>
              </w:rPr>
            </w:pPr>
          </w:p>
        </w:tc>
      </w:tr>
      <w:tr>
        <w:trPr>
          <w:trHeight w:val="223"/>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lance at December 31, 2021</w:t>
            </w:r>
          </w:p>
        </w:tc>
        <w:tc>
          <w:tcPr>
            <w:tcW w:w="960" w:type="dxa"/>
            <w:vAlign w:val="bottom"/>
          </w:tcPr>
          <w:p>
            <w:pPr>
              <w:jc w:val="right"/>
              <w:spacing w:after="0"/>
              <w:rPr>
                <w:sz w:val="20"/>
                <w:szCs w:val="20"/>
                <w:color w:val="auto"/>
              </w:rPr>
            </w:pPr>
            <w:r>
              <w:rPr>
                <w:rFonts w:ascii="Arial" w:cs="Arial" w:eastAsia="Arial" w:hAnsi="Arial"/>
                <w:sz w:val="16"/>
                <w:szCs w:val="16"/>
                <w:color w:val="auto"/>
                <w:w w:val="96"/>
              </w:rPr>
              <w:t>66,165,666$</w:t>
            </w:r>
          </w:p>
        </w:tc>
        <w:tc>
          <w:tcPr>
            <w:tcW w:w="660" w:type="dxa"/>
            <w:vAlign w:val="bottom"/>
          </w:tcPr>
          <w:p>
            <w:pPr>
              <w:jc w:val="right"/>
              <w:spacing w:after="0"/>
              <w:rPr>
                <w:sz w:val="20"/>
                <w:szCs w:val="20"/>
                <w:color w:val="auto"/>
              </w:rPr>
            </w:pPr>
            <w:r>
              <w:rPr>
                <w:rFonts w:ascii="Arial" w:cs="Arial" w:eastAsia="Arial" w:hAnsi="Arial"/>
                <w:sz w:val="16"/>
                <w:szCs w:val="16"/>
                <w:color w:val="auto"/>
              </w:rPr>
              <w:t>$66</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968,927$</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(500,911)$</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6,522$</w:t>
            </w:r>
          </w:p>
        </w:tc>
        <w:tc>
          <w:tcPr>
            <w:tcW w:w="800" w:type="dxa"/>
            <w:vAlign w:val="bottom"/>
          </w:tcPr>
          <w:p>
            <w:pPr>
              <w:jc w:val="right"/>
              <w:spacing w:after="0"/>
              <w:rPr>
                <w:sz w:val="20"/>
                <w:szCs w:val="20"/>
                <w:color w:val="auto"/>
              </w:rPr>
            </w:pPr>
            <w:r>
              <w:rPr>
                <w:rFonts w:ascii="Arial" w:cs="Arial" w:eastAsia="Arial" w:hAnsi="Arial"/>
                <w:sz w:val="16"/>
                <w:szCs w:val="16"/>
                <w:color w:val="auto"/>
              </w:rPr>
              <w:t>242,456$</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717,060</w:t>
            </w:r>
          </w:p>
        </w:tc>
        <w:tc>
          <w:tcPr>
            <w:tcW w:w="0" w:type="dxa"/>
            <w:vAlign w:val="bottom"/>
          </w:tcPr>
          <w:p>
            <w:pPr>
              <w:spacing w:after="0"/>
              <w:rPr>
                <w:sz w:val="1"/>
                <w:szCs w:val="1"/>
                <w:color w:val="auto"/>
              </w:rPr>
            </w:pPr>
          </w:p>
        </w:tc>
      </w:tr>
      <w:tr>
        <w:trPr>
          <w:trHeight w:val="24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et loss</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tcPr>
          <w:p>
            <w:pPr>
              <w:ind w:left="160"/>
              <w:spacing w:after="0"/>
              <w:rPr>
                <w:sz w:val="20"/>
                <w:szCs w:val="20"/>
                <w:color w:val="auto"/>
              </w:rPr>
            </w:pPr>
            <w:r>
              <w:rPr>
                <w:rFonts w:ascii="Arial" w:cs="Arial" w:eastAsia="Arial" w:hAnsi="Arial"/>
                <w:sz w:val="16"/>
                <w:szCs w:val="16"/>
                <w:color w:val="auto"/>
              </w:rPr>
              <w:t>(10,407)</w:t>
            </w:r>
          </w:p>
        </w:tc>
        <w:tc>
          <w:tcPr>
            <w:tcW w:w="980" w:type="dxa"/>
            <w:vAlign w:val="bottom"/>
          </w:tcPr>
          <w:p>
            <w:pPr>
              <w:jc w:val="right"/>
              <w:spacing w:after="0"/>
              <w:rPr>
                <w:sz w:val="20"/>
                <w:szCs w:val="20"/>
                <w:color w:val="auto"/>
              </w:rPr>
            </w:pPr>
            <w:r>
              <w:rPr>
                <w:rFonts w:ascii="Arial" w:cs="Arial" w:eastAsia="Arial" w:hAnsi="Arial"/>
                <w:sz w:val="16"/>
                <w:szCs w:val="16"/>
                <w:color w:val="auto"/>
              </w:rPr>
              <w:t>(10,407)</w:t>
            </w:r>
          </w:p>
        </w:tc>
        <w:tc>
          <w:tcPr>
            <w:tcW w:w="0" w:type="dxa"/>
            <w:vAlign w:val="bottom"/>
          </w:tcPr>
          <w:p>
            <w:pPr>
              <w:spacing w:after="0"/>
              <w:rPr>
                <w:sz w:val="1"/>
                <w:szCs w:val="1"/>
                <w:color w:val="auto"/>
              </w:rPr>
            </w:pPr>
          </w:p>
        </w:tc>
      </w:tr>
      <w:tr>
        <w:trPr>
          <w:trHeight w:val="237"/>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tock issuance costs related to purchase of EVERFI (see Note</w:t>
            </w:r>
          </w:p>
        </w:tc>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4"/>
        </w:trPr>
        <w:tc>
          <w:tcPr>
            <w:tcW w:w="4580" w:type="dxa"/>
            <w:vAlign w:val="bottom"/>
            <w:gridSpan w:val="2"/>
          </w:tcPr>
          <w:p>
            <w:pPr>
              <w:ind w:left="240"/>
              <w:spacing w:after="0"/>
              <w:rPr>
                <w:sz w:val="20"/>
                <w:szCs w:val="20"/>
                <w:color w:val="auto"/>
              </w:rPr>
            </w:pPr>
            <w:r>
              <w:rPr>
                <w:rFonts w:ascii="Arial" w:cs="Arial" w:eastAsia="Arial" w:hAnsi="Arial"/>
                <w:sz w:val="16"/>
                <w:szCs w:val="16"/>
                <w:color w:val="auto"/>
              </w:rPr>
              <w:t>3)</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41"/>
              <w:spacing w:after="0"/>
              <w:rPr>
                <w:sz w:val="20"/>
                <w:szCs w:val="20"/>
                <w:color w:val="auto"/>
              </w:rPr>
            </w:pPr>
            <w:r>
              <w:rPr>
                <w:rFonts w:ascii="Arial" w:cs="Arial" w:eastAsia="Arial" w:hAnsi="Arial"/>
                <w:sz w:val="16"/>
                <w:szCs w:val="16"/>
                <w:color w:val="auto"/>
              </w:rPr>
              <w:t>(983)</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(983)</w:t>
            </w: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4480" w:type="dxa"/>
            <w:vAlign w:val="bottom"/>
            <w:shd w:val="clear" w:color="auto" w:fill="F4F4F4"/>
          </w:tcPr>
          <w:p>
            <w:pPr>
              <w:spacing w:after="0"/>
              <w:rPr>
                <w:sz w:val="20"/>
                <w:szCs w:val="20"/>
                <w:color w:val="auto"/>
              </w:rPr>
            </w:pPr>
            <w:r>
              <w:rPr>
                <w:rFonts w:ascii="Arial" w:cs="Arial" w:eastAsia="Arial" w:hAnsi="Arial"/>
                <w:sz w:val="16"/>
                <w:szCs w:val="16"/>
                <w:color w:val="auto"/>
              </w:rPr>
              <w:t>etirements of common stock</w:t>
            </w:r>
            <w:r>
              <w:rPr>
                <w:rFonts w:ascii="Arial" w:cs="Arial" w:eastAsia="Arial" w:hAnsi="Arial"/>
                <w:sz w:val="21"/>
                <w:szCs w:val="21"/>
                <w:color w:val="auto"/>
                <w:vertAlign w:val="superscript"/>
              </w:rPr>
              <w:t>(1)</w:t>
            </w:r>
          </w:p>
        </w:tc>
        <w:tc>
          <w:tcPr>
            <w:tcW w:w="9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(33,075)</w:t>
            </w:r>
          </w:p>
        </w:tc>
        <w:tc>
          <w:tcPr>
            <w:tcW w:w="6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ind w:right="41"/>
              <w:spacing w:after="0"/>
              <w:rPr>
                <w:sz w:val="20"/>
                <w:szCs w:val="20"/>
                <w:color w:val="auto"/>
              </w:rPr>
            </w:pPr>
            <w:r>
              <w:rPr>
                <w:rFonts w:ascii="Arial" w:cs="Arial" w:eastAsia="Arial" w:hAnsi="Arial"/>
                <w:sz w:val="16"/>
                <w:szCs w:val="16"/>
                <w:color w:val="auto"/>
              </w:rPr>
              <w:t>(2,581)</w:t>
            </w:r>
          </w:p>
        </w:tc>
        <w:tc>
          <w:tcPr>
            <w:tcW w:w="900" w:type="dxa"/>
            <w:vAlign w:val="bottom"/>
            <w:shd w:val="clear" w:color="auto" w:fill="F4F4F4"/>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F4F4F4"/>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(2,581)</w:t>
            </w:r>
          </w:p>
        </w:tc>
        <w:tc>
          <w:tcPr>
            <w:tcW w:w="0" w:type="dxa"/>
            <w:vAlign w:val="bottom"/>
          </w:tcPr>
          <w:p>
            <w:pPr>
              <w:spacing w:after="0"/>
              <w:rPr>
                <w:sz w:val="1"/>
                <w:szCs w:val="1"/>
                <w:color w:val="auto"/>
              </w:rPr>
            </w:pPr>
          </w:p>
        </w:tc>
      </w:tr>
      <w:tr>
        <w:trPr>
          <w:trHeight w:val="233"/>
        </w:trPr>
        <w:tc>
          <w:tcPr>
            <w:tcW w:w="4580" w:type="dxa"/>
            <w:vAlign w:val="bottom"/>
            <w:gridSpan w:val="2"/>
          </w:tcPr>
          <w:p>
            <w:pPr>
              <w:spacing w:after="0"/>
              <w:rPr>
                <w:sz w:val="20"/>
                <w:szCs w:val="20"/>
                <w:color w:val="auto"/>
              </w:rPr>
            </w:pPr>
            <w:r>
              <w:rPr>
                <w:rFonts w:ascii="Arial" w:cs="Arial" w:eastAsia="Arial" w:hAnsi="Arial"/>
                <w:sz w:val="16"/>
                <w:szCs w:val="16"/>
                <w:color w:val="auto"/>
              </w:rPr>
              <w:t>esting of restricted stock units</w:t>
            </w:r>
          </w:p>
        </w:tc>
        <w:tc>
          <w:tcPr>
            <w:tcW w:w="960" w:type="dxa"/>
            <w:vAlign w:val="bottom"/>
          </w:tcPr>
          <w:p>
            <w:pPr>
              <w:jc w:val="right"/>
              <w:spacing w:after="0"/>
              <w:rPr>
                <w:sz w:val="20"/>
                <w:szCs w:val="20"/>
                <w:color w:val="auto"/>
              </w:rPr>
            </w:pPr>
            <w:r>
              <w:rPr>
                <w:rFonts w:ascii="Arial" w:cs="Arial" w:eastAsia="Arial" w:hAnsi="Arial"/>
                <w:sz w:val="16"/>
                <w:szCs w:val="16"/>
                <w:color w:val="auto"/>
              </w:rPr>
              <w:t>976,312</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8"/>
        </w:trPr>
        <w:tc>
          <w:tcPr>
            <w:tcW w:w="100" w:type="dxa"/>
            <w:vAlign w:val="bottom"/>
          </w:tcPr>
          <w:p>
            <w:pPr>
              <w:spacing w:after="0"/>
              <w:rPr>
                <w:sz w:val="19"/>
                <w:szCs w:val="19"/>
                <w:color w:val="auto"/>
              </w:rPr>
            </w:pPr>
          </w:p>
        </w:tc>
        <w:tc>
          <w:tcPr>
            <w:tcW w:w="4480" w:type="dxa"/>
            <w:vAlign w:val="bottom"/>
            <w:shd w:val="clear" w:color="auto" w:fill="F4F4F4"/>
          </w:tcPr>
          <w:p>
            <w:pPr>
              <w:spacing w:after="0"/>
              <w:rPr>
                <w:sz w:val="20"/>
                <w:szCs w:val="20"/>
                <w:color w:val="auto"/>
              </w:rPr>
            </w:pPr>
            <w:r>
              <w:rPr>
                <w:rFonts w:ascii="Arial" w:cs="Arial" w:eastAsia="Arial" w:hAnsi="Arial"/>
                <w:sz w:val="16"/>
                <w:szCs w:val="16"/>
                <w:color w:val="auto"/>
              </w:rPr>
              <w:t>mployee taxes paid for 533,139 withheld shares upon equity</w:t>
            </w:r>
          </w:p>
        </w:tc>
        <w:tc>
          <w:tcPr>
            <w:tcW w:w="960" w:type="dxa"/>
            <w:vAlign w:val="bottom"/>
            <w:shd w:val="clear" w:color="auto" w:fill="F4F4F4"/>
          </w:tcPr>
          <w:p>
            <w:pPr>
              <w:spacing w:after="0"/>
              <w:rPr>
                <w:sz w:val="19"/>
                <w:szCs w:val="19"/>
                <w:color w:val="auto"/>
              </w:rPr>
            </w:pPr>
          </w:p>
        </w:tc>
        <w:tc>
          <w:tcPr>
            <w:tcW w:w="660" w:type="dxa"/>
            <w:vAlign w:val="bottom"/>
            <w:shd w:val="clear" w:color="auto" w:fill="F4F4F4"/>
          </w:tcPr>
          <w:p>
            <w:pPr>
              <w:spacing w:after="0"/>
              <w:rPr>
                <w:sz w:val="19"/>
                <w:szCs w:val="19"/>
                <w:color w:val="auto"/>
              </w:rPr>
            </w:pPr>
          </w:p>
        </w:tc>
        <w:tc>
          <w:tcPr>
            <w:tcW w:w="1000" w:type="dxa"/>
            <w:vAlign w:val="bottom"/>
            <w:shd w:val="clear" w:color="auto" w:fill="F4F4F4"/>
          </w:tcPr>
          <w:p>
            <w:pPr>
              <w:spacing w:after="0"/>
              <w:rPr>
                <w:sz w:val="19"/>
                <w:szCs w:val="19"/>
                <w:color w:val="auto"/>
              </w:rPr>
            </w:pPr>
          </w:p>
        </w:tc>
        <w:tc>
          <w:tcPr>
            <w:tcW w:w="900" w:type="dxa"/>
            <w:vAlign w:val="bottom"/>
            <w:shd w:val="clear" w:color="auto" w:fill="F4F4F4"/>
          </w:tcPr>
          <w:p>
            <w:pPr>
              <w:spacing w:after="0"/>
              <w:rPr>
                <w:sz w:val="19"/>
                <w:szCs w:val="19"/>
                <w:color w:val="auto"/>
              </w:rPr>
            </w:pPr>
          </w:p>
        </w:tc>
        <w:tc>
          <w:tcPr>
            <w:tcW w:w="1140" w:type="dxa"/>
            <w:vAlign w:val="bottom"/>
            <w:shd w:val="clear" w:color="auto" w:fill="F4F4F4"/>
          </w:tcPr>
          <w:p>
            <w:pPr>
              <w:spacing w:after="0"/>
              <w:rPr>
                <w:sz w:val="19"/>
                <w:szCs w:val="19"/>
                <w:color w:val="auto"/>
              </w:rPr>
            </w:pPr>
          </w:p>
        </w:tc>
        <w:tc>
          <w:tcPr>
            <w:tcW w:w="800" w:type="dxa"/>
            <w:vAlign w:val="bottom"/>
            <w:shd w:val="clear" w:color="auto" w:fill="F4F4F4"/>
          </w:tcPr>
          <w:p>
            <w:pPr>
              <w:spacing w:after="0"/>
              <w:rPr>
                <w:sz w:val="19"/>
                <w:szCs w:val="19"/>
                <w:color w:val="auto"/>
              </w:rPr>
            </w:pPr>
          </w:p>
        </w:tc>
        <w:tc>
          <w:tcPr>
            <w:tcW w:w="980" w:type="dxa"/>
            <w:vAlign w:val="bottom"/>
            <w:shd w:val="clear" w:color="auto" w:fill="F4F4F4"/>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100" w:type="dxa"/>
            <w:vAlign w:val="bottom"/>
          </w:tcPr>
          <w:p>
            <w:pPr>
              <w:spacing w:after="0"/>
              <w:rPr>
                <w:sz w:val="18"/>
                <w:szCs w:val="18"/>
                <w:color w:val="auto"/>
              </w:rPr>
            </w:pPr>
          </w:p>
        </w:tc>
        <w:tc>
          <w:tcPr>
            <w:tcW w:w="44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award settlement</w:t>
            </w:r>
          </w:p>
        </w:tc>
        <w:tc>
          <w:tcPr>
            <w:tcW w:w="9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F4F4F4"/>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shd w:val="clear" w:color="auto" w:fill="F4F4F4"/>
          </w:tcPr>
          <w:p>
            <w:pPr>
              <w:jc w:val="right"/>
              <w:ind w:right="20"/>
              <w:spacing w:after="0"/>
              <w:rPr>
                <w:sz w:val="20"/>
                <w:szCs w:val="20"/>
                <w:color w:val="auto"/>
              </w:rPr>
            </w:pPr>
            <w:r>
              <w:rPr>
                <w:rFonts w:ascii="Arial" w:cs="Arial" w:eastAsia="Arial" w:hAnsi="Arial"/>
                <w:sz w:val="16"/>
                <w:szCs w:val="16"/>
                <w:color w:val="auto"/>
              </w:rPr>
              <w:t>(34,674)</w:t>
            </w:r>
          </w:p>
        </w:tc>
        <w:tc>
          <w:tcPr>
            <w:tcW w:w="1140" w:type="dxa"/>
            <w:vAlign w:val="bottom"/>
            <w:shd w:val="clear" w:color="auto" w:fill="F4F4F4"/>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(34,674)</w:t>
            </w:r>
          </w:p>
        </w:tc>
        <w:tc>
          <w:tcPr>
            <w:tcW w:w="0" w:type="dxa"/>
            <w:vAlign w:val="bottom"/>
          </w:tcPr>
          <w:p>
            <w:pPr>
              <w:spacing w:after="0"/>
              <w:rPr>
                <w:sz w:val="1"/>
                <w:szCs w:val="1"/>
                <w:color w:val="auto"/>
              </w:rPr>
            </w:pPr>
          </w:p>
        </w:tc>
      </w:tr>
      <w:tr>
        <w:trPr>
          <w:trHeight w:val="23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tock-based compensation</w:t>
            </w:r>
          </w:p>
        </w:tc>
        <w:tc>
          <w:tcPr>
            <w:tcW w:w="960" w:type="dxa"/>
            <w:vAlign w:val="bottom"/>
          </w:tcPr>
          <w:p>
            <w:pPr>
              <w:jc w:val="right"/>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27,860</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27,860</w:t>
            </w:r>
          </w:p>
        </w:tc>
        <w:tc>
          <w:tcPr>
            <w:tcW w:w="0" w:type="dxa"/>
            <w:vAlign w:val="bottom"/>
          </w:tcPr>
          <w:p>
            <w:pPr>
              <w:spacing w:after="0"/>
              <w:rPr>
                <w:sz w:val="1"/>
                <w:szCs w:val="1"/>
                <w:color w:val="auto"/>
              </w:rPr>
            </w:pPr>
          </w:p>
        </w:tc>
      </w:tr>
      <w:tr>
        <w:trPr>
          <w:trHeight w:val="253"/>
        </w:trPr>
        <w:tc>
          <w:tcPr>
            <w:tcW w:w="100" w:type="dxa"/>
            <w:vAlign w:val="bottom"/>
          </w:tcPr>
          <w:p>
            <w:pPr>
              <w:spacing w:after="0"/>
              <w:rPr>
                <w:sz w:val="21"/>
                <w:szCs w:val="21"/>
                <w:color w:val="auto"/>
              </w:rPr>
            </w:pPr>
          </w:p>
        </w:tc>
        <w:tc>
          <w:tcPr>
            <w:tcW w:w="4480" w:type="dxa"/>
            <w:vAlign w:val="bottom"/>
            <w:shd w:val="clear" w:color="auto" w:fill="F4F4F4"/>
          </w:tcPr>
          <w:p>
            <w:pPr>
              <w:spacing w:after="0"/>
              <w:rPr>
                <w:sz w:val="20"/>
                <w:szCs w:val="20"/>
                <w:color w:val="auto"/>
              </w:rPr>
            </w:pPr>
            <w:r>
              <w:rPr>
                <w:rFonts w:ascii="Arial" w:cs="Arial" w:eastAsia="Arial" w:hAnsi="Arial"/>
                <w:sz w:val="16"/>
                <w:szCs w:val="16"/>
                <w:color w:val="auto"/>
              </w:rPr>
              <w:t>estricted stock grants</w:t>
            </w:r>
          </w:p>
        </w:tc>
        <w:tc>
          <w:tcPr>
            <w:tcW w:w="9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580,209</w:t>
            </w:r>
          </w:p>
        </w:tc>
        <w:tc>
          <w:tcPr>
            <w:tcW w:w="66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w:t>
            </w:r>
          </w:p>
        </w:tc>
        <w:tc>
          <w:tcPr>
            <w:tcW w:w="1000" w:type="dxa"/>
            <w:vAlign w:val="bottom"/>
            <w:shd w:val="clear" w:color="auto" w:fill="F4F4F4"/>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shd w:val="clear" w:color="auto" w:fill="F4F4F4"/>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shd w:val="clear" w:color="auto" w:fill="F4F4F4"/>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23"/>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estricted stock cancellations</w:t>
            </w:r>
          </w:p>
        </w:tc>
        <w:tc>
          <w:tcPr>
            <w:tcW w:w="960" w:type="dxa"/>
            <w:vAlign w:val="bottom"/>
          </w:tcPr>
          <w:p>
            <w:pPr>
              <w:jc w:val="right"/>
              <w:spacing w:after="0"/>
              <w:rPr>
                <w:sz w:val="20"/>
                <w:szCs w:val="20"/>
                <w:color w:val="auto"/>
              </w:rPr>
            </w:pPr>
            <w:r>
              <w:rPr>
                <w:rFonts w:ascii="Arial" w:cs="Arial" w:eastAsia="Arial" w:hAnsi="Arial"/>
                <w:sz w:val="16"/>
                <w:szCs w:val="16"/>
                <w:color w:val="auto"/>
              </w:rPr>
              <w:t>(30,940)</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6"/>
        </w:trPr>
        <w:tc>
          <w:tcPr>
            <w:tcW w:w="4580" w:type="dxa"/>
            <w:vAlign w:val="bottom"/>
            <w:gridSpan w:val="2"/>
          </w:tcPr>
          <w:p>
            <w:pPr>
              <w:ind w:left="40"/>
              <w:spacing w:after="0"/>
              <w:rPr>
                <w:sz w:val="20"/>
                <w:szCs w:val="20"/>
                <w:color w:val="auto"/>
              </w:rPr>
            </w:pPr>
            <w:r>
              <w:rPr>
                <w:rFonts w:ascii="Arial" w:cs="Arial" w:eastAsia="Arial" w:hAnsi="Arial"/>
                <w:sz w:val="16"/>
                <w:szCs w:val="16"/>
                <w:color w:val="auto"/>
              </w:rPr>
              <w:t>ther comprehensive income</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80"/>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8,773</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8,773</w:t>
            </w:r>
          </w:p>
        </w:tc>
        <w:tc>
          <w:tcPr>
            <w:tcW w:w="0" w:type="dxa"/>
            <w:vAlign w:val="bottom"/>
          </w:tcPr>
          <w:p>
            <w:pPr>
              <w:spacing w:after="0"/>
              <w:rPr>
                <w:sz w:val="1"/>
                <w:szCs w:val="1"/>
                <w:color w:val="auto"/>
              </w:rPr>
            </w:pPr>
          </w:p>
        </w:tc>
      </w:tr>
      <w:tr>
        <w:trPr>
          <w:trHeight w:val="233"/>
        </w:trPr>
        <w:tc>
          <w:tcPr>
            <w:tcW w:w="4580" w:type="dxa"/>
            <w:vAlign w:val="bottom"/>
            <w:gridSpan w:val="2"/>
          </w:tcPr>
          <w:p>
            <w:pPr>
              <w:spacing w:after="0"/>
              <w:rPr>
                <w:sz w:val="20"/>
                <w:szCs w:val="20"/>
                <w:color w:val="auto"/>
              </w:rPr>
            </w:pPr>
            <w:r>
              <w:rPr>
                <w:rFonts w:ascii="Arial" w:cs="Arial" w:eastAsia="Arial" w:hAnsi="Arial"/>
                <w:sz w:val="16"/>
                <w:szCs w:val="16"/>
                <w:b w:val="1"/>
                <w:bCs w:val="1"/>
                <w:color w:val="auto"/>
              </w:rPr>
              <w:t>lance at March 31, 2022</w:t>
            </w:r>
          </w:p>
        </w:tc>
        <w:tc>
          <w:tcPr>
            <w:tcW w:w="960" w:type="dxa"/>
            <w:vAlign w:val="bottom"/>
          </w:tcPr>
          <w:p>
            <w:pPr>
              <w:jc w:val="right"/>
              <w:spacing w:after="0"/>
              <w:rPr>
                <w:sz w:val="20"/>
                <w:szCs w:val="20"/>
                <w:color w:val="auto"/>
              </w:rPr>
            </w:pPr>
            <w:r>
              <w:rPr>
                <w:rFonts w:ascii="Arial" w:cs="Arial" w:eastAsia="Arial" w:hAnsi="Arial"/>
                <w:sz w:val="16"/>
                <w:szCs w:val="16"/>
                <w:color w:val="auto"/>
                <w:w w:val="96"/>
              </w:rPr>
              <w:t>67,658,172$</w:t>
            </w:r>
          </w:p>
        </w:tc>
        <w:tc>
          <w:tcPr>
            <w:tcW w:w="660" w:type="dxa"/>
            <w:vAlign w:val="bottom"/>
          </w:tcPr>
          <w:p>
            <w:pPr>
              <w:jc w:val="right"/>
              <w:spacing w:after="0"/>
              <w:rPr>
                <w:sz w:val="20"/>
                <w:szCs w:val="20"/>
                <w:color w:val="auto"/>
              </w:rPr>
            </w:pPr>
            <w:r>
              <w:rPr>
                <w:rFonts w:ascii="Arial" w:cs="Arial" w:eastAsia="Arial" w:hAnsi="Arial"/>
                <w:sz w:val="16"/>
                <w:szCs w:val="16"/>
                <w:color w:val="auto"/>
              </w:rPr>
              <w:t>$68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993,223$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(535,585)$</w:t>
            </w:r>
          </w:p>
        </w:tc>
        <w:tc>
          <w:tcPr>
            <w:tcW w:w="1140" w:type="dxa"/>
            <w:vAlign w:val="bottom"/>
          </w:tcPr>
          <w:p>
            <w:pPr>
              <w:jc w:val="right"/>
              <w:ind w:right="101"/>
              <w:spacing w:after="0"/>
              <w:rPr>
                <w:sz w:val="20"/>
                <w:szCs w:val="20"/>
                <w:color w:val="auto"/>
              </w:rPr>
            </w:pPr>
            <w:r>
              <w:rPr>
                <w:rFonts w:ascii="Arial" w:cs="Arial" w:eastAsia="Arial" w:hAnsi="Arial"/>
                <w:sz w:val="16"/>
                <w:szCs w:val="16"/>
                <w:color w:val="auto"/>
              </w:rPr>
              <w:t>15,295$</w:t>
            </w:r>
          </w:p>
        </w:tc>
        <w:tc>
          <w:tcPr>
            <w:tcW w:w="800" w:type="dxa"/>
            <w:vAlign w:val="bottom"/>
          </w:tcPr>
          <w:p>
            <w:pPr>
              <w:jc w:val="right"/>
              <w:spacing w:after="0"/>
              <w:rPr>
                <w:sz w:val="20"/>
                <w:szCs w:val="20"/>
                <w:color w:val="auto"/>
              </w:rPr>
            </w:pPr>
            <w:r>
              <w:rPr>
                <w:rFonts w:ascii="Arial" w:cs="Arial" w:eastAsia="Arial" w:hAnsi="Arial"/>
                <w:sz w:val="16"/>
                <w:szCs w:val="16"/>
                <w:color w:val="auto"/>
              </w:rPr>
              <w:t>232,049$</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705,050</w:t>
            </w:r>
          </w:p>
        </w:tc>
        <w:tc>
          <w:tcPr>
            <w:tcW w:w="0" w:type="dxa"/>
            <w:vAlign w:val="bottom"/>
          </w:tcPr>
          <w:p>
            <w:pPr>
              <w:spacing w:after="0"/>
              <w:rPr>
                <w:sz w:val="1"/>
                <w:szCs w:val="1"/>
                <w:color w:val="auto"/>
              </w:rPr>
            </w:pPr>
          </w:p>
        </w:tc>
      </w:tr>
      <w:tr>
        <w:trPr>
          <w:trHeight w:val="23"/>
        </w:trPr>
        <w:tc>
          <w:tcPr>
            <w:tcW w:w="100" w:type="dxa"/>
            <w:vAlign w:val="bottom"/>
          </w:tcPr>
          <w:p>
            <w:pPr>
              <w:spacing w:after="0"/>
              <w:rPr>
                <w:sz w:val="2"/>
                <w:szCs w:val="2"/>
                <w:color w:val="auto"/>
              </w:rPr>
            </w:pPr>
          </w:p>
        </w:tc>
        <w:tc>
          <w:tcPr>
            <w:tcW w:w="4480" w:type="dxa"/>
            <w:vAlign w:val="bottom"/>
            <w:shd w:val="clear" w:color="auto" w:fill="71BF43"/>
          </w:tcPr>
          <w:p>
            <w:pPr>
              <w:spacing w:after="0"/>
              <w:rPr>
                <w:sz w:val="2"/>
                <w:szCs w:val="2"/>
                <w:color w:val="auto"/>
              </w:rPr>
            </w:pPr>
          </w:p>
        </w:tc>
        <w:tc>
          <w:tcPr>
            <w:tcW w:w="960" w:type="dxa"/>
            <w:vAlign w:val="bottom"/>
            <w:shd w:val="clear" w:color="auto" w:fill="71BF43"/>
          </w:tcPr>
          <w:p>
            <w:pPr>
              <w:spacing w:after="0"/>
              <w:rPr>
                <w:sz w:val="2"/>
                <w:szCs w:val="2"/>
                <w:color w:val="auto"/>
              </w:rPr>
            </w:pPr>
          </w:p>
        </w:tc>
        <w:tc>
          <w:tcPr>
            <w:tcW w:w="660" w:type="dxa"/>
            <w:vAlign w:val="bottom"/>
            <w:shd w:val="clear" w:color="auto" w:fill="71BF43"/>
          </w:tcPr>
          <w:p>
            <w:pPr>
              <w:spacing w:after="0"/>
              <w:rPr>
                <w:sz w:val="2"/>
                <w:szCs w:val="2"/>
                <w:color w:val="auto"/>
              </w:rPr>
            </w:pPr>
          </w:p>
        </w:tc>
        <w:tc>
          <w:tcPr>
            <w:tcW w:w="1000" w:type="dxa"/>
            <w:vAlign w:val="bottom"/>
            <w:shd w:val="clear" w:color="auto" w:fill="71BF43"/>
          </w:tcPr>
          <w:p>
            <w:pPr>
              <w:spacing w:after="0"/>
              <w:rPr>
                <w:sz w:val="2"/>
                <w:szCs w:val="2"/>
                <w:color w:val="auto"/>
              </w:rPr>
            </w:pPr>
          </w:p>
        </w:tc>
        <w:tc>
          <w:tcPr>
            <w:tcW w:w="900" w:type="dxa"/>
            <w:vAlign w:val="bottom"/>
            <w:shd w:val="clear" w:color="auto" w:fill="71BF43"/>
          </w:tcPr>
          <w:p>
            <w:pPr>
              <w:spacing w:after="0"/>
              <w:rPr>
                <w:sz w:val="2"/>
                <w:szCs w:val="2"/>
                <w:color w:val="auto"/>
              </w:rPr>
            </w:pPr>
          </w:p>
        </w:tc>
        <w:tc>
          <w:tcPr>
            <w:tcW w:w="1140" w:type="dxa"/>
            <w:vAlign w:val="bottom"/>
            <w:shd w:val="clear" w:color="auto" w:fill="71BF43"/>
          </w:tcPr>
          <w:p>
            <w:pPr>
              <w:spacing w:after="0"/>
              <w:rPr>
                <w:sz w:val="2"/>
                <w:szCs w:val="2"/>
                <w:color w:val="auto"/>
              </w:rPr>
            </w:pPr>
          </w:p>
        </w:tc>
        <w:tc>
          <w:tcPr>
            <w:tcW w:w="800" w:type="dxa"/>
            <w:vAlign w:val="bottom"/>
            <w:shd w:val="clear" w:color="auto" w:fill="71BF43"/>
          </w:tcPr>
          <w:p>
            <w:pPr>
              <w:spacing w:after="0"/>
              <w:rPr>
                <w:sz w:val="2"/>
                <w:szCs w:val="2"/>
                <w:color w:val="auto"/>
              </w:rPr>
            </w:pPr>
          </w:p>
        </w:tc>
        <w:tc>
          <w:tcPr>
            <w:tcW w:w="980" w:type="dxa"/>
            <w:vAlign w:val="bottom"/>
            <w:shd w:val="clear" w:color="auto" w:fill="71BF43"/>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-1799590</wp:posOffset>
            </wp:positionV>
            <wp:extent cx="6926580" cy="1543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6580" cy="154305"/>
                    </a:xfrm>
                    <a:prstGeom prst="rect">
                      <a:avLst/>
                    </a:prstGeom>
                    <a:noFill/>
                  </pic:spPr>
                </pic:pic>
              </a:graphicData>
            </a:graphic>
          </wp:anchor>
        </w:drawing>
        <w:drawing>
          <wp:anchor simplePos="0" relativeHeight="251657728" behindDoc="1" locked="0" layoutInCell="0" allowOverlap="1">
            <wp:simplePos x="0" y="0"/>
            <wp:positionH relativeFrom="column">
              <wp:posOffset>68580</wp:posOffset>
            </wp:positionH>
            <wp:positionV relativeFrom="paragraph">
              <wp:posOffset>-325120</wp:posOffset>
            </wp:positionV>
            <wp:extent cx="6926580" cy="15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154305"/>
                    </a:xfrm>
                    <a:prstGeom prst="rect">
                      <a:avLst/>
                    </a:prstGeom>
                    <a:noFill/>
                  </pic:spPr>
                </pic:pic>
              </a:graphicData>
            </a:graphic>
          </wp:anchor>
        </w:drawing>
        <w:drawing>
          <wp:anchor simplePos="0" relativeHeight="251657728" behindDoc="1" locked="0" layoutInCell="0" allowOverlap="1">
            <wp:simplePos x="0" y="0"/>
            <wp:positionH relativeFrom="column">
              <wp:posOffset>2914650</wp:posOffset>
            </wp:positionH>
            <wp:positionV relativeFrom="paragraph">
              <wp:posOffset>-2108200</wp:posOffset>
            </wp:positionV>
            <wp:extent cx="10369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66" w:lineRule="exact"/>
        <w:rPr>
          <w:sz w:val="20"/>
          <w:szCs w:val="20"/>
          <w:color w:val="auto"/>
        </w:rPr>
      </w:pPr>
    </w:p>
    <w:p>
      <w:pPr>
        <w:ind w:left="440" w:right="20" w:hanging="332"/>
        <w:spacing w:after="0" w:line="258" w:lineRule="auto"/>
        <w:tabs>
          <w:tab w:leader="none" w:pos="454" w:val="left"/>
        </w:tabs>
        <w:numPr>
          <w:ilvl w:val="0"/>
          <w:numId w:val="5"/>
        </w:numPr>
        <w:rPr>
          <w:rFonts w:ascii="Arial" w:cs="Arial" w:eastAsia="Arial" w:hAnsi="Arial"/>
          <w:sz w:val="14"/>
          <w:szCs w:val="14"/>
          <w:color w:val="auto"/>
        </w:rPr>
      </w:pPr>
      <w:r>
        <w:rPr>
          <w:rFonts w:ascii="Arial" w:cs="Arial" w:eastAsia="Arial" w:hAnsi="Arial"/>
          <w:sz w:val="14"/>
          <w:szCs w:val="14"/>
          <w:color w:val="auto"/>
        </w:rPr>
        <w:t>Represents shares retired after determining certain EVERFI's selling shareholders would be paid in cash, rather than shares of our common stock. See Note 3 for additional information regarding our acquisition of EVERFI.</w:t>
      </w:r>
    </w:p>
    <w:p>
      <w:pPr>
        <w:spacing w:after="0" w:line="200" w:lineRule="exact"/>
        <w:rPr>
          <w:sz w:val="20"/>
          <w:szCs w:val="20"/>
          <w:color w:val="auto"/>
        </w:rPr>
      </w:pPr>
    </w:p>
    <w:p>
      <w:pPr>
        <w:spacing w:after="0" w:line="367"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4580" w:type="dxa"/>
            <w:vAlign w:val="bottom"/>
            <w:shd w:val="clear" w:color="auto" w:fill="ACACAC"/>
          </w:tcPr>
          <w:p>
            <w:pPr>
              <w:spacing w:after="0"/>
              <w:rPr>
                <w:sz w:val="19"/>
                <w:szCs w:val="19"/>
                <w:color w:val="auto"/>
              </w:rPr>
            </w:pPr>
          </w:p>
        </w:tc>
        <w:tc>
          <w:tcPr>
            <w:tcW w:w="980" w:type="dxa"/>
            <w:vAlign w:val="bottom"/>
            <w:shd w:val="clear" w:color="auto" w:fill="ACACAC"/>
          </w:tcPr>
          <w:p>
            <w:pPr>
              <w:spacing w:after="0"/>
              <w:rPr>
                <w:sz w:val="19"/>
                <w:szCs w:val="19"/>
                <w:color w:val="auto"/>
              </w:rPr>
            </w:pPr>
          </w:p>
        </w:tc>
        <w:tc>
          <w:tcPr>
            <w:tcW w:w="120" w:type="dxa"/>
            <w:vAlign w:val="bottom"/>
            <w:shd w:val="clear" w:color="auto" w:fill="ACACAC"/>
          </w:tcPr>
          <w:p>
            <w:pPr>
              <w:spacing w:after="0"/>
              <w:rPr>
                <w:sz w:val="19"/>
                <w:szCs w:val="19"/>
                <w:color w:val="auto"/>
              </w:rPr>
            </w:pPr>
          </w:p>
        </w:tc>
        <w:tc>
          <w:tcPr>
            <w:tcW w:w="5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160" w:type="dxa"/>
            <w:vAlign w:val="bottom"/>
            <w:shd w:val="clear" w:color="auto" w:fill="ACACAC"/>
          </w:tcPr>
          <w:p>
            <w:pPr>
              <w:spacing w:after="0"/>
              <w:rPr>
                <w:sz w:val="19"/>
                <w:szCs w:val="19"/>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w:t>
            </w:r>
          </w:p>
        </w:tc>
        <w:tc>
          <w:tcPr>
            <w:tcW w:w="200" w:type="dxa"/>
            <w:vAlign w:val="bottom"/>
            <w:shd w:val="clear" w:color="auto" w:fill="ACACAC"/>
          </w:tcPr>
          <w:p>
            <w:pPr>
              <w:spacing w:after="0"/>
              <w:rPr>
                <w:sz w:val="19"/>
                <w:szCs w:val="19"/>
                <w:color w:val="auto"/>
              </w:rPr>
            </w:pPr>
          </w:p>
        </w:tc>
        <w:tc>
          <w:tcPr>
            <w:tcW w:w="740" w:type="dxa"/>
            <w:vAlign w:val="bottom"/>
            <w:shd w:val="clear" w:color="auto" w:fill="ACACAC"/>
          </w:tcPr>
          <w:p>
            <w:pPr>
              <w:spacing w:after="0"/>
              <w:rPr>
                <w:sz w:val="19"/>
                <w:szCs w:val="19"/>
                <w:color w:val="auto"/>
              </w:rPr>
            </w:pPr>
          </w:p>
        </w:tc>
        <w:tc>
          <w:tcPr>
            <w:tcW w:w="220" w:type="dxa"/>
            <w:vAlign w:val="bottom"/>
            <w:shd w:val="clear" w:color="auto" w:fill="ACACAC"/>
          </w:tcPr>
          <w:p>
            <w:pPr>
              <w:spacing w:after="0"/>
              <w:rPr>
                <w:sz w:val="19"/>
                <w:szCs w:val="19"/>
                <w:color w:val="auto"/>
              </w:rPr>
            </w:pPr>
          </w:p>
        </w:tc>
        <w:tc>
          <w:tcPr>
            <w:tcW w:w="780" w:type="dxa"/>
            <w:vAlign w:val="bottom"/>
            <w:shd w:val="clear" w:color="auto" w:fill="ACACAC"/>
          </w:tcPr>
          <w:p>
            <w:pPr>
              <w:spacing w:after="0"/>
              <w:rPr>
                <w:sz w:val="19"/>
                <w:szCs w:val="19"/>
                <w:color w:val="auto"/>
              </w:rPr>
            </w:pPr>
          </w:p>
        </w:tc>
        <w:tc>
          <w:tcPr>
            <w:tcW w:w="20" w:type="dxa"/>
            <w:vAlign w:val="bottom"/>
            <w:shd w:val="clear" w:color="auto" w:fill="ACACAC"/>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580" w:type="dxa"/>
            <w:vAlign w:val="bottom"/>
            <w:shd w:val="clear" w:color="auto" w:fill="ACACAC"/>
          </w:tcPr>
          <w:p>
            <w:pPr>
              <w:spacing w:after="0"/>
              <w:rPr>
                <w:sz w:val="14"/>
                <w:szCs w:val="14"/>
                <w:color w:val="auto"/>
              </w:rPr>
            </w:pPr>
          </w:p>
        </w:tc>
        <w:tc>
          <w:tcPr>
            <w:tcW w:w="1680" w:type="dxa"/>
            <w:vAlign w:val="bottom"/>
            <w:gridSpan w:val="3"/>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Common stock</w:t>
            </w:r>
          </w:p>
        </w:tc>
        <w:tc>
          <w:tcPr>
            <w:tcW w:w="160" w:type="dxa"/>
            <w:vAlign w:val="bottom"/>
            <w:shd w:val="clear" w:color="auto" w:fill="ACACAC"/>
          </w:tcPr>
          <w:p>
            <w:pPr>
              <w:spacing w:after="0"/>
              <w:rPr>
                <w:sz w:val="14"/>
                <w:szCs w:val="14"/>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Additional</w:t>
            </w:r>
          </w:p>
        </w:tc>
        <w:tc>
          <w:tcPr>
            <w:tcW w:w="160" w:type="dxa"/>
            <w:vAlign w:val="bottom"/>
            <w:shd w:val="clear" w:color="auto" w:fill="ACACAC"/>
          </w:tcPr>
          <w:p>
            <w:pPr>
              <w:spacing w:after="0"/>
              <w:rPr>
                <w:sz w:val="14"/>
                <w:szCs w:val="14"/>
                <w:color w:val="auto"/>
              </w:rPr>
            </w:pPr>
          </w:p>
        </w:tc>
        <w:tc>
          <w:tcPr>
            <w:tcW w:w="780" w:type="dxa"/>
            <w:vAlign w:val="bottom"/>
            <w:shd w:val="clear" w:color="auto" w:fill="ACACAC"/>
          </w:tcPr>
          <w:p>
            <w:pPr>
              <w:spacing w:after="0"/>
              <w:rPr>
                <w:sz w:val="14"/>
                <w:szCs w:val="14"/>
                <w:color w:val="auto"/>
              </w:rPr>
            </w:pPr>
          </w:p>
        </w:tc>
        <w:tc>
          <w:tcPr>
            <w:tcW w:w="160" w:type="dxa"/>
            <w:vAlign w:val="bottom"/>
            <w:shd w:val="clear" w:color="auto" w:fill="ACACAC"/>
          </w:tcPr>
          <w:p>
            <w:pPr>
              <w:spacing w:after="0"/>
              <w:rPr>
                <w:sz w:val="14"/>
                <w:szCs w:val="14"/>
                <w:color w:val="auto"/>
              </w:rPr>
            </w:pPr>
          </w:p>
        </w:tc>
        <w:tc>
          <w:tcPr>
            <w:tcW w:w="10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other</w:t>
            </w:r>
          </w:p>
        </w:tc>
        <w:tc>
          <w:tcPr>
            <w:tcW w:w="200" w:type="dxa"/>
            <w:vAlign w:val="bottom"/>
            <w:shd w:val="clear" w:color="auto" w:fill="ACACAC"/>
          </w:tcPr>
          <w:p>
            <w:pPr>
              <w:spacing w:after="0"/>
              <w:rPr>
                <w:sz w:val="14"/>
                <w:szCs w:val="14"/>
                <w:color w:val="auto"/>
              </w:rPr>
            </w:pPr>
          </w:p>
        </w:tc>
        <w:tc>
          <w:tcPr>
            <w:tcW w:w="740" w:type="dxa"/>
            <w:vAlign w:val="bottom"/>
            <w:shd w:val="clear" w:color="auto" w:fill="ACACAC"/>
          </w:tcPr>
          <w:p>
            <w:pPr>
              <w:spacing w:after="0"/>
              <w:rPr>
                <w:sz w:val="14"/>
                <w:szCs w:val="14"/>
                <w:color w:val="auto"/>
              </w:rPr>
            </w:pPr>
          </w:p>
        </w:tc>
        <w:tc>
          <w:tcPr>
            <w:tcW w:w="220" w:type="dxa"/>
            <w:vAlign w:val="bottom"/>
            <w:shd w:val="clear" w:color="auto" w:fill="ACACAC"/>
          </w:tcPr>
          <w:p>
            <w:pPr>
              <w:spacing w:after="0"/>
              <w:rPr>
                <w:sz w:val="14"/>
                <w:szCs w:val="14"/>
                <w:color w:val="auto"/>
              </w:rPr>
            </w:pPr>
          </w:p>
        </w:tc>
        <w:tc>
          <w:tcPr>
            <w:tcW w:w="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4580" w:type="dxa"/>
            <w:vAlign w:val="bottom"/>
            <w:shd w:val="clear" w:color="auto" w:fill="ACACAC"/>
          </w:tcPr>
          <w:p>
            <w:pPr>
              <w:spacing w:after="0"/>
              <w:rPr>
                <w:sz w:val="10"/>
                <w:szCs w:val="10"/>
                <w:color w:val="auto"/>
              </w:rPr>
            </w:pPr>
          </w:p>
        </w:tc>
        <w:tc>
          <w:tcPr>
            <w:tcW w:w="1680" w:type="dxa"/>
            <w:vAlign w:val="bottom"/>
            <w:gridSpan w:val="3"/>
            <w:vMerge w:val="continue"/>
            <w:shd w:val="clear" w:color="auto" w:fill="ACACAC"/>
          </w:tcPr>
          <w:p>
            <w:pPr>
              <w:spacing w:after="0"/>
              <w:rPr>
                <w:sz w:val="10"/>
                <w:szCs w:val="10"/>
                <w:color w:val="auto"/>
              </w:rPr>
            </w:pPr>
          </w:p>
        </w:tc>
        <w:tc>
          <w:tcPr>
            <w:tcW w:w="160" w:type="dxa"/>
            <w:vAlign w:val="bottom"/>
            <w:shd w:val="clear" w:color="auto" w:fill="ACACAC"/>
          </w:tcPr>
          <w:p>
            <w:pPr>
              <w:spacing w:after="0"/>
              <w:rPr>
                <w:sz w:val="10"/>
                <w:szCs w:val="10"/>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paid-in</w:t>
            </w:r>
          </w:p>
        </w:tc>
        <w:tc>
          <w:tcPr>
            <w:tcW w:w="160" w:type="dxa"/>
            <w:vAlign w:val="bottom"/>
            <w:shd w:val="clear" w:color="auto" w:fill="ACACAC"/>
          </w:tcPr>
          <w:p>
            <w:pPr>
              <w:spacing w:after="0"/>
              <w:rPr>
                <w:sz w:val="10"/>
                <w:szCs w:val="10"/>
                <w:color w:val="auto"/>
              </w:rPr>
            </w:pPr>
          </w:p>
        </w:tc>
        <w:tc>
          <w:tcPr>
            <w:tcW w:w="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Treasury</w:t>
            </w:r>
          </w:p>
        </w:tc>
        <w:tc>
          <w:tcPr>
            <w:tcW w:w="116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200" w:type="dxa"/>
            <w:vAlign w:val="bottom"/>
            <w:shd w:val="clear" w:color="auto" w:fill="ACACAC"/>
          </w:tcPr>
          <w:p>
            <w:pPr>
              <w:spacing w:after="0"/>
              <w:rPr>
                <w:sz w:val="10"/>
                <w:szCs w:val="10"/>
                <w:color w:val="auto"/>
              </w:rPr>
            </w:pPr>
          </w:p>
        </w:tc>
        <w:tc>
          <w:tcPr>
            <w:tcW w:w="7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Retained</w:t>
            </w:r>
          </w:p>
        </w:tc>
        <w:tc>
          <w:tcPr>
            <w:tcW w:w="1000" w:type="dxa"/>
            <w:vAlign w:val="bottom"/>
            <w:gridSpan w:val="2"/>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stockholders'</w:t>
            </w:r>
          </w:p>
        </w:tc>
        <w:tc>
          <w:tcPr>
            <w:tcW w:w="20" w:type="dxa"/>
            <w:vAlign w:val="bottom"/>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4580" w:type="dxa"/>
            <w:vAlign w:val="bottom"/>
            <w:shd w:val="clear" w:color="auto" w:fill="ACACAC"/>
          </w:tcPr>
          <w:p>
            <w:pPr>
              <w:spacing w:after="0"/>
              <w:rPr>
                <w:sz w:val="3"/>
                <w:szCs w:val="3"/>
                <w:color w:val="auto"/>
              </w:rPr>
            </w:pPr>
          </w:p>
        </w:tc>
        <w:tc>
          <w:tcPr>
            <w:tcW w:w="980" w:type="dxa"/>
            <w:vAlign w:val="bottom"/>
            <w:shd w:val="clear" w:color="auto" w:fill="ACACAC"/>
          </w:tcPr>
          <w:p>
            <w:pPr>
              <w:spacing w:after="0"/>
              <w:rPr>
                <w:sz w:val="3"/>
                <w:szCs w:val="3"/>
                <w:color w:val="auto"/>
              </w:rPr>
            </w:pPr>
          </w:p>
        </w:tc>
        <w:tc>
          <w:tcPr>
            <w:tcW w:w="120" w:type="dxa"/>
            <w:vAlign w:val="bottom"/>
            <w:shd w:val="clear" w:color="auto" w:fill="ACACAC"/>
          </w:tcPr>
          <w:p>
            <w:pPr>
              <w:spacing w:after="0"/>
              <w:rPr>
                <w:sz w:val="3"/>
                <w:szCs w:val="3"/>
                <w:color w:val="auto"/>
              </w:rPr>
            </w:pPr>
          </w:p>
        </w:tc>
        <w:tc>
          <w:tcPr>
            <w:tcW w:w="580" w:type="dxa"/>
            <w:vAlign w:val="bottom"/>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780" w:type="dxa"/>
            <w:vAlign w:val="bottom"/>
            <w:vMerge w:val="continue"/>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780" w:type="dxa"/>
            <w:vAlign w:val="bottom"/>
            <w:vMerge w:val="continue"/>
            <w:shd w:val="clear" w:color="auto" w:fill="ACACAC"/>
          </w:tcPr>
          <w:p>
            <w:pPr>
              <w:spacing w:after="0"/>
              <w:rPr>
                <w:sz w:val="3"/>
                <w:szCs w:val="3"/>
                <w:color w:val="auto"/>
              </w:rPr>
            </w:pPr>
          </w:p>
        </w:tc>
        <w:tc>
          <w:tcPr>
            <w:tcW w:w="1160" w:type="dxa"/>
            <w:vAlign w:val="bottom"/>
            <w:gridSpan w:val="2"/>
            <w:vMerge w:val="continue"/>
            <w:shd w:val="clear" w:color="auto" w:fill="ACACAC"/>
          </w:tcPr>
          <w:p>
            <w:pPr>
              <w:spacing w:after="0"/>
              <w:rPr>
                <w:sz w:val="3"/>
                <w:szCs w:val="3"/>
                <w:color w:val="auto"/>
              </w:rPr>
            </w:pPr>
          </w:p>
        </w:tc>
        <w:tc>
          <w:tcPr>
            <w:tcW w:w="200" w:type="dxa"/>
            <w:vAlign w:val="bottom"/>
            <w:shd w:val="clear" w:color="auto" w:fill="ACACAC"/>
          </w:tcPr>
          <w:p>
            <w:pPr>
              <w:spacing w:after="0"/>
              <w:rPr>
                <w:sz w:val="3"/>
                <w:szCs w:val="3"/>
                <w:color w:val="auto"/>
              </w:rPr>
            </w:pPr>
          </w:p>
        </w:tc>
        <w:tc>
          <w:tcPr>
            <w:tcW w:w="740" w:type="dxa"/>
            <w:vAlign w:val="bottom"/>
            <w:vMerge w:val="continue"/>
            <w:shd w:val="clear" w:color="auto" w:fill="ACACAC"/>
          </w:tcPr>
          <w:p>
            <w:pPr>
              <w:spacing w:after="0"/>
              <w:rPr>
                <w:sz w:val="3"/>
                <w:szCs w:val="3"/>
                <w:color w:val="auto"/>
              </w:rPr>
            </w:pPr>
          </w:p>
        </w:tc>
        <w:tc>
          <w:tcPr>
            <w:tcW w:w="1000" w:type="dxa"/>
            <w:vAlign w:val="bottom"/>
            <w:gridSpan w:val="2"/>
            <w:vMerge w:val="continue"/>
            <w:shd w:val="clear" w:color="auto" w:fill="ACACAC"/>
          </w:tcPr>
          <w:p>
            <w:pPr>
              <w:spacing w:after="0"/>
              <w:rPr>
                <w:sz w:val="3"/>
                <w:szCs w:val="3"/>
                <w:color w:val="auto"/>
              </w:rPr>
            </w:pPr>
          </w:p>
        </w:tc>
        <w:tc>
          <w:tcPr>
            <w:tcW w:w="20" w:type="dxa"/>
            <w:vAlign w:val="bottom"/>
            <w:shd w:val="clear" w:color="auto" w:fill="ACACA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6"/>
        </w:trPr>
        <w:tc>
          <w:tcPr>
            <w:tcW w:w="45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Shares</w:t>
            </w:r>
          </w:p>
        </w:tc>
        <w:tc>
          <w:tcPr>
            <w:tcW w:w="120" w:type="dxa"/>
            <w:vAlign w:val="bottom"/>
            <w:tcBorders>
              <w:bottom w:val="single" w:sz="8" w:color="ACACAC"/>
            </w:tcBorders>
            <w:shd w:val="clear" w:color="auto" w:fill="ACACAC"/>
          </w:tcPr>
          <w:p>
            <w:pPr>
              <w:spacing w:after="0"/>
              <w:rPr>
                <w:sz w:val="17"/>
                <w:szCs w:val="17"/>
                <w:color w:val="auto"/>
              </w:rPr>
            </w:pPr>
          </w:p>
        </w:tc>
        <w:tc>
          <w:tcPr>
            <w:tcW w:w="5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Amount</w:t>
            </w:r>
          </w:p>
        </w:tc>
        <w:tc>
          <w:tcPr>
            <w:tcW w:w="16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capital</w:t>
            </w:r>
          </w:p>
        </w:tc>
        <w:tc>
          <w:tcPr>
            <w:tcW w:w="16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stock</w:t>
            </w:r>
          </w:p>
        </w:tc>
        <w:tc>
          <w:tcPr>
            <w:tcW w:w="160" w:type="dxa"/>
            <w:vAlign w:val="bottom"/>
            <w:tcBorders>
              <w:bottom w:val="single" w:sz="8" w:color="ACACAC"/>
            </w:tcBorders>
            <w:shd w:val="clear" w:color="auto" w:fill="ACACAC"/>
          </w:tcPr>
          <w:p>
            <w:pPr>
              <w:spacing w:after="0"/>
              <w:rPr>
                <w:sz w:val="17"/>
                <w:szCs w:val="17"/>
                <w:color w:val="auto"/>
              </w:rPr>
            </w:pPr>
          </w:p>
        </w:tc>
        <w:tc>
          <w:tcPr>
            <w:tcW w:w="10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income (loss)</w:t>
            </w:r>
          </w:p>
        </w:tc>
        <w:tc>
          <w:tcPr>
            <w:tcW w:w="200" w:type="dxa"/>
            <w:vAlign w:val="bottom"/>
            <w:tcBorders>
              <w:bottom w:val="single" w:sz="8" w:color="ACACAC"/>
            </w:tcBorders>
            <w:shd w:val="clear" w:color="auto" w:fill="ACACAC"/>
          </w:tcPr>
          <w:p>
            <w:pPr>
              <w:spacing w:after="0"/>
              <w:rPr>
                <w:sz w:val="17"/>
                <w:szCs w:val="17"/>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earnings</w:t>
            </w:r>
          </w:p>
        </w:tc>
        <w:tc>
          <w:tcPr>
            <w:tcW w:w="220" w:type="dxa"/>
            <w:vAlign w:val="bottom"/>
            <w:tcBorders>
              <w:bottom w:val="single" w:sz="8" w:color="ACACAC"/>
            </w:tcBorders>
            <w:shd w:val="clear" w:color="auto" w:fill="ACACAC"/>
          </w:tcPr>
          <w:p>
            <w:pPr>
              <w:spacing w:after="0"/>
              <w:rPr>
                <w:sz w:val="17"/>
                <w:szCs w:val="17"/>
                <w:color w:val="auto"/>
              </w:rPr>
            </w:pPr>
          </w:p>
        </w:tc>
        <w:tc>
          <w:tcPr>
            <w:tcW w:w="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equity</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60,904,638</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61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544,963</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(353,091)</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(2,497)</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236,714</w:t>
            </w:r>
          </w:p>
        </w:tc>
        <w:tc>
          <w:tcPr>
            <w:tcW w:w="220" w:type="dxa"/>
            <w:vAlign w:val="bottom"/>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426,150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Net loss</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(164)</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Purchase of 465,821 treasury shares under stock repurchase</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program</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(28,066)</w:t>
            </w:r>
          </w:p>
        </w:tc>
        <w:tc>
          <w:tcPr>
            <w:tcW w:w="1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Vesting of restricted stock units</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206,418</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4580" w:type="dxa"/>
            <w:vAlign w:val="bottom"/>
          </w:tcPr>
          <w:p>
            <w:pPr>
              <w:ind w:left="140"/>
              <w:spacing w:after="0"/>
              <w:rPr>
                <w:sz w:val="20"/>
                <w:szCs w:val="20"/>
                <w:color w:val="auto"/>
              </w:rPr>
            </w:pPr>
            <w:r>
              <w:rPr>
                <w:rFonts w:ascii="Arial" w:cs="Arial" w:eastAsia="Arial" w:hAnsi="Arial"/>
                <w:sz w:val="16"/>
                <w:szCs w:val="16"/>
                <w:color w:val="auto"/>
              </w:rPr>
              <w:t>Employee taxes paid for 240,867 withheld shares upon equity</w:t>
            </w: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4580" w:type="dxa"/>
            <w:vAlign w:val="bottom"/>
          </w:tcPr>
          <w:p>
            <w:pPr>
              <w:ind w:left="140"/>
              <w:spacing w:after="0"/>
              <w:rPr>
                <w:sz w:val="20"/>
                <w:szCs w:val="20"/>
                <w:color w:val="auto"/>
              </w:rPr>
            </w:pPr>
            <w:r>
              <w:rPr>
                <w:rFonts w:ascii="Arial" w:cs="Arial" w:eastAsia="Arial" w:hAnsi="Arial"/>
                <w:sz w:val="16"/>
                <w:szCs w:val="16"/>
                <w:color w:val="auto"/>
              </w:rPr>
              <w:t>award settlement</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(18,426)</w:t>
            </w:r>
          </w:p>
        </w:tc>
        <w:tc>
          <w:tcPr>
            <w:tcW w:w="160" w:type="dxa"/>
            <w:vAlign w:val="bottom"/>
          </w:tcPr>
          <w:p>
            <w:pPr>
              <w:spacing w:after="0"/>
              <w:rPr>
                <w:sz w:val="17"/>
                <w:szCs w:val="17"/>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(18,426)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Stock-based compensation</w:t>
            </w:r>
          </w:p>
        </w:tc>
        <w:tc>
          <w:tcPr>
            <w:tcW w:w="9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29,995</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10</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30,005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580" w:type="dxa"/>
            <w:vAlign w:val="bottom"/>
          </w:tcPr>
          <w:p>
            <w:pPr>
              <w:ind w:left="140"/>
              <w:spacing w:after="0"/>
              <w:rPr>
                <w:sz w:val="20"/>
                <w:szCs w:val="20"/>
                <w:color w:val="auto"/>
              </w:rPr>
            </w:pPr>
            <w:r>
              <w:rPr>
                <w:rFonts w:ascii="Arial" w:cs="Arial" w:eastAsia="Arial" w:hAnsi="Arial"/>
                <w:sz w:val="16"/>
                <w:szCs w:val="16"/>
                <w:color w:val="auto"/>
              </w:rPr>
              <w:t>Restricted stock grants</w:t>
            </w:r>
          </w:p>
        </w:tc>
        <w:tc>
          <w:tcPr>
            <w:tcW w:w="980" w:type="dxa"/>
            <w:vAlign w:val="bottom"/>
          </w:tcPr>
          <w:p>
            <w:pPr>
              <w:jc w:val="right"/>
              <w:ind w:right="1"/>
              <w:spacing w:after="0"/>
              <w:rPr>
                <w:sz w:val="20"/>
                <w:szCs w:val="20"/>
                <w:color w:val="auto"/>
              </w:rPr>
            </w:pPr>
            <w:r>
              <w:rPr>
                <w:rFonts w:ascii="Arial" w:cs="Arial" w:eastAsia="Arial" w:hAnsi="Arial"/>
                <w:sz w:val="16"/>
                <w:szCs w:val="16"/>
                <w:color w:val="auto"/>
              </w:rPr>
              <w:t>519,009</w:t>
            </w: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0"/>
                <w:szCs w:val="20"/>
                <w:color w:val="auto"/>
              </w:rPr>
            </w:pPr>
          </w:p>
        </w:tc>
        <w:tc>
          <w:tcPr>
            <w:tcW w:w="74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780" w:type="dxa"/>
            <w:vAlign w:val="bottom"/>
          </w:tcPr>
          <w:p>
            <w:pPr>
              <w:jc w:val="right"/>
              <w:ind w:right="1"/>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4580" w:type="dxa"/>
            <w:vAlign w:val="bottom"/>
            <w:shd w:val="clear" w:color="auto" w:fill="F4F4F4"/>
          </w:tcPr>
          <w:p>
            <w:pPr>
              <w:ind w:left="140"/>
              <w:spacing w:after="0"/>
              <w:rPr>
                <w:sz w:val="20"/>
                <w:szCs w:val="20"/>
                <w:color w:val="auto"/>
              </w:rPr>
            </w:pPr>
            <w:r>
              <w:rPr>
                <w:rFonts w:ascii="Arial" w:cs="Arial" w:eastAsia="Arial" w:hAnsi="Arial"/>
                <w:sz w:val="16"/>
                <w:szCs w:val="16"/>
                <w:color w:val="auto"/>
              </w:rPr>
              <w:t>Restricted stock cancellations</w:t>
            </w:r>
          </w:p>
        </w:tc>
        <w:tc>
          <w:tcPr>
            <w:tcW w:w="9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(34,789)</w:t>
            </w:r>
          </w:p>
        </w:tc>
        <w:tc>
          <w:tcPr>
            <w:tcW w:w="120" w:type="dxa"/>
            <w:vAlign w:val="bottom"/>
            <w:shd w:val="clear" w:color="auto" w:fill="F4F4F4"/>
          </w:tcPr>
          <w:p>
            <w:pPr>
              <w:spacing w:after="0"/>
              <w:rPr>
                <w:sz w:val="21"/>
                <w:szCs w:val="21"/>
                <w:color w:val="auto"/>
              </w:rPr>
            </w:pPr>
          </w:p>
        </w:tc>
        <w:tc>
          <w:tcPr>
            <w:tcW w:w="5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780" w:type="dxa"/>
            <w:vAlign w:val="bottom"/>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F4F4F4"/>
          </w:tcPr>
          <w:p>
            <w:pPr>
              <w:spacing w:after="0"/>
              <w:rPr>
                <w:sz w:val="21"/>
                <w:szCs w:val="21"/>
                <w:color w:val="auto"/>
              </w:rPr>
            </w:pPr>
          </w:p>
        </w:tc>
        <w:tc>
          <w:tcPr>
            <w:tcW w:w="100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0" w:type="dxa"/>
            <w:vAlign w:val="bottom"/>
            <w:shd w:val="clear" w:color="auto" w:fill="F4F4F4"/>
          </w:tcPr>
          <w:p>
            <w:pPr>
              <w:spacing w:after="0"/>
              <w:rPr>
                <w:sz w:val="21"/>
                <w:szCs w:val="21"/>
                <w:color w:val="auto"/>
              </w:rPr>
            </w:pPr>
          </w:p>
        </w:tc>
        <w:tc>
          <w:tcPr>
            <w:tcW w:w="74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shd w:val="clear" w:color="auto" w:fill="F4F4F4"/>
          </w:tcPr>
          <w:p>
            <w:pPr>
              <w:spacing w:after="0"/>
              <w:rPr>
                <w:sz w:val="21"/>
                <w:szCs w:val="21"/>
                <w:color w:val="auto"/>
              </w:rPr>
            </w:pPr>
          </w:p>
        </w:tc>
        <w:tc>
          <w:tcPr>
            <w:tcW w:w="780" w:type="dxa"/>
            <w:vAlign w:val="bottom"/>
            <w:shd w:val="clear" w:color="auto" w:fill="F4F4F4"/>
          </w:tcPr>
          <w:p>
            <w:pPr>
              <w:jc w:val="right"/>
              <w:ind w:right="1"/>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580" w:type="dxa"/>
            <w:vAlign w:val="bottom"/>
            <w:tcBorders>
              <w:bottom w:val="single" w:sz="8" w:color="F4F4F4"/>
            </w:tcBorders>
          </w:tcPr>
          <w:p>
            <w:pPr>
              <w:ind w:left="140"/>
              <w:spacing w:after="0"/>
              <w:rPr>
                <w:sz w:val="20"/>
                <w:szCs w:val="20"/>
                <w:color w:val="auto"/>
              </w:rPr>
            </w:pPr>
            <w:r>
              <w:rPr>
                <w:rFonts w:ascii="Arial" w:cs="Arial" w:eastAsia="Arial" w:hAnsi="Arial"/>
                <w:sz w:val="16"/>
                <w:szCs w:val="16"/>
                <w:color w:val="auto"/>
              </w:rPr>
              <w:t>Other comprehensive income</w:t>
            </w:r>
          </w:p>
        </w:tc>
        <w:tc>
          <w:tcPr>
            <w:tcW w:w="9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6,660</w:t>
            </w: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6,660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980" w:type="dxa"/>
            <w:vAlign w:val="bottom"/>
            <w:tcBorders>
              <w:bottom w:val="single" w:sz="8" w:color="71BF43"/>
            </w:tcBorders>
            <w:shd w:val="clear" w:color="auto" w:fill="F4F4F4"/>
          </w:tcPr>
          <w:p>
            <w:pPr>
              <w:jc w:val="right"/>
              <w:ind w:right="1"/>
              <w:spacing w:after="0"/>
              <w:rPr>
                <w:sz w:val="20"/>
                <w:szCs w:val="20"/>
                <w:color w:val="auto"/>
              </w:rPr>
            </w:pPr>
            <w:r>
              <w:rPr>
                <w:rFonts w:ascii="Arial" w:cs="Arial" w:eastAsia="Arial" w:hAnsi="Arial"/>
                <w:sz w:val="16"/>
                <w:szCs w:val="16"/>
                <w:color w:val="auto"/>
              </w:rPr>
              <w:t>61,595,276</w:t>
            </w:r>
          </w:p>
        </w:tc>
        <w:tc>
          <w:tcPr>
            <w:tcW w:w="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574,958</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(399,583)</w:t>
            </w:r>
          </w:p>
        </w:tc>
        <w:tc>
          <w:tcPr>
            <w:tcW w:w="1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71BF43"/>
            </w:tcBorders>
            <w:shd w:val="clear" w:color="auto" w:fill="F4F4F4"/>
          </w:tcPr>
          <w:p>
            <w:pPr>
              <w:jc w:val="right"/>
              <w:ind w:right="1"/>
              <w:spacing w:after="0"/>
              <w:rPr>
                <w:sz w:val="20"/>
                <w:szCs w:val="20"/>
                <w:color w:val="auto"/>
              </w:rPr>
            </w:pPr>
            <w:r>
              <w:rPr>
                <w:rFonts w:ascii="Arial" w:cs="Arial" w:eastAsia="Arial" w:hAnsi="Arial"/>
                <w:sz w:val="16"/>
                <w:szCs w:val="16"/>
                <w:color w:val="auto"/>
              </w:rPr>
              <w:t>4,163</w:t>
            </w:r>
          </w:p>
        </w:tc>
        <w:tc>
          <w:tcPr>
            <w:tcW w:w="200" w:type="dxa"/>
            <w:vAlign w:val="bottom"/>
            <w:tcBorders>
              <w:bottom w:val="single" w:sz="8" w:color="71BF43"/>
            </w:tcBorders>
            <w:shd w:val="clear" w:color="auto" w:fill="F4F4F4"/>
          </w:tcPr>
          <w:p>
            <w:pPr>
              <w:jc w:val="right"/>
              <w:ind w:right="19"/>
              <w:spacing w:after="0"/>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71BF43"/>
            </w:tcBorders>
            <w:shd w:val="clear" w:color="auto" w:fill="F4F4F4"/>
          </w:tcPr>
          <w:p>
            <w:pPr>
              <w:jc w:val="right"/>
              <w:ind w:right="1"/>
              <w:spacing w:after="0"/>
              <w:rPr>
                <w:sz w:val="20"/>
                <w:szCs w:val="20"/>
                <w:color w:val="auto"/>
              </w:rPr>
            </w:pPr>
            <w:r>
              <w:rPr>
                <w:rFonts w:ascii="Arial" w:cs="Arial" w:eastAsia="Arial" w:hAnsi="Arial"/>
                <w:sz w:val="16"/>
                <w:szCs w:val="16"/>
                <w:color w:val="auto"/>
              </w:rPr>
              <w:t>236,560</w:t>
            </w:r>
          </w:p>
        </w:tc>
        <w:tc>
          <w:tcPr>
            <w:tcW w:w="220" w:type="dxa"/>
            <w:vAlign w:val="bottom"/>
            <w:tcBorders>
              <w:bottom w:val="single" w:sz="8" w:color="71BF43"/>
            </w:tcBorders>
            <w:shd w:val="clear" w:color="auto" w:fill="F4F4F4"/>
          </w:tcPr>
          <w:p>
            <w:pPr>
              <w:jc w:val="right"/>
              <w:ind w:right="42"/>
              <w:spacing w:after="0"/>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71BF43"/>
            </w:tcBorders>
            <w:shd w:val="clear" w:color="auto" w:fill="F4F4F4"/>
          </w:tcPr>
          <w:p>
            <w:pPr>
              <w:jc w:val="right"/>
              <w:ind w:right="1"/>
              <w:spacing w:after="0"/>
              <w:rPr>
                <w:sz w:val="20"/>
                <w:szCs w:val="20"/>
                <w:color w:val="auto"/>
              </w:rPr>
            </w:pPr>
            <w:r>
              <w:rPr>
                <w:rFonts w:ascii="Arial" w:cs="Arial" w:eastAsia="Arial" w:hAnsi="Arial"/>
                <w:sz w:val="16"/>
                <w:szCs w:val="16"/>
                <w:color w:val="auto"/>
              </w:rPr>
              <w:t>416,160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2974340</wp:posOffset>
            </wp:positionH>
            <wp:positionV relativeFrom="paragraph">
              <wp:posOffset>-1953895</wp:posOffset>
            </wp:positionV>
            <wp:extent cx="10718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71880" cy="8890"/>
                    </a:xfrm>
                    <a:prstGeom prst="rect">
                      <a:avLst/>
                    </a:prstGeom>
                    <a:noFill/>
                  </pic:spPr>
                </pic:pic>
              </a:graphicData>
            </a:graphic>
          </wp:anchor>
        </w:drawing>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40" w:hanging="314"/>
        <w:spacing w:after="0"/>
        <w:tabs>
          <w:tab w:leader="none" w:pos="440" w:val="left"/>
        </w:tabs>
        <w:numPr>
          <w:ilvl w:val="0"/>
          <w:numId w:val="6"/>
        </w:numPr>
        <w:rPr>
          <w:rFonts w:ascii="Arial" w:cs="Arial" w:eastAsia="Arial" w:hAnsi="Arial"/>
          <w:sz w:val="14"/>
          <w:szCs w:val="14"/>
          <w:color w:val="auto"/>
        </w:rPr>
      </w:pPr>
      <w:r>
        <w:rPr>
          <w:rFonts w:ascii="Arial" w:cs="Arial" w:eastAsia="Arial" w:hAnsi="Arial"/>
          <w:sz w:val="1"/>
          <w:szCs w:val="1"/>
          <w:color w:val="auto"/>
        </w:rPr>
        <w:drawing>
          <wp:inline distT="0" distB="0" distL="0" distR="0">
            <wp:extent cx="651510" cy="1714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167640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60"/>
          </w:cols>
          <w:pgMar w:left="220" w:top="118" w:right="31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(CSR) and environmental, social and governance (ESG), school management, ticketing, grantmaking, financial management, payment processing and analytics. Serving the industry for more than four decades, we are a remote-first company headquartered in Charleston, South Carolina, with operations in the United States, Australia, Canada, Costa Rica and the United Kingdom.</w:t>
      </w:r>
    </w:p>
    <w:p>
      <w:pPr>
        <w:spacing w:after="0" w:line="24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2. Basis of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condensed consolidated interim financial statements</w:t>
      </w:r>
    </w:p>
    <w:p>
      <w:pPr>
        <w:spacing w:after="0" w:line="19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accompanying condensed consolidated interim financial statements have been prepared pursuant to the rules and regulations of the United States Securities and Exchange Commission ("SEC") for interim financial reporting. These consolidated statements are unaudited and, in the opinion of management, include all adjustments (consisting of normal recurring adjustments and accruals) necessary to state fairly the consolidated balance sheets, consolidated statements of comprehensive income, consolidated statements of cash flows and consolidated statements of stockholders’ equity, for the periods presented in accordance with accounting principles generally accepted in the United States ("U.S.") ("GAAP"). The consolidated balance sheet at December 31, 2021 has been derived from the audited consolidated financial statements at that date. Operating results and cash flows for the three months ended March 31, 2022 are not necessarily indicative of the results that may be expected for the fiscal year ending December 31, 2022, or any other future period. Certain information and footnote disclosures normally included in annual financial statements prepared in accordance with GAAP have been omitted in accordance with the rules and regulations for interim reporting of the SEC. These condensed consolidated interim financial statements should be read in conjunction with the consolidated financial statements and notes thereto included in our Annual Report on Form 10-K for the year ended December 31, 2021, and other forms filed with the SEC from time to time.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consolidation</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condensed consolidated financial statements include the accounts of Blackbaud, Inc. and its wholly owned subsidiaries. All intercompany balances and transactions have been eliminated in consolidation.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report our operating results and financial information in one operating and reportable segment. Our chief operating decision maker uses consolidated financial information to make operating decisions, assess financial performance and allocate resources. Our chief operating decision maker is our chief executive officer.</w:t>
      </w:r>
    </w:p>
    <w:p>
      <w:pPr>
        <w:spacing w:after="0" w:line="14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discussed in Note 13 to these condensed consolidated financial statements, beginning in the second quarter of 2021, we combined our General Markets Group ("GMG") and Enterprise Markets Group ("EMG") into a single U.S. Markets Group ("UMG") and moved our Corporations vertical under our International Markets Group ("IMG"). This change was made to better align our resources toward customer retention and growth which, are key objectives as we progress toward our long-term aspirational goals. We also acquired EVERFI (as defined below) as of December 31, 2021. As we are working to integrate EVERFI into our business, it has not yet been included in one of our market groups. These changes did not impact our conclusions that we have one operating and reportable segment and one goodwill reporting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226060</wp:posOffset>
            </wp:positionV>
            <wp:extent cx="659765"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6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16"/>
        </w:trPr>
        <w:tc>
          <w:tcPr>
            <w:tcW w:w="103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and uncertainties related to COVID-19</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subject to risks and uncertainties as a result of the global COVID-19 pandemic. We believe that COVID-19 may continue to significantly impact our vertical markets and geographies, but the magnitude of the impact on our business cannot be determined at this time due to numerous uncertainties, including the duration of the outbreak, the severity of variants which may develop, travel restrictions and business closures, the effectiveness of vaccination programs and other actions taken to contain the disease and other unforeseeable consequences.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as well as the reported amounts of revenues and expenses during the reporting periods. On an ongoing basis, we reconsider and evaluate our estimates and assumptions, including those that impact revenue recognition, long-lived and intangible assets, income taxes, business combinations, stock-based compensation, capitalization of software development costs, our allowances for credit losses and sales returns, costs of obtaining contracts, valuation of derivative instruments, loss contingencies and insurance recoveries, among others. Changes in the facts or circumstances underlying these estimates, including due to COVID-19, could result in material changes and actual results could materially differ from these estimates.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There are no recently issued accounting pronouncements that we expect to have a material impact on our consolidated financial statements when adopted in the future.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have been no material changes to our significant accounting policies described in our Annual Report on Form 10-K for the year ended December 31, 2021, filed with the SEC on March 1, 2022.</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3. Business Combinations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Acquisition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EVERFI</w:t>
      </w:r>
    </w:p>
    <w:p>
      <w:pPr>
        <w:spacing w:after="0" w:line="171"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On December 31, 2021, we acquired all of the outstanding equity securities, including all voting equity interests, of EVERFI, Inc., a Delaware corporation ("EVERFI"), pursuant to an agreement and plan of merger. The acquisition advanced our position as a leader in the rapidly evolving ESG and CSR spaces. We acquired the equity securities for approximately $442.7 million in cash consideration and 3,811,348 shares of the company's common stock, valued at approximately $ 301.1 million, for an aggregate purchase price of approximately $743.8 million, subject to closing adjustments. The cash consideration and related expenses were funded primarily through cash on hand and new borrowings under the 2020 Credit Facility (as defined below). As a result of the acquisition, EVERFI has become a wholly owned subsidiary of ours. The operating results of EVERFI have been included in our consolidated financial statements from the date of acquisition. In accordance with applicable accounting rules, we determined that the impact of this acquisition was not material to our consolidated financial statements; therefore, revenue and earnings since the acquisition date and pro forma information are not required to be presented.</w:t>
      </w:r>
    </w:p>
    <w:p>
      <w:pPr>
        <w:spacing w:after="0" w:line="15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fair values assigned to the assets acquired and liabilities assumed in our acquisition of EVERFI are based on our best estimates and assumptions as of the reporting date and are considered preliminary pending finalization. The estimates and assumptions are subject to change as we obtain additional information during the measurement period, which may be up to one year from the acquisition date. The assets and liabilities, pending finalization, include the valuation of intangible assets as well as the assumed deferred income tax balances. During the three months ended March 31, 2022, we recorded an insignificant measurement period adjustment to the estimated fair value of the EVERFI assets acquired and liabilities assumed following the receipt of new information. The adjustment resulted in an increase to net working capital, excluding deferred revenue, with the corresponding offset to goodwill.</w:t>
      </w:r>
    </w:p>
    <w:p>
      <w:pPr>
        <w:spacing w:after="0" w:line="31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8</w:t>
      </w:r>
      <w:r>
        <w:rPr>
          <w:sz w:val="20"/>
          <w:szCs w:val="20"/>
          <w:color w:val="auto"/>
        </w:rPr>
        <w:tab/>
      </w:r>
      <w:r>
        <w:rPr>
          <w:sz w:val="1"/>
          <w:szCs w:val="1"/>
          <w:color w:val="auto"/>
        </w:rPr>
        <w:drawing>
          <wp:inline distT="0" distB="0" distL="0" distR="0">
            <wp:extent cx="651510" cy="1714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4. Goodwill and Other Intangible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change in goodwill during the three months ended March 31, 2022,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98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40" w:type="dxa"/>
            <w:vAlign w:val="bottom"/>
            <w:tcBorders>
              <w:bottom w:val="single" w:sz="8" w:color="ACACAC"/>
            </w:tcBorders>
            <w:shd w:val="clear" w:color="auto" w:fill="ACACAC"/>
          </w:tcPr>
          <w:p>
            <w:pPr>
              <w:spacing w:after="0"/>
              <w:rPr>
                <w:sz w:val="19"/>
                <w:szCs w:val="19"/>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ACACAC"/>
            </w:tcBorders>
            <w:shd w:val="clear" w:color="auto" w:fill="ACACAC"/>
          </w:tcPr>
          <w:p>
            <w:pPr>
              <w:spacing w:after="0"/>
              <w:rPr>
                <w:sz w:val="19"/>
                <w:szCs w:val="19"/>
                <w:color w:val="auto"/>
              </w:rPr>
            </w:pPr>
          </w:p>
        </w:tc>
      </w:tr>
      <w:tr>
        <w:trPr>
          <w:trHeight w:val="250"/>
        </w:trPr>
        <w:tc>
          <w:tcPr>
            <w:tcW w:w="98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Balance at December 31, 2021</w:t>
            </w:r>
          </w:p>
        </w:tc>
        <w:tc>
          <w:tcPr>
            <w:tcW w:w="340" w:type="dxa"/>
            <w:vAlign w:val="bottom"/>
            <w:tcBorders>
              <w:bottom w:val="single" w:sz="8" w:color="F4F4F4"/>
            </w:tcBorders>
            <w:shd w:val="clear" w:color="auto" w:fill="F4F4F4"/>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1,058,640</w:t>
            </w:r>
          </w:p>
        </w:tc>
        <w:tc>
          <w:tcPr>
            <w:tcW w:w="20" w:type="dxa"/>
            <w:vAlign w:val="bottom"/>
          </w:tcPr>
          <w:p>
            <w:pPr>
              <w:spacing w:after="0"/>
              <w:rPr>
                <w:sz w:val="21"/>
                <w:szCs w:val="21"/>
                <w:color w:val="auto"/>
              </w:rPr>
            </w:pPr>
          </w:p>
        </w:tc>
      </w:tr>
      <w:tr>
        <w:trPr>
          <w:trHeight w:val="324"/>
        </w:trPr>
        <w:tc>
          <w:tcPr>
            <w:tcW w:w="9800" w:type="dxa"/>
            <w:vAlign w:val="bottom"/>
          </w:tcPr>
          <w:p>
            <w:pPr>
              <w:ind w:left="20"/>
              <w:spacing w:after="0"/>
              <w:rPr>
                <w:sz w:val="20"/>
                <w:szCs w:val="20"/>
                <w:color w:val="auto"/>
              </w:rPr>
            </w:pPr>
            <w:r>
              <w:rPr>
                <w:rFonts w:ascii="Arial" w:cs="Arial" w:eastAsia="Arial" w:hAnsi="Arial"/>
                <w:sz w:val="18"/>
                <w:szCs w:val="18"/>
                <w:color w:val="auto"/>
              </w:rPr>
              <w:t>Adjustments related to prior year business combinations</w:t>
            </w:r>
            <w:r>
              <w:rPr>
                <w:rFonts w:ascii="Arial" w:cs="Arial" w:eastAsia="Arial" w:hAnsi="Arial"/>
                <w:sz w:val="23"/>
                <w:szCs w:val="23"/>
                <w:color w:val="auto"/>
                <w:vertAlign w:val="superscript"/>
              </w:rPr>
              <w:t>(1)</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(203)</w:t>
            </w:r>
          </w:p>
        </w:tc>
        <w:tc>
          <w:tcPr>
            <w:tcW w:w="20" w:type="dxa"/>
            <w:vAlign w:val="bottom"/>
          </w:tcPr>
          <w:p>
            <w:pPr>
              <w:spacing w:after="0"/>
              <w:rPr>
                <w:sz w:val="24"/>
                <w:szCs w:val="24"/>
                <w:color w:val="auto"/>
              </w:rPr>
            </w:pPr>
          </w:p>
        </w:tc>
      </w:tr>
      <w:tr>
        <w:trPr>
          <w:trHeight w:val="270"/>
        </w:trPr>
        <w:tc>
          <w:tcPr>
            <w:tcW w:w="980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Effect of foreign currency translation</w:t>
            </w:r>
          </w:p>
        </w:tc>
        <w:tc>
          <w:tcPr>
            <w:tcW w:w="340" w:type="dxa"/>
            <w:vAlign w:val="bottom"/>
            <w:tcBorders>
              <w:bottom w:val="single" w:sz="8" w:color="F4F4F4"/>
            </w:tcBorders>
            <w:shd w:val="clear" w:color="auto" w:fill="F4F4F4"/>
          </w:tcPr>
          <w:p>
            <w:pPr>
              <w:spacing w:after="0"/>
              <w:rPr>
                <w:sz w:val="23"/>
                <w:szCs w:val="23"/>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(1,643)</w:t>
            </w:r>
          </w:p>
        </w:tc>
        <w:tc>
          <w:tcPr>
            <w:tcW w:w="20" w:type="dxa"/>
            <w:vAlign w:val="bottom"/>
          </w:tcPr>
          <w:p>
            <w:pPr>
              <w:spacing w:after="0"/>
              <w:rPr>
                <w:sz w:val="23"/>
                <w:szCs w:val="23"/>
                <w:color w:val="auto"/>
              </w:rPr>
            </w:pPr>
          </w:p>
        </w:tc>
      </w:tr>
      <w:tr>
        <w:trPr>
          <w:trHeight w:val="237"/>
        </w:trPr>
        <w:tc>
          <w:tcPr>
            <w:tcW w:w="98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2022</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1,056,794</w:t>
            </w:r>
          </w:p>
        </w:tc>
        <w:tc>
          <w:tcPr>
            <w:tcW w:w="20" w:type="dxa"/>
            <w:vAlign w:val="bottom"/>
          </w:tcPr>
          <w:p>
            <w:pPr>
              <w:spacing w:after="0"/>
              <w:rPr>
                <w:sz w:val="20"/>
                <w:szCs w:val="20"/>
                <w:color w:val="auto"/>
              </w:rPr>
            </w:pPr>
          </w:p>
        </w:tc>
      </w:tr>
      <w:tr>
        <w:trPr>
          <w:trHeight w:val="27"/>
        </w:trPr>
        <w:tc>
          <w:tcPr>
            <w:tcW w:w="980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110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86" w:lineRule="exact"/>
        <w:rPr>
          <w:sz w:val="20"/>
          <w:szCs w:val="20"/>
          <w:color w:val="auto"/>
        </w:rPr>
      </w:pPr>
    </w:p>
    <w:p>
      <w:pPr>
        <w:ind w:left="340" w:right="20" w:hanging="332"/>
        <w:spacing w:after="0" w:line="258" w:lineRule="auto"/>
        <w:tabs>
          <w:tab w:leader="none" w:pos="354" w:val="left"/>
        </w:tabs>
        <w:numPr>
          <w:ilvl w:val="0"/>
          <w:numId w:val="7"/>
        </w:numPr>
        <w:rPr>
          <w:rFonts w:ascii="Arial" w:cs="Arial" w:eastAsia="Arial" w:hAnsi="Arial"/>
          <w:sz w:val="14"/>
          <w:szCs w:val="14"/>
          <w:color w:val="auto"/>
        </w:rPr>
      </w:pPr>
      <w:r>
        <w:rPr>
          <w:rFonts w:ascii="Arial" w:cs="Arial" w:eastAsia="Arial" w:hAnsi="Arial"/>
          <w:sz w:val="14"/>
          <w:szCs w:val="14"/>
          <w:color w:val="auto"/>
        </w:rPr>
        <w:t>See Note 3 to these condensed consolidated financial statements for a discussion of the measurement period adjustment during the three months ended March 31, 2022 to the estimated fair value of the EVERFI assets acquired and liabilities assumed.</w:t>
      </w:r>
    </w:p>
    <w:p>
      <w:pPr>
        <w:spacing w:after="0" w:line="224" w:lineRule="exact"/>
        <w:rPr>
          <w:rFonts w:ascii="Arial" w:cs="Arial" w:eastAsia="Arial" w:hAnsi="Arial"/>
          <w:sz w:val="14"/>
          <w:szCs w:val="14"/>
          <w:color w:val="auto"/>
        </w:rPr>
      </w:pPr>
    </w:p>
    <w:p>
      <w:pPr>
        <w:ind w:left="260" w:hanging="234"/>
        <w:spacing w:after="0"/>
        <w:tabs>
          <w:tab w:leader="none" w:pos="260" w:val="left"/>
        </w:tabs>
        <w:numPr>
          <w:ilvl w:val="1"/>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We compute basic earnings (loss) per share by dividing net income available to common stockholders by the weighted average number of common shares outstanding during the period. Diluted earnings (loss) per share is computed by dividing net income available to common stockholders by the weighted average number of common shares and dilutive potential common shares outstanding during the period. Diluted earnings (loss) per share reflect the assumed exercise, settlement and vesting of all dilutive securities using the “treasury stock method” except when the effect is anti-dilutive. Potentially dilutive securities consist of shares issuable upon the exercise of stock options, settlement of stock appreciation rights and vesting of restricted stock awards and units. Diluted loss per share for the three months ended March 31, 2022 was the same as basic loss per share as there was a net loss in the period and inclusion of potentially dilutive securities was anti-dilutive.</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(loss) per share: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860" w:type="dxa"/>
            <w:vAlign w:val="bottom"/>
            <w:shd w:val="clear" w:color="auto" w:fill="ACACAC"/>
          </w:tcPr>
          <w:p>
            <w:pPr>
              <w:spacing w:after="0"/>
              <w:rPr>
                <w:sz w:val="16"/>
                <w:szCs w:val="16"/>
                <w:color w:val="auto"/>
              </w:rPr>
            </w:pPr>
          </w:p>
        </w:tc>
        <w:tc>
          <w:tcPr>
            <w:tcW w:w="176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240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6860" w:type="dxa"/>
            <w:vAlign w:val="bottom"/>
            <w:shd w:val="clear" w:color="auto" w:fill="ACACAC"/>
          </w:tcPr>
          <w:p>
            <w:pPr>
              <w:spacing w:after="0"/>
              <w:rPr>
                <w:sz w:val="16"/>
                <w:szCs w:val="16"/>
                <w:color w:val="auto"/>
              </w:rPr>
            </w:pPr>
          </w:p>
        </w:tc>
        <w:tc>
          <w:tcPr>
            <w:tcW w:w="176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100" w:type="dxa"/>
            <w:vAlign w:val="bottom"/>
            <w:shd w:val="clear" w:color="auto" w:fill="ACACAC"/>
          </w:tcPr>
          <w:p>
            <w:pPr>
              <w:spacing w:after="0"/>
              <w:rPr>
                <w:sz w:val="16"/>
                <w:szCs w:val="16"/>
                <w:color w:val="auto"/>
              </w:rPr>
            </w:pPr>
          </w:p>
        </w:tc>
        <w:tc>
          <w:tcPr>
            <w:tcW w:w="22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235"/>
        </w:trPr>
        <w:tc>
          <w:tcPr>
            <w:tcW w:w="68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 except per share amounts)</w:t>
            </w:r>
          </w:p>
        </w:tc>
        <w:tc>
          <w:tcPr>
            <w:tcW w:w="1760" w:type="dxa"/>
            <w:vAlign w:val="bottom"/>
            <w:tcBorders>
              <w:bottom w:val="single" w:sz="8" w:color="ACACAC"/>
            </w:tcBorders>
            <w:shd w:val="clear" w:color="auto" w:fill="ACACAC"/>
          </w:tcPr>
          <w:p>
            <w:pPr>
              <w:spacing w:after="0"/>
              <w:rPr>
                <w:sz w:val="20"/>
                <w:szCs w:val="20"/>
                <w:color w:val="auto"/>
              </w:rPr>
            </w:pPr>
          </w:p>
        </w:tc>
        <w:tc>
          <w:tcPr>
            <w:tcW w:w="220" w:type="dxa"/>
            <w:vAlign w:val="bottom"/>
            <w:tcBorders>
              <w:bottom w:val="single" w:sz="8" w:color="ACACAC"/>
            </w:tcBorders>
            <w:shd w:val="clear" w:color="auto" w:fill="ACACAC"/>
          </w:tcPr>
          <w:p>
            <w:pPr>
              <w:spacing w:after="0"/>
              <w:rPr>
                <w:sz w:val="20"/>
                <w:szCs w:val="20"/>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20" w:type="dxa"/>
            <w:vAlign w:val="bottom"/>
            <w:tcBorders>
              <w:bottom w:val="single" w:sz="8" w:color="ACACAC"/>
            </w:tcBorders>
            <w:shd w:val="clear" w:color="auto" w:fill="ACACAC"/>
          </w:tcPr>
          <w:p>
            <w:pPr>
              <w:spacing w:after="0"/>
              <w:rPr>
                <w:sz w:val="20"/>
                <w:szCs w:val="20"/>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68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Numerator:</w:t>
            </w:r>
          </w:p>
        </w:tc>
        <w:tc>
          <w:tcPr>
            <w:tcW w:w="176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860" w:type="dxa"/>
            <w:vAlign w:val="bottom"/>
          </w:tcPr>
          <w:p>
            <w:pPr>
              <w:ind w:left="140"/>
              <w:spacing w:after="0"/>
              <w:rPr>
                <w:sz w:val="20"/>
                <w:szCs w:val="20"/>
                <w:color w:val="auto"/>
              </w:rPr>
            </w:pPr>
            <w:r>
              <w:rPr>
                <w:rFonts w:ascii="Arial" w:cs="Arial" w:eastAsia="Arial" w:hAnsi="Arial"/>
                <w:sz w:val="18"/>
                <w:szCs w:val="18"/>
                <w:color w:val="auto"/>
              </w:rPr>
              <w:t>Net loss</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(10,407)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8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Denominator:</w:t>
            </w:r>
          </w:p>
        </w:tc>
        <w:tc>
          <w:tcPr>
            <w:tcW w:w="176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860" w:type="dxa"/>
            <w:vAlign w:val="bottom"/>
          </w:tcPr>
          <w:p>
            <w:pPr>
              <w:ind w:left="140"/>
              <w:spacing w:after="0"/>
              <w:rPr>
                <w:sz w:val="20"/>
                <w:szCs w:val="20"/>
                <w:color w:val="auto"/>
              </w:rPr>
            </w:pPr>
            <w:r>
              <w:rPr>
                <w:rFonts w:ascii="Arial" w:cs="Arial" w:eastAsia="Arial" w:hAnsi="Arial"/>
                <w:sz w:val="18"/>
                <w:szCs w:val="18"/>
                <w:color w:val="auto"/>
              </w:rPr>
              <w:t>Weighted average common shares</w:t>
            </w: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51,199,717</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47,363,197</w:t>
            </w:r>
          </w:p>
        </w:tc>
        <w:tc>
          <w:tcPr>
            <w:tcW w:w="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8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Add effect of dilutive securities:</w:t>
            </w:r>
          </w:p>
        </w:tc>
        <w:tc>
          <w:tcPr>
            <w:tcW w:w="176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2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860" w:type="dxa"/>
            <w:vAlign w:val="bottom"/>
          </w:tcPr>
          <w:p>
            <w:pPr>
              <w:ind w:left="360"/>
              <w:spacing w:after="0"/>
              <w:rPr>
                <w:sz w:val="20"/>
                <w:szCs w:val="20"/>
                <w:color w:val="auto"/>
              </w:rPr>
            </w:pPr>
            <w:r>
              <w:rPr>
                <w:rFonts w:ascii="Arial" w:cs="Arial" w:eastAsia="Arial" w:hAnsi="Arial"/>
                <w:sz w:val="18"/>
                <w:szCs w:val="18"/>
                <w:color w:val="auto"/>
              </w:rPr>
              <w:t>Stock-based awards</w:t>
            </w: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6860" w:type="dxa"/>
            <w:vAlign w:val="bottom"/>
            <w:tcBorders>
              <w:bottom w:val="single" w:sz="8" w:color="F4F4F4"/>
            </w:tcBorders>
          </w:tcPr>
          <w:p>
            <w:pPr>
              <w:spacing w:after="0"/>
              <w:rPr>
                <w:sz w:val="2"/>
                <w:szCs w:val="2"/>
                <w:color w:val="auto"/>
              </w:rPr>
            </w:pPr>
          </w:p>
        </w:tc>
        <w:tc>
          <w:tcPr>
            <w:tcW w:w="1760" w:type="dxa"/>
            <w:vAlign w:val="bottom"/>
            <w:tcBorders>
              <w:bottom w:val="single" w:sz="8" w:color="F4F4F4"/>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68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Weighted average common shares assuming dilution</w:t>
            </w:r>
          </w:p>
        </w:tc>
        <w:tc>
          <w:tcPr>
            <w:tcW w:w="1760" w:type="dxa"/>
            <w:vAlign w:val="bottom"/>
            <w:tcBorders>
              <w:bottom w:val="single" w:sz="8" w:color="F4F4F4"/>
            </w:tcBorders>
            <w:shd w:val="clear" w:color="auto" w:fill="F4F4F4"/>
          </w:tcPr>
          <w:p>
            <w:pPr>
              <w:spacing w:after="0"/>
              <w:rPr>
                <w:sz w:val="22"/>
                <w:szCs w:val="22"/>
                <w:color w:val="auto"/>
              </w:rPr>
            </w:pPr>
          </w:p>
        </w:tc>
        <w:tc>
          <w:tcPr>
            <w:tcW w:w="22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51,199,717</w:t>
            </w:r>
          </w:p>
        </w:tc>
        <w:tc>
          <w:tcPr>
            <w:tcW w:w="220" w:type="dxa"/>
            <w:vAlign w:val="bottom"/>
            <w:tcBorders>
              <w:bottom w:val="single" w:sz="8" w:color="F4F4F4"/>
            </w:tcBorders>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47,363,197</w:t>
            </w:r>
          </w:p>
        </w:tc>
        <w:tc>
          <w:tcPr>
            <w:tcW w:w="20" w:type="dxa"/>
            <w:vAlign w:val="bottom"/>
          </w:tcPr>
          <w:p>
            <w:pPr>
              <w:spacing w:after="0"/>
              <w:rPr>
                <w:sz w:val="22"/>
                <w:szCs w:val="22"/>
                <w:color w:val="auto"/>
              </w:rPr>
            </w:pPr>
          </w:p>
        </w:tc>
      </w:tr>
      <w:tr>
        <w:trPr>
          <w:trHeight w:val="223"/>
        </w:trPr>
        <w:tc>
          <w:tcPr>
            <w:tcW w:w="686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17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7"/>
        </w:trPr>
        <w:tc>
          <w:tcPr>
            <w:tcW w:w="6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8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Basic</w:t>
            </w:r>
          </w:p>
        </w:tc>
        <w:tc>
          <w:tcPr>
            <w:tcW w:w="1980" w:type="dxa"/>
            <w:vAlign w:val="bottom"/>
            <w:tcBorders>
              <w:bottom w:val="single" w:sz="8" w:color="F4F4F4"/>
            </w:tcBorders>
            <w:gridSpan w:val="2"/>
            <w:shd w:val="clear" w:color="auto" w:fill="F4F4F4"/>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43"/>
        </w:trPr>
        <w:tc>
          <w:tcPr>
            <w:tcW w:w="6860" w:type="dxa"/>
            <w:vAlign w:val="bottom"/>
          </w:tcPr>
          <w:p>
            <w:pPr>
              <w:ind w:left="140"/>
              <w:spacing w:after="0"/>
              <w:rPr>
                <w:sz w:val="20"/>
                <w:szCs w:val="20"/>
                <w:color w:val="auto"/>
              </w:rPr>
            </w:pPr>
            <w:r>
              <w:rPr>
                <w:rFonts w:ascii="Arial" w:cs="Arial" w:eastAsia="Arial" w:hAnsi="Arial"/>
                <w:sz w:val="18"/>
                <w:szCs w:val="18"/>
                <w:color w:val="auto"/>
              </w:rPr>
              <w:t>Diluted</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(0.20)</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r>
      <w:tr>
        <w:trPr>
          <w:trHeight w:val="27"/>
        </w:trPr>
        <w:tc>
          <w:tcPr>
            <w:tcW w:w="68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6860" w:type="dxa"/>
            <w:vAlign w:val="bottom"/>
            <w:shd w:val="clear" w:color="auto" w:fill="F4F4F4"/>
          </w:tcPr>
          <w:p>
            <w:pPr>
              <w:spacing w:after="0"/>
              <w:rPr>
                <w:sz w:val="23"/>
                <w:szCs w:val="23"/>
                <w:color w:val="auto"/>
              </w:rPr>
            </w:pPr>
          </w:p>
        </w:tc>
        <w:tc>
          <w:tcPr>
            <w:tcW w:w="176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100" w:type="dxa"/>
            <w:vAlign w:val="bottom"/>
            <w:shd w:val="clear" w:color="auto" w:fill="F4F4F4"/>
          </w:tcPr>
          <w:p>
            <w:pPr>
              <w:spacing w:after="0"/>
              <w:rPr>
                <w:sz w:val="23"/>
                <w:szCs w:val="23"/>
                <w:color w:val="auto"/>
              </w:rPr>
            </w:pPr>
          </w:p>
        </w:tc>
        <w:tc>
          <w:tcPr>
            <w:tcW w:w="220" w:type="dxa"/>
            <w:vAlign w:val="bottom"/>
            <w:shd w:val="clear" w:color="auto" w:fill="F4F4F4"/>
          </w:tcPr>
          <w:p>
            <w:pPr>
              <w:spacing w:after="0"/>
              <w:rPr>
                <w:sz w:val="23"/>
                <w:szCs w:val="23"/>
                <w:color w:val="auto"/>
              </w:rPr>
            </w:pPr>
          </w:p>
        </w:tc>
        <w:tc>
          <w:tcPr>
            <w:tcW w:w="108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6860" w:type="dxa"/>
            <w:vAlign w:val="bottom"/>
          </w:tcPr>
          <w:p>
            <w:pPr>
              <w:ind w:left="20"/>
              <w:spacing w:after="0"/>
              <w:rPr>
                <w:sz w:val="20"/>
                <w:szCs w:val="20"/>
                <w:color w:val="auto"/>
              </w:rPr>
            </w:pPr>
            <w:r>
              <w:rPr>
                <w:rFonts w:ascii="Arial" w:cs="Arial" w:eastAsia="Arial" w:hAnsi="Arial"/>
                <w:sz w:val="18"/>
                <w:szCs w:val="18"/>
                <w:color w:val="auto"/>
              </w:rPr>
              <w:t>Anti-dilutive shares excluded from calculations of diluted earnings per share</w:t>
            </w:r>
          </w:p>
        </w:tc>
        <w:tc>
          <w:tcPr>
            <w:tcW w:w="1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1,558,751</w:t>
            </w:r>
          </w:p>
        </w:tc>
        <w:tc>
          <w:tcPr>
            <w:tcW w:w="2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1,360,378</w:t>
            </w:r>
          </w:p>
        </w:tc>
        <w:tc>
          <w:tcPr>
            <w:tcW w:w="20" w:type="dxa"/>
            <w:vAlign w:val="bottom"/>
          </w:tcPr>
          <w:p>
            <w:pPr>
              <w:spacing w:after="0"/>
              <w:rPr>
                <w:sz w:val="21"/>
                <w:szCs w:val="21"/>
                <w:color w:val="auto"/>
              </w:rPr>
            </w:pPr>
          </w:p>
        </w:tc>
      </w:tr>
      <w:tr>
        <w:trPr>
          <w:trHeight w:val="27"/>
        </w:trPr>
        <w:tc>
          <w:tcPr>
            <w:tcW w:w="6860" w:type="dxa"/>
            <w:vAlign w:val="bottom"/>
            <w:tcBorders>
              <w:bottom w:val="single" w:sz="8" w:color="71BF43"/>
            </w:tcBorders>
          </w:tcPr>
          <w:p>
            <w:pPr>
              <w:spacing w:after="0"/>
              <w:rPr>
                <w:sz w:val="2"/>
                <w:szCs w:val="2"/>
                <w:color w:val="auto"/>
              </w:rPr>
            </w:pPr>
          </w:p>
        </w:tc>
        <w:tc>
          <w:tcPr>
            <w:tcW w:w="1760" w:type="dxa"/>
            <w:vAlign w:val="bottom"/>
            <w:tcBorders>
              <w:bottom w:val="single" w:sz="8" w:color="71BF43"/>
            </w:tcBorders>
          </w:tcPr>
          <w:p>
            <w:pPr>
              <w:spacing w:after="0"/>
              <w:rPr>
                <w:sz w:val="2"/>
                <w:szCs w:val="2"/>
                <w:color w:val="auto"/>
              </w:rPr>
            </w:pPr>
          </w:p>
        </w:tc>
        <w:tc>
          <w:tcPr>
            <w:tcW w:w="1320" w:type="dxa"/>
            <w:vAlign w:val="bottom"/>
            <w:tcBorders>
              <w:bottom w:val="single" w:sz="8" w:color="71BF43"/>
            </w:tcBorders>
            <w:gridSpan w:val="2"/>
          </w:tcPr>
          <w:p>
            <w:pPr>
              <w:spacing w:after="0"/>
              <w:rPr>
                <w:sz w:val="2"/>
                <w:szCs w:val="2"/>
                <w:color w:val="auto"/>
              </w:rPr>
            </w:pPr>
          </w:p>
        </w:tc>
        <w:tc>
          <w:tcPr>
            <w:tcW w:w="220" w:type="dxa"/>
            <w:vAlign w:val="bottom"/>
            <w:tcBorders>
              <w:bottom w:val="single" w:sz="8" w:color="71BF43"/>
            </w:tcBorders>
          </w:tcPr>
          <w:p>
            <w:pPr>
              <w:spacing w:after="0"/>
              <w:rPr>
                <w:sz w:val="2"/>
                <w:szCs w:val="2"/>
                <w:color w:val="auto"/>
              </w:rPr>
            </w:pPr>
          </w:p>
        </w:tc>
        <w:tc>
          <w:tcPr>
            <w:tcW w:w="108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r>
        <w:trPr>
          <w:trHeight w:val="684"/>
        </w:trPr>
        <w:tc>
          <w:tcPr>
            <w:tcW w:w="6860" w:type="dxa"/>
            <w:vAlign w:val="bottom"/>
          </w:tcPr>
          <w:p>
            <w:pPr>
              <w:spacing w:after="0"/>
              <w:rPr>
                <w:sz w:val="24"/>
                <w:szCs w:val="24"/>
                <w:color w:val="auto"/>
              </w:rPr>
            </w:pPr>
          </w:p>
        </w:tc>
        <w:tc>
          <w:tcPr>
            <w:tcW w:w="3080" w:type="dxa"/>
            <w:vAlign w:val="bottom"/>
            <w:gridSpan w:val="3"/>
          </w:tcPr>
          <w:p>
            <w:pPr>
              <w:jc w:val="right"/>
              <w:ind w:right="274"/>
              <w:spacing w:after="0"/>
              <w:rPr>
                <w:sz w:val="20"/>
                <w:szCs w:val="20"/>
                <w:color w:val="auto"/>
              </w:rPr>
            </w:pPr>
            <w:r>
              <w:rPr>
                <w:rFonts w:ascii="Arial" w:cs="Arial" w:eastAsia="Arial" w:hAnsi="Arial"/>
                <w:sz w:val="14"/>
                <w:szCs w:val="14"/>
                <w:color w:val="auto"/>
              </w:rPr>
              <w:t>First Quarter 2022 Form 10-Q</w:t>
            </w: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20" w:type="dxa"/>
            <w:vAlign w:val="bottom"/>
          </w:tcPr>
          <w:p>
            <w:pPr>
              <w:spacing w:after="0"/>
              <w:rPr>
                <w:sz w:val="24"/>
                <w:szCs w:val="24"/>
                <w:color w:val="auto"/>
              </w:rPr>
            </w:pPr>
          </w:p>
        </w:tc>
      </w:tr>
      <w:tr>
        <w:trPr>
          <w:trHeight w:val="329"/>
        </w:trPr>
        <w:tc>
          <w:tcPr>
            <w:tcW w:w="686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-2888615</wp:posOffset>
            </wp:positionV>
            <wp:extent cx="1671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7132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6. 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We use a three-tier fair value hierarchy to measure fair value. This hierarchy prioritizes the inputs into three broad levels as follows:</w:t>
      </w:r>
    </w:p>
    <w:p>
      <w:pPr>
        <w:spacing w:after="0" w:line="171" w:lineRule="exact"/>
        <w:rPr>
          <w:sz w:val="20"/>
          <w:szCs w:val="20"/>
          <w:color w:val="auto"/>
        </w:rPr>
      </w:pPr>
    </w:p>
    <w:p>
      <w:pPr>
        <w:ind w:left="700" w:hanging="28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1 - Quoted prices for identical assets or liabilities in active markets;</w:t>
      </w:r>
    </w:p>
    <w:p>
      <w:pPr>
        <w:spacing w:after="0" w:line="171" w:lineRule="exact"/>
        <w:rPr>
          <w:rFonts w:ascii="Arial" w:cs="Arial" w:eastAsia="Arial" w:hAnsi="Arial"/>
          <w:sz w:val="18"/>
          <w:szCs w:val="18"/>
          <w:color w:val="auto"/>
        </w:rPr>
      </w:pPr>
    </w:p>
    <w:p>
      <w:pPr>
        <w:jc w:val="both"/>
        <w:ind w:left="740" w:right="20" w:hanging="327"/>
        <w:spacing w:after="0" w:line="256" w:lineRule="auto"/>
        <w:tabs>
          <w:tab w:leader="none" w:pos="708"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2 - Quoted prices for similar assets and liabilities in active markets, quoted prices for identical or similar assets in markets that are not active, and model-derived valuations in which all significant inputs and significant value drivers are observable in active markets; and</w:t>
      </w:r>
    </w:p>
    <w:p>
      <w:pPr>
        <w:spacing w:after="0" w:line="147" w:lineRule="exact"/>
        <w:rPr>
          <w:rFonts w:ascii="Arial" w:cs="Arial" w:eastAsia="Arial" w:hAnsi="Arial"/>
          <w:sz w:val="18"/>
          <w:szCs w:val="18"/>
          <w:color w:val="auto"/>
        </w:rPr>
      </w:pPr>
    </w:p>
    <w:p>
      <w:pPr>
        <w:ind w:left="700" w:hanging="287"/>
        <w:spacing w:after="0"/>
        <w:tabs>
          <w:tab w:leader="none" w:pos="700" w:val="left"/>
        </w:tabs>
        <w:numPr>
          <w:ilvl w:val="0"/>
          <w:numId w:val="8"/>
        </w:numPr>
        <w:rPr>
          <w:rFonts w:ascii="Arial" w:cs="Arial" w:eastAsia="Arial" w:hAnsi="Arial"/>
          <w:sz w:val="18"/>
          <w:szCs w:val="18"/>
          <w:color w:val="auto"/>
        </w:rPr>
      </w:pPr>
      <w:r>
        <w:rPr>
          <w:rFonts w:ascii="Arial" w:cs="Arial" w:eastAsia="Arial" w:hAnsi="Arial"/>
          <w:sz w:val="18"/>
          <w:szCs w:val="18"/>
          <w:color w:val="auto"/>
        </w:rPr>
        <w:t>Level 3 - Valuations derived from valuation techniques in which one or more significant inputs are unobservable.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 that are measured at fair value on a recurring basis consisted of the following, as of the dates indicated below:</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920" w:type="dxa"/>
            <w:vAlign w:val="bottom"/>
            <w:shd w:val="clear" w:color="auto" w:fill="ACACAC"/>
          </w:tcPr>
          <w:p>
            <w:pPr>
              <w:spacing w:after="0"/>
              <w:rPr>
                <w:sz w:val="18"/>
                <w:szCs w:val="18"/>
                <w:color w:val="auto"/>
              </w:rPr>
            </w:pPr>
          </w:p>
        </w:tc>
        <w:tc>
          <w:tcPr>
            <w:tcW w:w="560" w:type="dxa"/>
            <w:vAlign w:val="bottom"/>
            <w:shd w:val="clear" w:color="auto" w:fill="ACACAC"/>
          </w:tcPr>
          <w:p>
            <w:pPr>
              <w:spacing w:after="0"/>
              <w:rPr>
                <w:sz w:val="18"/>
                <w:szCs w:val="18"/>
                <w:color w:val="auto"/>
              </w:rPr>
            </w:pPr>
          </w:p>
        </w:tc>
        <w:tc>
          <w:tcPr>
            <w:tcW w:w="94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500" w:type="dxa"/>
            <w:vAlign w:val="bottom"/>
            <w:shd w:val="clear" w:color="auto" w:fill="ACACAC"/>
          </w:tcPr>
          <w:p>
            <w:pPr>
              <w:spacing w:after="0"/>
              <w:rPr>
                <w:sz w:val="18"/>
                <w:szCs w:val="18"/>
                <w:color w:val="auto"/>
              </w:rPr>
            </w:pPr>
          </w:p>
        </w:tc>
        <w:tc>
          <w:tcPr>
            <w:tcW w:w="2620" w:type="dxa"/>
            <w:vAlign w:val="bottom"/>
            <w:gridSpan w:val="4"/>
            <w:shd w:val="clear" w:color="auto" w:fill="ACACAC"/>
          </w:tcPr>
          <w:p>
            <w:pPr>
              <w:jc w:val="right"/>
              <w:spacing w:after="0"/>
              <w:rPr>
                <w:sz w:val="20"/>
                <w:szCs w:val="20"/>
                <w:color w:val="auto"/>
              </w:rPr>
            </w:pPr>
            <w:r>
              <w:rPr>
                <w:rFonts w:ascii="Arial" w:cs="Arial" w:eastAsia="Arial" w:hAnsi="Arial"/>
                <w:sz w:val="14"/>
                <w:szCs w:val="14"/>
                <w:b w:val="1"/>
                <w:bCs w:val="1"/>
                <w:color w:val="FFFFFF"/>
              </w:rPr>
              <w:t>Fair value measurement using</w:t>
            </w:r>
          </w:p>
        </w:tc>
        <w:tc>
          <w:tcPr>
            <w:tcW w:w="100" w:type="dxa"/>
            <w:vAlign w:val="bottom"/>
            <w:shd w:val="clear" w:color="auto" w:fill="ACACAC"/>
          </w:tcPr>
          <w:p>
            <w:pPr>
              <w:spacing w:after="0"/>
              <w:rPr>
                <w:sz w:val="18"/>
                <w:szCs w:val="18"/>
                <w:color w:val="auto"/>
              </w:rPr>
            </w:pPr>
          </w:p>
        </w:tc>
        <w:tc>
          <w:tcPr>
            <w:tcW w:w="500" w:type="dxa"/>
            <w:vAlign w:val="bottom"/>
            <w:shd w:val="clear" w:color="auto" w:fill="ACACAC"/>
          </w:tcPr>
          <w:p>
            <w:pPr>
              <w:spacing w:after="0"/>
              <w:rPr>
                <w:sz w:val="18"/>
                <w:szCs w:val="18"/>
                <w:color w:val="auto"/>
              </w:rPr>
            </w:pPr>
          </w:p>
        </w:tc>
        <w:tc>
          <w:tcPr>
            <w:tcW w:w="100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r>
      <w:tr>
        <w:trPr>
          <w:trHeight w:val="235"/>
        </w:trPr>
        <w:tc>
          <w:tcPr>
            <w:tcW w:w="49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60" w:type="dxa"/>
            <w:vAlign w:val="bottom"/>
            <w:tcBorders>
              <w:bottom w:val="single" w:sz="8" w:color="ACACAC"/>
            </w:tcBorders>
            <w:shd w:val="clear" w:color="auto" w:fill="ACACAC"/>
          </w:tcPr>
          <w:p>
            <w:pPr>
              <w:spacing w:after="0"/>
              <w:rPr>
                <w:sz w:val="20"/>
                <w:szCs w:val="20"/>
                <w:color w:val="auto"/>
              </w:rPr>
            </w:pPr>
          </w:p>
        </w:tc>
        <w:tc>
          <w:tcPr>
            <w:tcW w:w="940" w:type="dxa"/>
            <w:vAlign w:val="bottom"/>
            <w:tcBorders>
              <w:bottom w:val="single" w:sz="8" w:color="ACACAC"/>
            </w:tcBorders>
            <w:shd w:val="clear" w:color="auto" w:fill="ACACAC"/>
          </w:tcPr>
          <w:p>
            <w:pPr>
              <w:ind w:left="440"/>
              <w:spacing w:after="0"/>
              <w:rPr>
                <w:sz w:val="20"/>
                <w:szCs w:val="20"/>
                <w:color w:val="auto"/>
              </w:rPr>
            </w:pPr>
            <w:r>
              <w:rPr>
                <w:rFonts w:ascii="Arial" w:cs="Arial" w:eastAsia="Arial" w:hAnsi="Arial"/>
                <w:sz w:val="14"/>
                <w:szCs w:val="14"/>
                <w:b w:val="1"/>
                <w:bCs w:val="1"/>
                <w:color w:val="FFFFFF"/>
              </w:rPr>
              <w:t>Level 1</w:t>
            </w:r>
          </w:p>
        </w:tc>
        <w:tc>
          <w:tcPr>
            <w:tcW w:w="100" w:type="dxa"/>
            <w:vAlign w:val="bottom"/>
            <w:tcBorders>
              <w:bottom w:val="single" w:sz="8" w:color="ACACAC"/>
            </w:tcBorders>
            <w:shd w:val="clear" w:color="auto" w:fill="ACACAC"/>
          </w:tcPr>
          <w:p>
            <w:pPr>
              <w:spacing w:after="0"/>
              <w:rPr>
                <w:sz w:val="20"/>
                <w:szCs w:val="20"/>
                <w:color w:val="auto"/>
              </w:rPr>
            </w:pPr>
          </w:p>
        </w:tc>
        <w:tc>
          <w:tcPr>
            <w:tcW w:w="500" w:type="dxa"/>
            <w:vAlign w:val="bottom"/>
            <w:tcBorders>
              <w:bottom w:val="single" w:sz="8" w:color="ACACAC"/>
            </w:tcBorders>
            <w:shd w:val="clear" w:color="auto" w:fill="ACACAC"/>
          </w:tcPr>
          <w:p>
            <w:pPr>
              <w:spacing w:after="0"/>
              <w:rPr>
                <w:sz w:val="20"/>
                <w:szCs w:val="20"/>
                <w:color w:val="auto"/>
              </w:rPr>
            </w:pPr>
          </w:p>
        </w:tc>
        <w:tc>
          <w:tcPr>
            <w:tcW w:w="10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Level 2</w:t>
            </w:r>
          </w:p>
        </w:tc>
        <w:tc>
          <w:tcPr>
            <w:tcW w:w="120" w:type="dxa"/>
            <w:vAlign w:val="bottom"/>
            <w:tcBorders>
              <w:bottom w:val="single" w:sz="8" w:color="ACACAC"/>
            </w:tcBorders>
            <w:shd w:val="clear" w:color="auto" w:fill="ACACAC"/>
          </w:tcPr>
          <w:p>
            <w:pPr>
              <w:spacing w:after="0"/>
              <w:rPr>
                <w:sz w:val="20"/>
                <w:szCs w:val="20"/>
                <w:color w:val="auto"/>
              </w:rPr>
            </w:pPr>
          </w:p>
        </w:tc>
        <w:tc>
          <w:tcPr>
            <w:tcW w:w="560" w:type="dxa"/>
            <w:vAlign w:val="bottom"/>
            <w:tcBorders>
              <w:bottom w:val="single" w:sz="8" w:color="ACACAC"/>
            </w:tcBorders>
            <w:shd w:val="clear" w:color="auto" w:fill="ACACAC"/>
          </w:tcPr>
          <w:p>
            <w:pPr>
              <w:spacing w:after="0"/>
              <w:rPr>
                <w:sz w:val="20"/>
                <w:szCs w:val="20"/>
                <w:color w:val="auto"/>
              </w:rPr>
            </w:pPr>
          </w:p>
        </w:tc>
        <w:tc>
          <w:tcPr>
            <w:tcW w:w="9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Level 3</w:t>
            </w:r>
          </w:p>
        </w:tc>
        <w:tc>
          <w:tcPr>
            <w:tcW w:w="100" w:type="dxa"/>
            <w:vAlign w:val="bottom"/>
            <w:tcBorders>
              <w:bottom w:val="single" w:sz="8" w:color="ACACAC"/>
            </w:tcBorders>
            <w:shd w:val="clear" w:color="auto" w:fill="ACACAC"/>
          </w:tcPr>
          <w:p>
            <w:pPr>
              <w:spacing w:after="0"/>
              <w:rPr>
                <w:sz w:val="20"/>
                <w:szCs w:val="20"/>
                <w:color w:val="auto"/>
              </w:rPr>
            </w:pPr>
          </w:p>
        </w:tc>
        <w:tc>
          <w:tcPr>
            <w:tcW w:w="500" w:type="dxa"/>
            <w:vAlign w:val="bottom"/>
            <w:tcBorders>
              <w:bottom w:val="single" w:sz="8" w:color="ACACAC"/>
            </w:tcBorders>
            <w:shd w:val="clear" w:color="auto" w:fill="ACACAC"/>
          </w:tcPr>
          <w:p>
            <w:pPr>
              <w:spacing w:after="0"/>
              <w:rPr>
                <w:sz w:val="20"/>
                <w:szCs w:val="20"/>
                <w:color w:val="auto"/>
              </w:rPr>
            </w:pPr>
          </w:p>
        </w:tc>
        <w:tc>
          <w:tcPr>
            <w:tcW w:w="10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49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Fair value as of March 31, 2022</w:t>
            </w: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Financial assets:</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Derivative instruments</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21,947</w:t>
            </w:r>
          </w:p>
        </w:tc>
        <w:tc>
          <w:tcPr>
            <w:tcW w:w="120" w:type="dxa"/>
            <w:vAlign w:val="bottom"/>
            <w:tcBorders>
              <w:bottom w:val="single" w:sz="8" w:color="F4F4F4"/>
            </w:tcBorders>
            <w:shd w:val="clear" w:color="auto" w:fill="F4F4F4"/>
          </w:tcPr>
          <w:p>
            <w:pPr>
              <w:spacing w:after="0"/>
              <w:rPr>
                <w:sz w:val="23"/>
                <w:szCs w:val="23"/>
                <w:color w:val="auto"/>
              </w:rPr>
            </w:pP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21,947</w:t>
            </w:r>
          </w:p>
        </w:tc>
        <w:tc>
          <w:tcPr>
            <w:tcW w:w="20" w:type="dxa"/>
            <w:vAlign w:val="bottom"/>
          </w:tcPr>
          <w:p>
            <w:pPr>
              <w:spacing w:after="0"/>
              <w:rPr>
                <w:sz w:val="23"/>
                <w:szCs w:val="23"/>
                <w:color w:val="auto"/>
              </w:rPr>
            </w:pPr>
          </w:p>
        </w:tc>
      </w:tr>
      <w:tr>
        <w:trPr>
          <w:trHeight w:val="237"/>
        </w:trPr>
        <w:tc>
          <w:tcPr>
            <w:tcW w:w="4920" w:type="dxa"/>
            <w:vAlign w:val="bottom"/>
          </w:tcPr>
          <w:p>
            <w:pPr>
              <w:ind w:left="240"/>
              <w:spacing w:after="0"/>
              <w:rPr>
                <w:sz w:val="20"/>
                <w:szCs w:val="20"/>
                <w:color w:val="auto"/>
              </w:rPr>
            </w:pPr>
            <w:r>
              <w:rPr>
                <w:rFonts w:ascii="Arial" w:cs="Arial" w:eastAsia="Arial" w:hAnsi="Arial"/>
                <w:sz w:val="18"/>
                <w:szCs w:val="18"/>
                <w:color w:val="auto"/>
              </w:rPr>
              <w:t>Total financial assets</w:t>
            </w: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21,947</w:t>
            </w:r>
          </w:p>
        </w:tc>
        <w:tc>
          <w:tcPr>
            <w:tcW w:w="120" w:type="dxa"/>
            <w:vAlign w:val="bottom"/>
          </w:tcPr>
          <w:p>
            <w:pPr>
              <w:spacing w:after="0"/>
              <w:rPr>
                <w:sz w:val="20"/>
                <w:szCs w:val="20"/>
                <w:color w:val="auto"/>
              </w:rPr>
            </w:pPr>
          </w:p>
        </w:tc>
        <w:tc>
          <w:tcPr>
            <w:tcW w:w="56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5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21,947</w:t>
            </w:r>
          </w:p>
        </w:tc>
        <w:tc>
          <w:tcPr>
            <w:tcW w:w="20" w:type="dxa"/>
            <w:vAlign w:val="bottom"/>
          </w:tcPr>
          <w:p>
            <w:pPr>
              <w:spacing w:after="0"/>
              <w:rPr>
                <w:sz w:val="20"/>
                <w:szCs w:val="20"/>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9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00" w:type="dxa"/>
            <w:vAlign w:val="bottom"/>
            <w:shd w:val="clear" w:color="auto" w:fill="F4F4F4"/>
          </w:tcPr>
          <w:p>
            <w:pPr>
              <w:spacing w:after="0"/>
              <w:rPr>
                <w:sz w:val="23"/>
                <w:szCs w:val="23"/>
                <w:color w:val="auto"/>
              </w:rPr>
            </w:pPr>
          </w:p>
        </w:tc>
        <w:tc>
          <w:tcPr>
            <w:tcW w:w="1000" w:type="dxa"/>
            <w:vAlign w:val="bottom"/>
            <w:shd w:val="clear" w:color="auto" w:fill="F4F4F4"/>
          </w:tcPr>
          <w:p>
            <w:pPr>
              <w:spacing w:after="0"/>
              <w:rPr>
                <w:sz w:val="23"/>
                <w:szCs w:val="23"/>
                <w:color w:val="auto"/>
              </w:rPr>
            </w:pPr>
          </w:p>
        </w:tc>
        <w:tc>
          <w:tcPr>
            <w:tcW w:w="120" w:type="dxa"/>
            <w:vAlign w:val="bottom"/>
            <w:shd w:val="clear" w:color="auto" w:fill="F4F4F4"/>
          </w:tcPr>
          <w:p>
            <w:pPr>
              <w:spacing w:after="0"/>
              <w:rPr>
                <w:sz w:val="23"/>
                <w:szCs w:val="23"/>
                <w:color w:val="auto"/>
              </w:rPr>
            </w:pPr>
          </w:p>
        </w:tc>
        <w:tc>
          <w:tcPr>
            <w:tcW w:w="560" w:type="dxa"/>
            <w:vAlign w:val="bottom"/>
            <w:shd w:val="clear" w:color="auto" w:fill="F4F4F4"/>
          </w:tcPr>
          <w:p>
            <w:pPr>
              <w:spacing w:after="0"/>
              <w:rPr>
                <w:sz w:val="23"/>
                <w:szCs w:val="23"/>
                <w:color w:val="auto"/>
              </w:rPr>
            </w:pPr>
          </w:p>
        </w:tc>
        <w:tc>
          <w:tcPr>
            <w:tcW w:w="940" w:type="dxa"/>
            <w:vAlign w:val="bottom"/>
            <w:shd w:val="clear" w:color="auto" w:fill="F4F4F4"/>
          </w:tcPr>
          <w:p>
            <w:pPr>
              <w:spacing w:after="0"/>
              <w:rPr>
                <w:sz w:val="23"/>
                <w:szCs w:val="23"/>
                <w:color w:val="auto"/>
              </w:rPr>
            </w:pPr>
          </w:p>
        </w:tc>
        <w:tc>
          <w:tcPr>
            <w:tcW w:w="100" w:type="dxa"/>
            <w:vAlign w:val="bottom"/>
            <w:shd w:val="clear" w:color="auto" w:fill="F4F4F4"/>
          </w:tcPr>
          <w:p>
            <w:pPr>
              <w:spacing w:after="0"/>
              <w:rPr>
                <w:sz w:val="23"/>
                <w:szCs w:val="23"/>
                <w:color w:val="auto"/>
              </w:rPr>
            </w:pPr>
          </w:p>
        </w:tc>
        <w:tc>
          <w:tcPr>
            <w:tcW w:w="500" w:type="dxa"/>
            <w:vAlign w:val="bottom"/>
            <w:shd w:val="clear" w:color="auto" w:fill="F4F4F4"/>
          </w:tcPr>
          <w:p>
            <w:pPr>
              <w:spacing w:after="0"/>
              <w:rPr>
                <w:sz w:val="23"/>
                <w:szCs w:val="23"/>
                <w:color w:val="auto"/>
              </w:rPr>
            </w:pPr>
          </w:p>
        </w:tc>
        <w:tc>
          <w:tcPr>
            <w:tcW w:w="1000" w:type="dxa"/>
            <w:vAlign w:val="bottom"/>
            <w:shd w:val="clear" w:color="auto" w:fill="F4F4F4"/>
          </w:tcPr>
          <w:p>
            <w:pPr>
              <w:spacing w:after="0"/>
              <w:rPr>
                <w:sz w:val="23"/>
                <w:szCs w:val="23"/>
                <w:color w:val="auto"/>
              </w:rPr>
            </w:pPr>
          </w:p>
        </w:tc>
        <w:tc>
          <w:tcPr>
            <w:tcW w:w="20" w:type="dxa"/>
            <w:vAlign w:val="bottom"/>
          </w:tcPr>
          <w:p>
            <w:pPr>
              <w:spacing w:after="0"/>
              <w:rPr>
                <w:sz w:val="23"/>
                <w:szCs w:val="23"/>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Fair value as of December 31, 2021</w:t>
            </w: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9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9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Financial assets:</w:t>
            </w: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500" w:type="dxa"/>
            <w:vAlign w:val="bottom"/>
            <w:tcBorders>
              <w:bottom w:val="single" w:sz="8" w:color="F4F4F4"/>
            </w:tcBorders>
            <w:shd w:val="clear" w:color="auto" w:fill="F4F4F4"/>
          </w:tcPr>
          <w:p>
            <w:pPr>
              <w:spacing w:after="0"/>
              <w:rPr>
                <w:sz w:val="21"/>
                <w:szCs w:val="21"/>
                <w:color w:val="auto"/>
              </w:rPr>
            </w:pPr>
          </w:p>
        </w:tc>
        <w:tc>
          <w:tcPr>
            <w:tcW w:w="100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92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7,160</w:t>
            </w:r>
          </w:p>
        </w:tc>
        <w:tc>
          <w:tcPr>
            <w:tcW w:w="120" w:type="dxa"/>
            <w:vAlign w:val="bottom"/>
          </w:tcPr>
          <w:p>
            <w:pPr>
              <w:spacing w:after="0"/>
              <w:rPr>
                <w:sz w:val="21"/>
                <w:szCs w:val="21"/>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7,160</w:t>
            </w:r>
          </w:p>
        </w:tc>
        <w:tc>
          <w:tcPr>
            <w:tcW w:w="20" w:type="dxa"/>
            <w:vAlign w:val="bottom"/>
          </w:tcPr>
          <w:p>
            <w:pPr>
              <w:spacing w:after="0"/>
              <w:rPr>
                <w:sz w:val="21"/>
                <w:szCs w:val="21"/>
                <w:color w:val="auto"/>
              </w:rPr>
            </w:pPr>
          </w:p>
        </w:tc>
      </w:tr>
      <w:tr>
        <w:trPr>
          <w:trHeight w:val="27"/>
        </w:trPr>
        <w:tc>
          <w:tcPr>
            <w:tcW w:w="492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49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Total financial assets</w:t>
            </w: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7,160</w:t>
            </w:r>
          </w:p>
        </w:tc>
        <w:tc>
          <w:tcPr>
            <w:tcW w:w="120" w:type="dxa"/>
            <w:vAlign w:val="bottom"/>
            <w:tcBorders>
              <w:bottom w:val="single" w:sz="8" w:color="F4F4F4"/>
            </w:tcBorders>
            <w:shd w:val="clear" w:color="auto" w:fill="F4F4F4"/>
          </w:tcPr>
          <w:p>
            <w:pPr>
              <w:spacing w:after="0"/>
              <w:rPr>
                <w:sz w:val="21"/>
                <w:szCs w:val="21"/>
                <w:color w:val="auto"/>
              </w:rPr>
            </w:pPr>
          </w:p>
        </w:tc>
        <w:tc>
          <w:tcPr>
            <w:tcW w:w="560" w:type="dxa"/>
            <w:vAlign w:val="bottom"/>
            <w:tcBorders>
              <w:bottom w:val="single" w:sz="8" w:color="F4F4F4"/>
            </w:tcBorders>
            <w:shd w:val="clear" w:color="auto" w:fill="F4F4F4"/>
          </w:tcPr>
          <w:p>
            <w:pPr>
              <w:jc w:val="right"/>
              <w:ind w:right="3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F4F4F4"/>
            </w:tcBorders>
            <w:gridSpan w:val="2"/>
            <w:shd w:val="clear" w:color="auto" w:fill="F4F4F4"/>
          </w:tcPr>
          <w:p>
            <w:pPr>
              <w:ind w:left="68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7,160</w:t>
            </w:r>
          </w:p>
        </w:tc>
        <w:tc>
          <w:tcPr>
            <w:tcW w:w="20" w:type="dxa"/>
            <w:vAlign w:val="bottom"/>
          </w:tcPr>
          <w:p>
            <w:pPr>
              <w:spacing w:after="0"/>
              <w:rPr>
                <w:sz w:val="21"/>
                <w:szCs w:val="21"/>
                <w:color w:val="auto"/>
              </w:rPr>
            </w:pPr>
          </w:p>
        </w:tc>
      </w:tr>
      <w:tr>
        <w:trPr>
          <w:trHeight w:val="20"/>
        </w:trPr>
        <w:tc>
          <w:tcPr>
            <w:tcW w:w="492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1000" w:type="dxa"/>
            <w:vAlign w:val="bottom"/>
            <w:shd w:val="clear" w:color="auto" w:fill="71BF43"/>
          </w:tcPr>
          <w:p>
            <w:pPr>
              <w:spacing w:after="0" w:line="20" w:lineRule="exact"/>
              <w:rPr>
                <w:sz w:val="1"/>
                <w:szCs w:val="1"/>
                <w:color w:val="auto"/>
              </w:rPr>
            </w:pPr>
          </w:p>
        </w:tc>
        <w:tc>
          <w:tcPr>
            <w:tcW w:w="120" w:type="dxa"/>
            <w:vAlign w:val="bottom"/>
            <w:shd w:val="clear" w:color="auto" w:fill="71BF43"/>
          </w:tcPr>
          <w:p>
            <w:pPr>
              <w:spacing w:after="0" w:line="20" w:lineRule="exact"/>
              <w:rPr>
                <w:sz w:val="1"/>
                <w:szCs w:val="1"/>
                <w:color w:val="auto"/>
              </w:rPr>
            </w:pPr>
          </w:p>
        </w:tc>
        <w:tc>
          <w:tcPr>
            <w:tcW w:w="56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500" w:type="dxa"/>
            <w:vAlign w:val="bottom"/>
            <w:shd w:val="clear" w:color="auto" w:fill="71BF43"/>
          </w:tcPr>
          <w:p>
            <w:pPr>
              <w:spacing w:after="0" w:line="20" w:lineRule="exact"/>
              <w:rPr>
                <w:sz w:val="1"/>
                <w:szCs w:val="1"/>
                <w:color w:val="auto"/>
              </w:rPr>
            </w:pPr>
          </w:p>
        </w:tc>
        <w:tc>
          <w:tcPr>
            <w:tcW w:w="100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-1722120</wp:posOffset>
            </wp:positionV>
            <wp:extent cx="30003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000375" cy="8890"/>
                    </a:xfrm>
                    <a:prstGeom prst="rect">
                      <a:avLst/>
                    </a:prstGeom>
                    <a:noFill/>
                  </pic:spPr>
                </pic:pic>
              </a:graphicData>
            </a:graphic>
          </wp:anchor>
        </w:drawing>
      </w:r>
    </w:p>
    <w:p>
      <w:pPr>
        <w:spacing w:after="0" w:line="19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color w:val="auto"/>
        </w:rPr>
        <w:t xml:space="preserve">Our derivative instruments within the scope of Accounting Standards Codification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are required to be recorded at fair value. Our derivative instruments that are recorded at fair value include interest rate swaps. See Note 9 to these condensed consolidated financial statements for additional information about our derivative instruments.</w:t>
      </w:r>
    </w:p>
    <w:p>
      <w:pPr>
        <w:spacing w:after="0" w:line="140"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The fair value of our interest rate swaps was based on model-driven valuations using LIBOR rates, which are observable at commonly quoted intervals. Accordingly, our interest rate swaps are classified within Level 2 of the fair value hierarchy. The Financial Conduct Authority in the U.K. has stated that it plans to phase out all tenors of LIBOR by June 2023.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believe the carrying amounts of our cash and cash equivalents, restricted cash, accounts receivable, trade accounts payable, accrued expenses and other current liabilities and due to customers approximate their fair values at March 31, 2022 and December 31, 2021, due to the immediate or short-term maturity of these instruments.</w:t>
      </w:r>
    </w:p>
    <w:p>
      <w:pPr>
        <w:spacing w:after="0" w:line="14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We believe the carrying amount of our debt approximates its fair value at March 31, 2022 and December 31, 2021, as the debt bears interest rates that approximate market value. As LIBOR and SOFR rates are observable at commonly quoted intervals, our debt under the 2020 Credit Facility (as defined below) is classified within Level 2 of the fair value hierarchy. Our fixed rate debt is also classified within Level 2 of the fair value hierarchy.</w:t>
      </w:r>
    </w:p>
    <w:p>
      <w:pPr>
        <w:spacing w:after="0" w:line="32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10</w:t>
      </w:r>
      <w:r>
        <w:rPr>
          <w:sz w:val="20"/>
          <w:szCs w:val="20"/>
          <w:color w:val="auto"/>
        </w:rPr>
        <w:tab/>
      </w:r>
      <w:r>
        <w:rPr>
          <w:sz w:val="1"/>
          <w:szCs w:val="1"/>
          <w:color w:val="auto"/>
        </w:rPr>
        <w:drawing>
          <wp:inline distT="0" distB="0" distL="0" distR="0">
            <wp:extent cx="651510" cy="1714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We did not transfer any assets or liabilities among the levels within the fair value hierarchy during the three months ended March 31, 2022.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did not hold any Level 3 assets or liabilities during the three months ended March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Assets and liabilities that are measured at fair value on a non-recurring basis include long-lived assets, intangible assets, goodwill and operating lease right-of-use ("ROU") assets. These assets are recognized at fair value during the period in which an acquisition is completed or at lease commencement, from updated estimates and assumptions during the measurement period, or when they are considered to be impaired. These non-recurring fair value measurements, primarily for long-lived assets, intangible assets acquired and operating lease ROU assets, are based on Level 3 unobservable inputs. In the event of an impairment, we determine the fair value of these assets other than goodwill using a discounted cash flow approach, which contains significant unobservable inputs and, therefore, is considered a Level 3 fair value measurement. The unobservable inputs in the analysis generally include future cash flow projections and a discount rate. For goodwill impairment testing, we estimate fair value using market-based methods including the use of market capitalization and consideration of a control premium.</w:t>
      </w:r>
    </w:p>
    <w:p>
      <w:pPr>
        <w:spacing w:after="0" w:line="15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There were no material non-recurring fair value adjustments to our long-lived assets, intangible assets, goodwill and operating lease ROU assets during the three months ended March 31, 2022.</w:t>
      </w:r>
    </w:p>
    <w:p>
      <w:pPr>
        <w:spacing w:after="0" w:line="23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7. Consolidated Financial Statement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202"/>
        </w:trPr>
        <w:tc>
          <w:tcPr>
            <w:tcW w:w="79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shd w:val="clear" w:color="auto" w:fill="ACACAC"/>
          </w:tcPr>
          <w:p>
            <w:pPr>
              <w:spacing w:after="0"/>
              <w:rPr>
                <w:sz w:val="17"/>
                <w:szCs w:val="17"/>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shd w:val="clear" w:color="auto" w:fill="ACACAC"/>
          </w:tcPr>
          <w:p>
            <w:pPr>
              <w:spacing w:after="0"/>
              <w:rPr>
                <w:sz w:val="17"/>
                <w:szCs w:val="17"/>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Restricted cash due to customers</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276,130</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593,296</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Letters of credit for operating leases</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2,193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2,256</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Real estate escrow balances</w:t>
            </w:r>
          </w:p>
        </w:tc>
        <w:tc>
          <w:tcPr>
            <w:tcW w:w="520" w:type="dxa"/>
            <w:vAlign w:val="bottom"/>
            <w:tcBorders>
              <w:bottom w:val="single" w:sz="8" w:color="F4F4F4"/>
            </w:tcBorders>
            <w:shd w:val="clear" w:color="auto" w:fill="F4F4F4"/>
          </w:tcPr>
          <w:p>
            <w:pPr>
              <w:spacing w:after="0"/>
              <w:rPr>
                <w:sz w:val="23"/>
                <w:szCs w:val="23"/>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1,271</w:t>
            </w:r>
          </w:p>
        </w:tc>
        <w:tc>
          <w:tcPr>
            <w:tcW w:w="400" w:type="dxa"/>
            <w:vAlign w:val="bottom"/>
            <w:tcBorders>
              <w:bottom w:val="single" w:sz="8" w:color="F4F4F4"/>
            </w:tcBorders>
            <w:shd w:val="clear" w:color="auto" w:fill="F4F4F4"/>
          </w:tcPr>
          <w:p>
            <w:pPr>
              <w:spacing w:after="0"/>
              <w:rPr>
                <w:sz w:val="23"/>
                <w:szCs w:val="23"/>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1,064</w:t>
            </w:r>
          </w:p>
        </w:tc>
        <w:tc>
          <w:tcPr>
            <w:tcW w:w="20" w:type="dxa"/>
            <w:vAlign w:val="bottom"/>
          </w:tcPr>
          <w:p>
            <w:pPr>
              <w:spacing w:after="0"/>
              <w:rPr>
                <w:sz w:val="23"/>
                <w:szCs w:val="23"/>
                <w:color w:val="auto"/>
              </w:rPr>
            </w:pPr>
          </w:p>
        </w:tc>
      </w:tr>
      <w:tr>
        <w:trPr>
          <w:trHeight w:val="237"/>
        </w:trPr>
        <w:tc>
          <w:tcPr>
            <w:tcW w:w="7940" w:type="dxa"/>
            <w:vAlign w:val="bottom"/>
          </w:tcPr>
          <w:p>
            <w:pPr>
              <w:ind w:left="140"/>
              <w:spacing w:after="0"/>
              <w:rPr>
                <w:sz w:val="20"/>
                <w:szCs w:val="20"/>
                <w:color w:val="auto"/>
              </w:rPr>
            </w:pPr>
            <w:r>
              <w:rPr>
                <w:rFonts w:ascii="Arial" w:cs="Arial" w:eastAsia="Arial" w:hAnsi="Arial"/>
                <w:sz w:val="18"/>
                <w:szCs w:val="18"/>
                <w:color w:val="auto"/>
              </w:rPr>
              <w:t>Total restricted cash</w:t>
            </w:r>
          </w:p>
        </w:tc>
        <w:tc>
          <w:tcPr>
            <w:tcW w:w="520" w:type="dxa"/>
            <w:vAlign w:val="bottom"/>
            <w:tcBorders>
              <w:top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279,594</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596,616</w:t>
            </w:r>
          </w:p>
        </w:tc>
        <w:tc>
          <w:tcPr>
            <w:tcW w:w="20" w:type="dxa"/>
            <w:vAlign w:val="bottom"/>
          </w:tcPr>
          <w:p>
            <w:pPr>
              <w:spacing w:after="0"/>
              <w:rPr>
                <w:sz w:val="20"/>
                <w:szCs w:val="20"/>
                <w:color w:val="auto"/>
              </w:rPr>
            </w:pPr>
          </w:p>
        </w:tc>
      </w:tr>
      <w:tr>
        <w:trPr>
          <w:trHeight w:val="27"/>
        </w:trPr>
        <w:tc>
          <w:tcPr>
            <w:tcW w:w="7940" w:type="dxa"/>
            <w:vAlign w:val="bottom"/>
            <w:tcBorders>
              <w:bottom w:val="single" w:sz="8" w:color="8CBE4F"/>
            </w:tcBorders>
          </w:tcPr>
          <w:p>
            <w:pPr>
              <w:spacing w:after="0"/>
              <w:rPr>
                <w:sz w:val="2"/>
                <w:szCs w:val="2"/>
                <w:color w:val="auto"/>
              </w:rPr>
            </w:pPr>
          </w:p>
        </w:tc>
        <w:tc>
          <w:tcPr>
            <w:tcW w:w="520" w:type="dxa"/>
            <w:vAlign w:val="bottom"/>
            <w:tcBorders>
              <w:bottom w:val="single" w:sz="8" w:color="8CBE4F"/>
            </w:tcBorders>
          </w:tcPr>
          <w:p>
            <w:pPr>
              <w:spacing w:after="0"/>
              <w:rPr>
                <w:sz w:val="2"/>
                <w:szCs w:val="2"/>
                <w:color w:val="auto"/>
              </w:rPr>
            </w:pPr>
          </w:p>
        </w:tc>
        <w:tc>
          <w:tcPr>
            <w:tcW w:w="1140" w:type="dxa"/>
            <w:vAlign w:val="bottom"/>
            <w:tcBorders>
              <w:bottom w:val="single" w:sz="8" w:color="8CBE4F"/>
            </w:tcBorders>
          </w:tcPr>
          <w:p>
            <w:pPr>
              <w:spacing w:after="0"/>
              <w:rPr>
                <w:sz w:val="2"/>
                <w:szCs w:val="2"/>
                <w:color w:val="auto"/>
              </w:rPr>
            </w:pPr>
          </w:p>
        </w:tc>
        <w:tc>
          <w:tcPr>
            <w:tcW w:w="400" w:type="dxa"/>
            <w:vAlign w:val="bottom"/>
            <w:tcBorders>
              <w:bottom w:val="single" w:sz="8" w:color="8CBE4F"/>
            </w:tcBorders>
          </w:tcPr>
          <w:p>
            <w:pPr>
              <w:spacing w:after="0"/>
              <w:rPr>
                <w:sz w:val="2"/>
                <w:szCs w:val="2"/>
                <w:color w:val="auto"/>
              </w:rPr>
            </w:pPr>
          </w:p>
        </w:tc>
        <w:tc>
          <w:tcPr>
            <w:tcW w:w="1240" w:type="dxa"/>
            <w:vAlign w:val="bottom"/>
            <w:tcBorders>
              <w:bottom w:val="single" w:sz="8" w:color="8CBE4F"/>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539750</wp:posOffset>
            </wp:positionV>
            <wp:extent cx="65976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expenses and other assets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20" w:type="dxa"/>
            <w:vAlign w:val="bottom"/>
            <w:tcBorders>
              <w:bottom w:val="single" w:sz="8" w:color="ACACAC"/>
            </w:tcBorders>
            <w:shd w:val="clear" w:color="auto" w:fill="ACACAC"/>
          </w:tcPr>
          <w:p>
            <w:pPr>
              <w:spacing w:after="0"/>
              <w:rPr>
                <w:sz w:val="17"/>
                <w:szCs w:val="17"/>
                <w:color w:val="auto"/>
              </w:rPr>
            </w:pP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Costs of obtaining contracts</w:t>
            </w:r>
            <w:r>
              <w:rPr>
                <w:rFonts w:ascii="Arial" w:cs="Arial" w:eastAsia="Arial" w:hAnsi="Arial"/>
                <w:sz w:val="23"/>
                <w:szCs w:val="23"/>
                <w:color w:val="auto"/>
                <w:vertAlign w:val="superscript"/>
              </w:rPr>
              <w:t>(1)(2)</w:t>
            </w:r>
          </w:p>
        </w:tc>
        <w:tc>
          <w:tcPr>
            <w:tcW w:w="520" w:type="dxa"/>
            <w:vAlign w:val="bottom"/>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76,482</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78,465</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Prepaid software maintenance and subscriptions</w:t>
            </w:r>
            <w:r>
              <w:rPr>
                <w:rFonts w:ascii="Arial" w:cs="Arial" w:eastAsia="Arial" w:hAnsi="Arial"/>
                <w:sz w:val="23"/>
                <w:szCs w:val="23"/>
                <w:color w:val="auto"/>
                <w:vertAlign w:val="superscript"/>
              </w:rPr>
              <w:t>(3)</w:t>
            </w:r>
          </w:p>
        </w:tc>
        <w:tc>
          <w:tcPr>
            <w:tcW w:w="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33,950</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28,880</w:t>
            </w:r>
          </w:p>
        </w:tc>
        <w:tc>
          <w:tcPr>
            <w:tcW w:w="20" w:type="dxa"/>
            <w:vAlign w:val="bottom"/>
          </w:tcPr>
          <w:p>
            <w:pPr>
              <w:spacing w:after="0"/>
              <w:rPr>
                <w:sz w:val="24"/>
                <w:szCs w:val="24"/>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Derivative instruments</w:t>
            </w:r>
          </w:p>
        </w:tc>
        <w:tc>
          <w:tcPr>
            <w:tcW w:w="5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21,947</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7,160</w:t>
            </w:r>
          </w:p>
        </w:tc>
        <w:tc>
          <w:tcPr>
            <w:tcW w:w="20" w:type="dxa"/>
            <w:vAlign w:val="bottom"/>
          </w:tcPr>
          <w:p>
            <w:pPr>
              <w:spacing w:after="0"/>
              <w:rPr>
                <w:sz w:val="21"/>
                <w:szCs w:val="21"/>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Receivables for probable insurance recoveries</w:t>
            </w:r>
            <w:r>
              <w:rPr>
                <w:rFonts w:ascii="Arial" w:cs="Arial" w:eastAsia="Arial" w:hAnsi="Arial"/>
                <w:sz w:val="23"/>
                <w:szCs w:val="23"/>
                <w:color w:val="auto"/>
                <w:vertAlign w:val="superscript"/>
              </w:rPr>
              <w:t>(4)(5)</w:t>
            </w:r>
          </w:p>
        </w:tc>
        <w:tc>
          <w:tcPr>
            <w:tcW w:w="5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12,715</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18,202</w:t>
            </w:r>
          </w:p>
        </w:tc>
        <w:tc>
          <w:tcPr>
            <w:tcW w:w="20" w:type="dxa"/>
            <w:vAlign w:val="bottom"/>
          </w:tcPr>
          <w:p>
            <w:pPr>
              <w:spacing w:after="0"/>
              <w:rPr>
                <w:sz w:val="24"/>
                <w:szCs w:val="24"/>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Implementation costs for cloud computing arrangements, net</w:t>
            </w:r>
            <w:r>
              <w:rPr>
                <w:rFonts w:ascii="Arial" w:cs="Arial" w:eastAsia="Arial" w:hAnsi="Arial"/>
                <w:sz w:val="23"/>
                <w:szCs w:val="23"/>
                <w:color w:val="auto"/>
                <w:vertAlign w:val="superscript"/>
              </w:rPr>
              <w:t>(6)(7)</w:t>
            </w:r>
          </w:p>
        </w:tc>
        <w:tc>
          <w:tcPr>
            <w:tcW w:w="520" w:type="dxa"/>
            <w:vAlign w:val="bottom"/>
            <w:shd w:val="clear" w:color="auto" w:fill="F4F4F4"/>
          </w:tcPr>
          <w:p>
            <w:pPr>
              <w:spacing w:after="0"/>
              <w:rPr>
                <w:sz w:val="24"/>
                <w:szCs w:val="24"/>
                <w:color w:val="auto"/>
              </w:rPr>
            </w:pP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11,354</w:t>
            </w: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11,892</w:t>
            </w:r>
          </w:p>
        </w:tc>
        <w:tc>
          <w:tcPr>
            <w:tcW w:w="20" w:type="dxa"/>
            <w:vAlign w:val="bottom"/>
          </w:tcPr>
          <w:p>
            <w:pPr>
              <w:spacing w:after="0"/>
              <w:rPr>
                <w:sz w:val="24"/>
                <w:szCs w:val="24"/>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Prepaid insurance</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11,237</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5,363</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Unbilled accounts receivable</w:t>
            </w:r>
          </w:p>
        </w:tc>
        <w:tc>
          <w:tcPr>
            <w:tcW w:w="5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5,545</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5,443</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Taxes, prepaid and receivable</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4,006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3,986</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Deferred tax assets</w:t>
            </w:r>
          </w:p>
        </w:tc>
        <w:tc>
          <w:tcPr>
            <w:tcW w:w="5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1,569</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1,546</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11,302</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11,835</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9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prepaid expenses and other assets</w:t>
            </w:r>
          </w:p>
        </w:tc>
        <w:tc>
          <w:tcPr>
            <w:tcW w:w="52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190,107</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172,772</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Less: Long-term portion</w:t>
            </w:r>
          </w:p>
        </w:tc>
        <w:tc>
          <w:tcPr>
            <w:tcW w:w="5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90,194</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77,266</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Prepaid expenses and other current assets</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99,913</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95,506</w:t>
            </w:r>
          </w:p>
        </w:tc>
        <w:tc>
          <w:tcPr>
            <w:tcW w:w="20" w:type="dxa"/>
            <w:vAlign w:val="bottom"/>
          </w:tcPr>
          <w:p>
            <w:pPr>
              <w:spacing w:after="0"/>
              <w:rPr>
                <w:sz w:val="21"/>
                <w:szCs w:val="21"/>
                <w:color w:val="auto"/>
              </w:rPr>
            </w:pPr>
          </w:p>
        </w:tc>
      </w:tr>
      <w:tr>
        <w:trPr>
          <w:trHeight w:val="20"/>
        </w:trPr>
        <w:tc>
          <w:tcPr>
            <w:tcW w:w="794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9"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expense from costs of obtaining contracts was $8.5 million and $9.2 million for the three months ended March 31, 2022 and 2021,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current portion of costs of obtaining contracts as of March 31, 2022 and December 31, 2021 was $29.7 million and $30.2 million,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current portion of prepaid software maintenance and subscriptions as of March 31, 2022 and December 31, 2021 was $29.8 million and $24.7 million, respectively.</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All receivables for probable insurance recoveries are classified as current.</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See discussion of the Security Incident at Note 10 to these condensed consolidated financial statements.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These costs primarily relate to the multi-year implementations of our new global enterprise resource planning and customer relationship management systems.</w:t>
      </w:r>
    </w:p>
    <w:p>
      <w:pPr>
        <w:spacing w:after="0" w:line="1" w:lineRule="exact"/>
        <w:rPr>
          <w:rFonts w:ascii="Arial" w:cs="Arial" w:eastAsia="Arial" w:hAnsi="Arial"/>
          <w:sz w:val="14"/>
          <w:szCs w:val="14"/>
          <w:color w:val="auto"/>
        </w:rPr>
      </w:pPr>
    </w:p>
    <w:p>
      <w:pPr>
        <w:ind w:left="340" w:right="40" w:hanging="332"/>
        <w:spacing w:after="0" w:line="258" w:lineRule="auto"/>
        <w:tabs>
          <w:tab w:leader="none" w:pos="354"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Amortization expense from capitalized cloud computing implementation costs was insignificant for the three months ended March 31, 2022 and 2021. Accumulated amortization for these costs was $3.5 million and $3.0 million as of March 31, 2022 and December 31, 2021, respectively.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 and other liabilities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540" w:type="dxa"/>
            <w:vAlign w:val="bottom"/>
            <w:shd w:val="clear" w:color="auto" w:fill="ACACAC"/>
          </w:tcPr>
          <w:p>
            <w:pPr>
              <w:spacing w:after="0"/>
              <w:rPr>
                <w:sz w:val="16"/>
                <w:szCs w:val="16"/>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40" w:type="dxa"/>
            <w:vAlign w:val="bottom"/>
            <w:tcBorders>
              <w:bottom w:val="single" w:sz="8" w:color="ACACAC"/>
            </w:tcBorders>
            <w:shd w:val="clear" w:color="auto" w:fill="ACACAC"/>
          </w:tcPr>
          <w:p>
            <w:pPr>
              <w:spacing w:after="0"/>
              <w:rPr>
                <w:sz w:val="17"/>
                <w:szCs w:val="17"/>
                <w:color w:val="auto"/>
              </w:rPr>
            </w:pPr>
          </w:p>
        </w:tc>
        <w:tc>
          <w:tcPr>
            <w:tcW w:w="11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Taxes payable</w:t>
            </w:r>
            <w:r>
              <w:rPr>
                <w:rFonts w:ascii="Arial" w:cs="Arial" w:eastAsia="Arial" w:hAnsi="Arial"/>
                <w:sz w:val="23"/>
                <w:szCs w:val="23"/>
                <w:color w:val="auto"/>
                <w:vertAlign w:val="superscript"/>
              </w:rPr>
              <w:t>(1)</w:t>
            </w:r>
          </w:p>
        </w:tc>
        <w:tc>
          <w:tcPr>
            <w:tcW w:w="540" w:type="dxa"/>
            <w:vAlign w:val="bottom"/>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23,305</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19,777</w:t>
            </w:r>
          </w:p>
        </w:tc>
        <w:tc>
          <w:tcPr>
            <w:tcW w:w="20" w:type="dxa"/>
            <w:vAlign w:val="bottom"/>
          </w:tcPr>
          <w:p>
            <w:pPr>
              <w:spacing w:after="0"/>
              <w:rPr>
                <w:sz w:val="24"/>
                <w:szCs w:val="24"/>
                <w:color w:val="auto"/>
              </w:rPr>
            </w:pPr>
          </w:p>
        </w:tc>
      </w:tr>
      <w:tr>
        <w:trPr>
          <w:trHeight w:val="324"/>
        </w:trPr>
        <w:tc>
          <w:tcPr>
            <w:tcW w:w="7940" w:type="dxa"/>
            <w:vAlign w:val="bottom"/>
          </w:tcPr>
          <w:p>
            <w:pPr>
              <w:ind w:left="20"/>
              <w:spacing w:after="0"/>
              <w:rPr>
                <w:sz w:val="20"/>
                <w:szCs w:val="20"/>
                <w:color w:val="auto"/>
              </w:rPr>
            </w:pPr>
            <w:r>
              <w:rPr>
                <w:rFonts w:ascii="Arial" w:cs="Arial" w:eastAsia="Arial" w:hAnsi="Arial"/>
                <w:sz w:val="18"/>
                <w:szCs w:val="18"/>
                <w:color w:val="auto"/>
              </w:rPr>
              <w:t>Accrued legal costs</w:t>
            </w:r>
            <w:r>
              <w:rPr>
                <w:rFonts w:ascii="Arial" w:cs="Arial" w:eastAsia="Arial" w:hAnsi="Arial"/>
                <w:sz w:val="23"/>
                <w:szCs w:val="23"/>
                <w:color w:val="auto"/>
                <w:vertAlign w:val="superscript"/>
              </w:rPr>
              <w:t>(2)</w:t>
            </w:r>
          </w:p>
        </w:tc>
        <w:tc>
          <w:tcPr>
            <w:tcW w:w="5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12,208</w:t>
            </w:r>
          </w:p>
        </w:tc>
        <w:tc>
          <w:tcPr>
            <w:tcW w:w="4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11,724</w:t>
            </w:r>
          </w:p>
        </w:tc>
        <w:tc>
          <w:tcPr>
            <w:tcW w:w="20" w:type="dxa"/>
            <w:vAlign w:val="bottom"/>
          </w:tcPr>
          <w:p>
            <w:pPr>
              <w:spacing w:after="0"/>
              <w:rPr>
                <w:sz w:val="24"/>
                <w:szCs w:val="24"/>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Operating lease liabilities, current portion</w:t>
            </w:r>
          </w:p>
        </w:tc>
        <w:tc>
          <w:tcPr>
            <w:tcW w:w="540" w:type="dxa"/>
            <w:vAlign w:val="bottom"/>
            <w:tcBorders>
              <w:bottom w:val="single" w:sz="8" w:color="F4F4F4"/>
            </w:tcBorders>
            <w:shd w:val="clear" w:color="auto" w:fill="F4F4F4"/>
          </w:tcPr>
          <w:p>
            <w:pPr>
              <w:spacing w:after="0"/>
              <w:rPr>
                <w:sz w:val="21"/>
                <w:szCs w:val="21"/>
                <w:color w:val="auto"/>
              </w:rPr>
            </w:pP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8,930</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9,170</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Customer credit balances</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7,403</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8,403</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commissions and salaries</w:t>
            </w:r>
          </w:p>
        </w:tc>
        <w:tc>
          <w:tcPr>
            <w:tcW w:w="540" w:type="dxa"/>
            <w:vAlign w:val="bottom"/>
            <w:tcBorders>
              <w:bottom w:val="single" w:sz="8" w:color="F4F4F4"/>
            </w:tcBorders>
            <w:shd w:val="clear" w:color="auto" w:fill="F4F4F4"/>
          </w:tcPr>
          <w:p>
            <w:pPr>
              <w:spacing w:after="0"/>
              <w:rPr>
                <w:sz w:val="21"/>
                <w:szCs w:val="21"/>
                <w:color w:val="auto"/>
              </w:rPr>
            </w:pP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4,656</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7,872</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Accrued health care costs</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2,601</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3,042</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vacation costs</w:t>
            </w:r>
          </w:p>
        </w:tc>
        <w:tc>
          <w:tcPr>
            <w:tcW w:w="540" w:type="dxa"/>
            <w:vAlign w:val="bottom"/>
            <w:tcBorders>
              <w:bottom w:val="single" w:sz="8" w:color="F4F4F4"/>
            </w:tcBorders>
            <w:shd w:val="clear" w:color="auto" w:fill="F4F4F4"/>
          </w:tcPr>
          <w:p>
            <w:pPr>
              <w:spacing w:after="0"/>
              <w:rPr>
                <w:sz w:val="21"/>
                <w:szCs w:val="21"/>
                <w:color w:val="auto"/>
              </w:rPr>
            </w:pP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2,210</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2,234</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Accrued bonuses</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1,460</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5,829</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transaction-based costs related to payments services</w:t>
            </w:r>
          </w:p>
        </w:tc>
        <w:tc>
          <w:tcPr>
            <w:tcW w:w="540" w:type="dxa"/>
            <w:vAlign w:val="bottom"/>
            <w:tcBorders>
              <w:bottom w:val="single" w:sz="8" w:color="F4F4F4"/>
            </w:tcBorders>
            <w:shd w:val="clear" w:color="auto" w:fill="F4F4F4"/>
          </w:tcPr>
          <w:p>
            <w:pPr>
              <w:spacing w:after="0"/>
              <w:rPr>
                <w:sz w:val="21"/>
                <w:szCs w:val="21"/>
                <w:color w:val="auto"/>
              </w:rPr>
            </w:pP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1,418</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5,427</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Unrecognized tax benefit</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1,409</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1,248</w:t>
            </w:r>
          </w:p>
        </w:tc>
        <w:tc>
          <w:tcPr>
            <w:tcW w:w="20" w:type="dxa"/>
            <w:vAlign w:val="bottom"/>
          </w:tcPr>
          <w:p>
            <w:pPr>
              <w:spacing w:after="0"/>
              <w:rPr>
                <w:sz w:val="21"/>
                <w:szCs w:val="21"/>
                <w:color w:val="auto"/>
              </w:rPr>
            </w:pPr>
          </w:p>
        </w:tc>
      </w:tr>
      <w:tr>
        <w:trPr>
          <w:trHeight w:val="27"/>
        </w:trPr>
        <w:tc>
          <w:tcPr>
            <w:tcW w:w="79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24"/>
        </w:trPr>
        <w:tc>
          <w:tcPr>
            <w:tcW w:w="7940" w:type="dxa"/>
            <w:vAlign w:val="bottom"/>
            <w:shd w:val="clear" w:color="auto" w:fill="F4F4F4"/>
          </w:tcPr>
          <w:p>
            <w:pPr>
              <w:ind w:left="20"/>
              <w:spacing w:after="0"/>
              <w:rPr>
                <w:sz w:val="20"/>
                <w:szCs w:val="20"/>
                <w:color w:val="auto"/>
              </w:rPr>
            </w:pPr>
            <w:r>
              <w:rPr>
                <w:rFonts w:ascii="Arial" w:cs="Arial" w:eastAsia="Arial" w:hAnsi="Arial"/>
                <w:sz w:val="18"/>
                <w:szCs w:val="18"/>
                <w:color w:val="auto"/>
              </w:rPr>
              <w:t>Amounts payable to former EVERFI option holders</w:t>
            </w:r>
            <w:r>
              <w:rPr>
                <w:rFonts w:ascii="Arial" w:cs="Arial" w:eastAsia="Arial" w:hAnsi="Arial"/>
                <w:sz w:val="23"/>
                <w:szCs w:val="23"/>
                <w:color w:val="auto"/>
                <w:vertAlign w:val="superscript"/>
              </w:rPr>
              <w:t>(3)</w:t>
            </w:r>
          </w:p>
        </w:tc>
        <w:tc>
          <w:tcPr>
            <w:tcW w:w="540" w:type="dxa"/>
            <w:vAlign w:val="bottom"/>
            <w:shd w:val="clear" w:color="auto" w:fill="F4F4F4"/>
          </w:tcPr>
          <w:p>
            <w:pPr>
              <w:spacing w:after="0"/>
              <w:rPr>
                <w:sz w:val="24"/>
                <w:szCs w:val="24"/>
                <w:color w:val="auto"/>
              </w:rPr>
            </w:pP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F4F4F4"/>
          </w:tcPr>
          <w:p>
            <w:pPr>
              <w:spacing w:after="0"/>
              <w:rPr>
                <w:sz w:val="24"/>
                <w:szCs w:val="24"/>
                <w:color w:val="auto"/>
              </w:rPr>
            </w:pPr>
          </w:p>
        </w:tc>
        <w:tc>
          <w:tcPr>
            <w:tcW w:w="12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17,404</w:t>
            </w:r>
          </w:p>
        </w:tc>
        <w:tc>
          <w:tcPr>
            <w:tcW w:w="20" w:type="dxa"/>
            <w:vAlign w:val="bottom"/>
          </w:tcPr>
          <w:p>
            <w:pPr>
              <w:spacing w:after="0"/>
              <w:rPr>
                <w:sz w:val="24"/>
                <w:szCs w:val="24"/>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8,101</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9,310</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79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accrued expenses and other liabilities</w:t>
            </w:r>
          </w:p>
        </w:tc>
        <w:tc>
          <w:tcPr>
            <w:tcW w:w="540" w:type="dxa"/>
            <w:vAlign w:val="bottom"/>
            <w:tcBorders>
              <w:bottom w:val="single" w:sz="8" w:color="F4F4F4"/>
            </w:tcBorders>
            <w:shd w:val="clear" w:color="auto" w:fill="F4F4F4"/>
          </w:tcPr>
          <w:p>
            <w:pPr>
              <w:spacing w:after="0"/>
              <w:rPr>
                <w:sz w:val="21"/>
                <w:szCs w:val="21"/>
                <w:color w:val="auto"/>
              </w:rPr>
            </w:pP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73,701</w:t>
            </w:r>
          </w:p>
        </w:tc>
        <w:tc>
          <w:tcPr>
            <w:tcW w:w="40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101,440</w:t>
            </w:r>
          </w:p>
        </w:tc>
        <w:tc>
          <w:tcPr>
            <w:tcW w:w="20" w:type="dxa"/>
            <w:vAlign w:val="bottom"/>
          </w:tcPr>
          <w:p>
            <w:pPr>
              <w:spacing w:after="0"/>
              <w:rPr>
                <w:sz w:val="21"/>
                <w:szCs w:val="21"/>
                <w:color w:val="auto"/>
              </w:rPr>
            </w:pPr>
          </w:p>
        </w:tc>
      </w:tr>
      <w:tr>
        <w:trPr>
          <w:trHeight w:val="243"/>
        </w:trPr>
        <w:tc>
          <w:tcPr>
            <w:tcW w:w="7940" w:type="dxa"/>
            <w:vAlign w:val="bottom"/>
          </w:tcPr>
          <w:p>
            <w:pPr>
              <w:ind w:left="20"/>
              <w:spacing w:after="0"/>
              <w:rPr>
                <w:sz w:val="20"/>
                <w:szCs w:val="20"/>
                <w:color w:val="auto"/>
              </w:rPr>
            </w:pPr>
            <w:r>
              <w:rPr>
                <w:rFonts w:ascii="Arial" w:cs="Arial" w:eastAsia="Arial" w:hAnsi="Arial"/>
                <w:sz w:val="18"/>
                <w:szCs w:val="18"/>
                <w:color w:val="auto"/>
              </w:rPr>
              <w:t>Less: Long-term portion</w:t>
            </w:r>
          </w:p>
        </w:tc>
        <w:tc>
          <w:tcPr>
            <w:tcW w:w="5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1,506</w:t>
            </w:r>
          </w:p>
        </w:tc>
        <w:tc>
          <w:tcPr>
            <w:tcW w:w="4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1,344</w:t>
            </w:r>
          </w:p>
        </w:tc>
        <w:tc>
          <w:tcPr>
            <w:tcW w:w="20" w:type="dxa"/>
            <w:vAlign w:val="bottom"/>
          </w:tcPr>
          <w:p>
            <w:pPr>
              <w:spacing w:after="0"/>
              <w:rPr>
                <w:sz w:val="21"/>
                <w:szCs w:val="21"/>
                <w:color w:val="auto"/>
              </w:rPr>
            </w:pPr>
          </w:p>
        </w:tc>
      </w:tr>
      <w:tr>
        <w:trPr>
          <w:trHeight w:val="27"/>
        </w:trPr>
        <w:tc>
          <w:tcPr>
            <w:tcW w:w="7940" w:type="dxa"/>
            <w:vAlign w:val="bottom"/>
            <w:tcBorders>
              <w:bottom w:val="single" w:sz="8" w:color="F4F4F4"/>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540" w:type="dxa"/>
            <w:vAlign w:val="bottom"/>
            <w:tcBorders>
              <w:bottom w:val="single" w:sz="8" w:color="F4F4F4"/>
            </w:tcBorders>
            <w:shd w:val="clear" w:color="auto" w:fill="F4F4F4"/>
          </w:tcPr>
          <w:p>
            <w:pPr>
              <w:jc w:val="right"/>
              <w:ind w:right="3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72,195</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100,096</w:t>
            </w:r>
          </w:p>
        </w:tc>
        <w:tc>
          <w:tcPr>
            <w:tcW w:w="20" w:type="dxa"/>
            <w:vAlign w:val="bottom"/>
          </w:tcPr>
          <w:p>
            <w:pPr>
              <w:spacing w:after="0"/>
              <w:rPr>
                <w:sz w:val="21"/>
                <w:szCs w:val="21"/>
                <w:color w:val="auto"/>
              </w:rPr>
            </w:pPr>
          </w:p>
        </w:tc>
      </w:tr>
      <w:tr>
        <w:trPr>
          <w:trHeight w:val="20"/>
        </w:trPr>
        <w:tc>
          <w:tcPr>
            <w:tcW w:w="7940" w:type="dxa"/>
            <w:vAlign w:val="bottom"/>
            <w:shd w:val="clear" w:color="auto" w:fill="71BF43"/>
          </w:tcPr>
          <w:p>
            <w:pPr>
              <w:spacing w:after="0" w:line="20" w:lineRule="exact"/>
              <w:rPr>
                <w:sz w:val="1"/>
                <w:szCs w:val="1"/>
                <w:color w:val="auto"/>
              </w:rPr>
            </w:pPr>
          </w:p>
        </w:tc>
        <w:tc>
          <w:tcPr>
            <w:tcW w:w="540" w:type="dxa"/>
            <w:vAlign w:val="bottom"/>
            <w:shd w:val="clear" w:color="auto" w:fill="71BF43"/>
          </w:tcPr>
          <w:p>
            <w:pPr>
              <w:spacing w:after="0" w:line="20" w:lineRule="exact"/>
              <w:rPr>
                <w:sz w:val="1"/>
                <w:szCs w:val="1"/>
                <w:color w:val="auto"/>
              </w:rPr>
            </w:pPr>
          </w:p>
        </w:tc>
        <w:tc>
          <w:tcPr>
            <w:tcW w:w="112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right="20" w:hanging="332"/>
        <w:spacing w:after="0" w:line="241" w:lineRule="auto"/>
        <w:tabs>
          <w:tab w:leader="none" w:pos="354" w:val="left"/>
        </w:tabs>
        <w:numPr>
          <w:ilvl w:val="0"/>
          <w:numId w:val="10"/>
        </w:numPr>
        <w:rPr>
          <w:rFonts w:ascii="Arial" w:cs="Arial" w:eastAsia="Arial" w:hAnsi="Arial"/>
          <w:sz w:val="14"/>
          <w:szCs w:val="14"/>
          <w:color w:val="auto"/>
        </w:rPr>
      </w:pPr>
      <w:r>
        <w:rPr>
          <w:rFonts w:ascii="Arial" w:cs="Arial" w:eastAsia="Arial" w:hAnsi="Arial"/>
          <w:sz w:val="14"/>
          <w:szCs w:val="14"/>
          <w:color w:val="auto"/>
        </w:rPr>
        <w:t>We deferred payments of the employer's portion of Social Security taxes during 2020 under the Coronavirus, Aid, Relief and Economic Security Act, half of which was due by the end of calendar year 2021 with the remainder due by the end of calendar year 2022.</w:t>
      </w:r>
    </w:p>
    <w:p>
      <w:pPr>
        <w:ind w:left="340" w:hanging="332"/>
        <w:spacing w:after="0"/>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All accrued legal costs are classified as current.</w:t>
      </w:r>
    </w:p>
    <w:p>
      <w:pPr>
        <w:spacing w:after="0" w:line="33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12</w:t>
      </w:r>
      <w:r>
        <w:rPr>
          <w:sz w:val="20"/>
          <w:szCs w:val="20"/>
          <w:color w:val="auto"/>
        </w:rPr>
        <w:tab/>
      </w:r>
      <w:r>
        <w:rPr>
          <w:sz w:val="1"/>
          <w:szCs w:val="1"/>
          <w:color w:val="auto"/>
        </w:rPr>
        <w:drawing>
          <wp:inline distT="0" distB="0" distL="0" distR="0">
            <wp:extent cx="651510" cy="1714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2" w:lineRule="exact"/>
        <w:rPr>
          <w:sz w:val="20"/>
          <w:szCs w:val="20"/>
          <w:color w:val="auto"/>
        </w:rPr>
      </w:pPr>
    </w:p>
    <w:p>
      <w:pPr>
        <w:ind w:left="340" w:right="20" w:hanging="332"/>
        <w:spacing w:after="0" w:line="258" w:lineRule="auto"/>
        <w:tabs>
          <w:tab w:leader="none" w:pos="354"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amounts that had not been paid by EVERFI to its former option holders as of December 31, 2021, solely due to the timing of the acquisition on the last day of 2021. See Note 3 to these condensed consolidated financial statements for additional information regarding our acquisition of EVERFI.</w:t>
      </w:r>
    </w:p>
    <w:p>
      <w:pPr>
        <w:spacing w:after="0" w:line="224" w:lineRule="exact"/>
        <w:rPr>
          <w:rFonts w:ascii="Arial" w:cs="Arial" w:eastAsia="Arial" w:hAnsi="Arial"/>
          <w:sz w:val="14"/>
          <w:szCs w:val="14"/>
          <w:color w:val="auto"/>
        </w:rPr>
      </w:pPr>
    </w:p>
    <w:p>
      <w:pPr>
        <w:ind w:left="260" w:hanging="234"/>
        <w:spacing w:after="0"/>
        <w:tabs>
          <w:tab w:leader="none" w:pos="260" w:val="left"/>
        </w:tabs>
        <w:numPr>
          <w:ilvl w:val="1"/>
          <w:numId w:val="11"/>
        </w:numPr>
        <w:rPr>
          <w:rFonts w:ascii="Arial" w:cs="Arial" w:eastAsia="Arial" w:hAnsi="Arial"/>
          <w:sz w:val="22"/>
          <w:szCs w:val="22"/>
          <w:b w:val="1"/>
          <w:bCs w:val="1"/>
          <w:color w:val="auto"/>
        </w:rPr>
      </w:pPr>
      <w:r>
        <w:rPr>
          <w:rFonts w:ascii="Arial" w:cs="Arial" w:eastAsia="Arial" w:hAnsi="Arial"/>
          <w:sz w:val="22"/>
          <w:szCs w:val="22"/>
          <w:b w:val="1"/>
          <w:bCs w:val="1"/>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following table summarizes our debt balances and the related weighted average effective interest rates, which includes the effect of interest rate swap agreements.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2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06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1260" w:type="dxa"/>
            <w:vAlign w:val="bottom"/>
            <w:tcBorders>
              <w:right w:val="single" w:sz="8" w:color="ACACAC"/>
            </w:tcBorders>
            <w:shd w:val="clear" w:color="auto" w:fill="ACACAC"/>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shd w:val="clear" w:color="auto" w:fill="ACACAC"/>
          </w:tcPr>
          <w:p>
            <w:pPr>
              <w:spacing w:after="0"/>
              <w:rPr>
                <w:sz w:val="16"/>
                <w:szCs w:val="16"/>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Weighted average</w:t>
            </w:r>
          </w:p>
        </w:tc>
        <w:tc>
          <w:tcPr>
            <w:tcW w:w="20" w:type="dxa"/>
            <w:vAlign w:val="bottom"/>
            <w:shd w:val="clear" w:color="auto" w:fill="ACACAC"/>
          </w:tcPr>
          <w:p>
            <w:pPr>
              <w:spacing w:after="0"/>
              <w:rPr>
                <w:sz w:val="16"/>
                <w:szCs w:val="16"/>
                <w:color w:val="auto"/>
              </w:rPr>
            </w:pPr>
          </w:p>
        </w:tc>
      </w:tr>
      <w:tr>
        <w:trPr>
          <w:trHeight w:val="190"/>
        </w:trPr>
        <w:tc>
          <w:tcPr>
            <w:tcW w:w="4820" w:type="dxa"/>
            <w:vAlign w:val="bottom"/>
            <w:shd w:val="clear" w:color="auto" w:fill="ACACAC"/>
          </w:tcPr>
          <w:p>
            <w:pPr>
              <w:spacing w:after="0"/>
              <w:rPr>
                <w:sz w:val="16"/>
                <w:szCs w:val="16"/>
                <w:color w:val="auto"/>
              </w:rPr>
            </w:pPr>
          </w:p>
        </w:tc>
        <w:tc>
          <w:tcPr>
            <w:tcW w:w="440" w:type="dxa"/>
            <w:vAlign w:val="bottom"/>
            <w:shd w:val="clear" w:color="auto" w:fill="ACACAC"/>
          </w:tcPr>
          <w:p>
            <w:pPr>
              <w:spacing w:after="0"/>
              <w:rPr>
                <w:sz w:val="16"/>
                <w:szCs w:val="16"/>
                <w:color w:val="auto"/>
              </w:rPr>
            </w:pPr>
          </w:p>
        </w:tc>
        <w:tc>
          <w:tcPr>
            <w:tcW w:w="106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12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Debt balance at</w:t>
            </w:r>
          </w:p>
        </w:tc>
        <w:tc>
          <w:tcPr>
            <w:tcW w:w="80" w:type="dxa"/>
            <w:vAlign w:val="bottom"/>
          </w:tcPr>
          <w:p>
            <w:pPr>
              <w:spacing w:after="0"/>
              <w:rPr>
                <w:sz w:val="16"/>
                <w:szCs w:val="16"/>
                <w:color w:val="auto"/>
              </w:rPr>
            </w:pPr>
          </w:p>
        </w:tc>
        <w:tc>
          <w:tcPr>
            <w:tcW w:w="1640" w:type="dxa"/>
            <w:vAlign w:val="bottom"/>
            <w:shd w:val="clear" w:color="auto" w:fill="ACACAC"/>
          </w:tcPr>
          <w:p>
            <w:pPr>
              <w:spacing w:after="0"/>
              <w:rPr>
                <w:sz w:val="16"/>
                <w:szCs w:val="16"/>
                <w:color w:val="auto"/>
              </w:rPr>
            </w:pP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effective interest rate at</w:t>
            </w:r>
          </w:p>
        </w:tc>
        <w:tc>
          <w:tcPr>
            <w:tcW w:w="20" w:type="dxa"/>
            <w:vAlign w:val="bottom"/>
            <w:shd w:val="clear" w:color="auto" w:fill="ACACAC"/>
          </w:tcPr>
          <w:p>
            <w:pPr>
              <w:spacing w:after="0"/>
              <w:rPr>
                <w:sz w:val="16"/>
                <w:szCs w:val="16"/>
                <w:color w:val="auto"/>
              </w:rPr>
            </w:pPr>
          </w:p>
        </w:tc>
      </w:tr>
      <w:tr>
        <w:trPr>
          <w:trHeight w:val="201"/>
        </w:trPr>
        <w:tc>
          <w:tcPr>
            <w:tcW w:w="4820" w:type="dxa"/>
            <w:vAlign w:val="bottom"/>
            <w:shd w:val="clear" w:color="auto" w:fill="ACACAC"/>
          </w:tcPr>
          <w:p>
            <w:pPr>
              <w:spacing w:after="0"/>
              <w:rPr>
                <w:sz w:val="17"/>
                <w:szCs w:val="17"/>
                <w:color w:val="auto"/>
              </w:rPr>
            </w:pPr>
          </w:p>
        </w:tc>
        <w:tc>
          <w:tcPr>
            <w:tcW w:w="440" w:type="dxa"/>
            <w:vAlign w:val="bottom"/>
            <w:shd w:val="clear" w:color="auto" w:fill="ACACAC"/>
          </w:tcPr>
          <w:p>
            <w:pPr>
              <w:spacing w:after="0"/>
              <w:rPr>
                <w:sz w:val="17"/>
                <w:szCs w:val="17"/>
                <w:color w:val="auto"/>
              </w:rPr>
            </w:pPr>
          </w:p>
        </w:tc>
        <w:tc>
          <w:tcPr>
            <w:tcW w:w="10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80" w:type="dxa"/>
            <w:vAlign w:val="bottom"/>
            <w:shd w:val="clear" w:color="auto" w:fill="ACACAC"/>
          </w:tcPr>
          <w:p>
            <w:pPr>
              <w:spacing w:after="0"/>
              <w:rPr>
                <w:sz w:val="17"/>
                <w:szCs w:val="17"/>
                <w:color w:val="auto"/>
              </w:rPr>
            </w:pPr>
          </w:p>
        </w:tc>
        <w:tc>
          <w:tcPr>
            <w:tcW w:w="1260" w:type="dxa"/>
            <w:vAlign w:val="bottom"/>
            <w:tcBorders>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80" w:type="dxa"/>
            <w:vAlign w:val="bottom"/>
          </w:tcPr>
          <w:p>
            <w:pPr>
              <w:spacing w:after="0"/>
              <w:rPr>
                <w:sz w:val="17"/>
                <w:szCs w:val="17"/>
                <w:color w:val="auto"/>
              </w:rPr>
            </w:pP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7"/>
                <w:szCs w:val="17"/>
                <w:color w:val="auto"/>
              </w:rPr>
            </w:pPr>
          </w:p>
        </w:tc>
      </w:tr>
      <w:tr>
        <w:trPr>
          <w:trHeight w:val="196"/>
        </w:trPr>
        <w:tc>
          <w:tcPr>
            <w:tcW w:w="48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40" w:type="dxa"/>
            <w:vAlign w:val="bottom"/>
            <w:tcBorders>
              <w:bottom w:val="single" w:sz="8" w:color="ACACAC"/>
            </w:tcBorders>
            <w:shd w:val="clear" w:color="auto" w:fill="ACACAC"/>
          </w:tcPr>
          <w:p>
            <w:pPr>
              <w:spacing w:after="0"/>
              <w:rPr>
                <w:sz w:val="17"/>
                <w:szCs w:val="17"/>
                <w:color w:val="auto"/>
              </w:rPr>
            </w:pP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80" w:type="dxa"/>
            <w:vAlign w:val="bottom"/>
            <w:tcBorders>
              <w:bottom w:val="single" w:sz="8" w:color="ACACAC"/>
            </w:tcBorders>
            <w:shd w:val="clear" w:color="auto" w:fill="ACACAC"/>
          </w:tcPr>
          <w:p>
            <w:pPr>
              <w:spacing w:after="0"/>
              <w:rPr>
                <w:sz w:val="17"/>
                <w:szCs w:val="17"/>
                <w:color w:val="auto"/>
              </w:rPr>
            </w:pPr>
          </w:p>
        </w:tc>
        <w:tc>
          <w:tcPr>
            <w:tcW w:w="1260" w:type="dxa"/>
            <w:vAlign w:val="bottom"/>
            <w:tcBorders>
              <w:bottom w:val="single" w:sz="8" w:color="ACACAC"/>
              <w:right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80" w:type="dxa"/>
            <w:vAlign w:val="bottom"/>
            <w:tcBorders>
              <w:bottom w:val="single" w:sz="8" w:color="F4F4F4"/>
            </w:tcBorders>
          </w:tcPr>
          <w:p>
            <w:pPr>
              <w:spacing w:after="0"/>
              <w:rPr>
                <w:sz w:val="17"/>
                <w:szCs w:val="17"/>
                <w:color w:val="auto"/>
              </w:rPr>
            </w:pPr>
          </w:p>
        </w:tc>
        <w:tc>
          <w:tcPr>
            <w:tcW w:w="16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1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48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Credit facility:</w:t>
            </w:r>
          </w:p>
        </w:tc>
        <w:tc>
          <w:tcPr>
            <w:tcW w:w="4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right w:val="single" w:sz="8" w:color="F4F4F4"/>
            </w:tcBorders>
            <w:shd w:val="clear" w:color="auto" w:fill="F4F4F4"/>
          </w:tcPr>
          <w:p>
            <w:pPr>
              <w:spacing w:after="0"/>
              <w:rPr>
                <w:sz w:val="21"/>
                <w:szCs w:val="21"/>
                <w:color w:val="auto"/>
              </w:rPr>
            </w:pPr>
          </w:p>
        </w:tc>
        <w:tc>
          <w:tcPr>
            <w:tcW w:w="8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20" w:type="dxa"/>
            <w:vAlign w:val="bottom"/>
          </w:tcPr>
          <w:p>
            <w:pPr>
              <w:ind w:left="140"/>
              <w:spacing w:after="0"/>
              <w:rPr>
                <w:sz w:val="20"/>
                <w:szCs w:val="20"/>
                <w:color w:val="auto"/>
              </w:rPr>
            </w:pPr>
            <w:r>
              <w:rPr>
                <w:rFonts w:ascii="Arial" w:cs="Arial" w:eastAsia="Arial" w:hAnsi="Arial"/>
                <w:sz w:val="18"/>
                <w:szCs w:val="18"/>
                <w:color w:val="auto"/>
              </w:rPr>
              <w:t>Revolving credit loans</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290,000</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260,000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3.06 %</w:t>
            </w:r>
          </w:p>
        </w:tc>
        <w:tc>
          <w:tcPr>
            <w:tcW w:w="1660" w:type="dxa"/>
            <w:vAlign w:val="bottom"/>
          </w:tcPr>
          <w:p>
            <w:pPr>
              <w:jc w:val="right"/>
              <w:spacing w:after="0"/>
              <w:rPr>
                <w:sz w:val="20"/>
                <w:szCs w:val="20"/>
                <w:color w:val="auto"/>
              </w:rPr>
            </w:pPr>
            <w:r>
              <w:rPr>
                <w:rFonts w:ascii="Arial" w:cs="Arial" w:eastAsia="Arial" w:hAnsi="Arial"/>
                <w:sz w:val="18"/>
                <w:szCs w:val="18"/>
                <w:color w:val="auto"/>
              </w:rPr>
              <w:t>3.27 %</w:t>
            </w:r>
          </w:p>
        </w:tc>
        <w:tc>
          <w:tcPr>
            <w:tcW w:w="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Term loans</w:t>
            </w:r>
          </w:p>
        </w:tc>
        <w:tc>
          <w:tcPr>
            <w:tcW w:w="4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635,938</w:t>
            </w:r>
          </w:p>
        </w:tc>
        <w:tc>
          <w:tcPr>
            <w:tcW w:w="2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right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640,000</w:t>
            </w:r>
          </w:p>
        </w:tc>
        <w:tc>
          <w:tcPr>
            <w:tcW w:w="17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2.93 %</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3.02 %</w:t>
            </w:r>
          </w:p>
        </w:tc>
        <w:tc>
          <w:tcPr>
            <w:tcW w:w="20" w:type="dxa"/>
            <w:vAlign w:val="bottom"/>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Real estate loans</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59,177</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59,480</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5.22 %</w:t>
            </w:r>
          </w:p>
        </w:tc>
        <w:tc>
          <w:tcPr>
            <w:tcW w:w="1660" w:type="dxa"/>
            <w:vAlign w:val="bottom"/>
          </w:tcPr>
          <w:p>
            <w:pPr>
              <w:jc w:val="right"/>
              <w:spacing w:after="0"/>
              <w:rPr>
                <w:sz w:val="20"/>
                <w:szCs w:val="20"/>
                <w:color w:val="auto"/>
              </w:rPr>
            </w:pPr>
            <w:r>
              <w:rPr>
                <w:rFonts w:ascii="Arial" w:cs="Arial" w:eastAsia="Arial" w:hAnsi="Arial"/>
                <w:sz w:val="18"/>
                <w:szCs w:val="18"/>
                <w:color w:val="auto"/>
              </w:rPr>
              <w:t>5.22 %</w:t>
            </w:r>
          </w:p>
        </w:tc>
        <w:tc>
          <w:tcPr>
            <w:tcW w:w="2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48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debt</w:t>
            </w:r>
          </w:p>
        </w:tc>
        <w:tc>
          <w:tcPr>
            <w:tcW w:w="440" w:type="dxa"/>
            <w:vAlign w:val="bottom"/>
            <w:tcBorders>
              <w:bottom w:val="single" w:sz="8" w:color="F4F4F4"/>
            </w:tcBorders>
            <w:shd w:val="clear" w:color="auto" w:fill="F4F4F4"/>
          </w:tcPr>
          <w:p>
            <w:pPr>
              <w:spacing w:after="0"/>
              <w:rPr>
                <w:sz w:val="23"/>
                <w:szCs w:val="23"/>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537</w:t>
            </w:r>
          </w:p>
        </w:tc>
        <w:tc>
          <w:tcPr>
            <w:tcW w:w="280" w:type="dxa"/>
            <w:vAlign w:val="bottom"/>
            <w:tcBorders>
              <w:bottom w:val="single" w:sz="8" w:color="F4F4F4"/>
            </w:tcBorders>
            <w:shd w:val="clear" w:color="auto" w:fill="F4F4F4"/>
          </w:tcPr>
          <w:p>
            <w:pPr>
              <w:spacing w:after="0"/>
              <w:rPr>
                <w:sz w:val="23"/>
                <w:szCs w:val="23"/>
                <w:color w:val="auto"/>
              </w:rPr>
            </w:pPr>
          </w:p>
        </w:tc>
        <w:tc>
          <w:tcPr>
            <w:tcW w:w="1260" w:type="dxa"/>
            <w:vAlign w:val="bottom"/>
            <w:tcBorders>
              <w:bottom w:val="single" w:sz="8" w:color="F4F4F4"/>
              <w:right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1,694</w:t>
            </w:r>
          </w:p>
        </w:tc>
        <w:tc>
          <w:tcPr>
            <w:tcW w:w="17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5.00 %</w:t>
            </w:r>
          </w:p>
        </w:tc>
        <w:tc>
          <w:tcPr>
            <w:tcW w:w="20" w:type="dxa"/>
            <w:vAlign w:val="bottom"/>
          </w:tcPr>
          <w:p>
            <w:pPr>
              <w:spacing w:after="0"/>
              <w:rPr>
                <w:sz w:val="23"/>
                <w:szCs w:val="23"/>
                <w:color w:val="auto"/>
              </w:rPr>
            </w:pPr>
          </w:p>
        </w:tc>
      </w:tr>
      <w:tr>
        <w:trPr>
          <w:trHeight w:val="237"/>
        </w:trPr>
        <w:tc>
          <w:tcPr>
            <w:tcW w:w="482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4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985,652</w:t>
            </w: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961,174</w:t>
            </w:r>
          </w:p>
        </w:tc>
        <w:tc>
          <w:tcPr>
            <w:tcW w:w="80" w:type="dxa"/>
            <w:vAlign w:val="bottom"/>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3.11 %</w:t>
            </w: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3.23 %</w:t>
            </w:r>
          </w:p>
        </w:tc>
        <w:tc>
          <w:tcPr>
            <w:tcW w:w="20" w:type="dxa"/>
            <w:vAlign w:val="bottom"/>
          </w:tcPr>
          <w:p>
            <w:pPr>
              <w:spacing w:after="0"/>
              <w:rPr>
                <w:sz w:val="20"/>
                <w:szCs w:val="20"/>
                <w:color w:val="auto"/>
              </w:rPr>
            </w:pPr>
          </w:p>
        </w:tc>
      </w:tr>
      <w:tr>
        <w:trPr>
          <w:trHeight w:val="27"/>
        </w:trPr>
        <w:tc>
          <w:tcPr>
            <w:tcW w:w="4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8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Less: Unamortized discount and debt issuance costs</w:t>
            </w:r>
          </w:p>
        </w:tc>
        <w:tc>
          <w:tcPr>
            <w:tcW w:w="440" w:type="dxa"/>
            <w:vAlign w:val="bottom"/>
            <w:tcBorders>
              <w:bottom w:val="single" w:sz="8" w:color="F4F4F4"/>
            </w:tcBorders>
            <w:shd w:val="clear" w:color="auto" w:fill="F4F4F4"/>
          </w:tcPr>
          <w:p>
            <w:pPr>
              <w:spacing w:after="0"/>
              <w:rPr>
                <w:sz w:val="21"/>
                <w:szCs w:val="21"/>
                <w:color w:val="auto"/>
              </w:rPr>
            </w:pP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4,427</w:t>
            </w:r>
          </w:p>
        </w:tc>
        <w:tc>
          <w:tcPr>
            <w:tcW w:w="280" w:type="dxa"/>
            <w:vAlign w:val="bottom"/>
            <w:tcBorders>
              <w:bottom w:val="single" w:sz="8" w:color="F4F4F4"/>
            </w:tcBorders>
            <w:shd w:val="clear" w:color="auto" w:fill="F4F4F4"/>
          </w:tcPr>
          <w:p>
            <w:pPr>
              <w:spacing w:after="0"/>
              <w:rPr>
                <w:sz w:val="21"/>
                <w:szCs w:val="21"/>
                <w:color w:val="auto"/>
              </w:rPr>
            </w:pPr>
          </w:p>
        </w:tc>
        <w:tc>
          <w:tcPr>
            <w:tcW w:w="1260" w:type="dxa"/>
            <w:vAlign w:val="bottom"/>
            <w:tcBorders>
              <w:bottom w:val="single" w:sz="8" w:color="F4F4F4"/>
              <w:right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4,994</w:t>
            </w:r>
          </w:p>
        </w:tc>
        <w:tc>
          <w:tcPr>
            <w:tcW w:w="8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Less: Debt, current portion</w:t>
            </w:r>
          </w:p>
        </w:tc>
        <w:tc>
          <w:tcPr>
            <w:tcW w:w="4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18,116</w:t>
            </w:r>
          </w:p>
        </w:tc>
        <w:tc>
          <w:tcPr>
            <w:tcW w:w="28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18,697</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3.16 %</w:t>
            </w:r>
          </w:p>
        </w:tc>
        <w:tc>
          <w:tcPr>
            <w:tcW w:w="1660" w:type="dxa"/>
            <w:vAlign w:val="bottom"/>
          </w:tcPr>
          <w:p>
            <w:pPr>
              <w:jc w:val="right"/>
              <w:spacing w:after="0"/>
              <w:rPr>
                <w:sz w:val="20"/>
                <w:szCs w:val="20"/>
                <w:color w:val="auto"/>
              </w:rPr>
            </w:pPr>
            <w:r>
              <w:rPr>
                <w:rFonts w:ascii="Arial" w:cs="Arial" w:eastAsia="Arial" w:hAnsi="Arial"/>
                <w:sz w:val="18"/>
                <w:szCs w:val="18"/>
                <w:color w:val="auto"/>
              </w:rPr>
              <w:t>3.11 %</w:t>
            </w:r>
          </w:p>
        </w:tc>
        <w:tc>
          <w:tcPr>
            <w:tcW w:w="20" w:type="dxa"/>
            <w:vAlign w:val="bottom"/>
          </w:tcPr>
          <w:p>
            <w:pPr>
              <w:spacing w:after="0"/>
              <w:rPr>
                <w:sz w:val="21"/>
                <w:szCs w:val="21"/>
                <w:color w:val="auto"/>
              </w:rPr>
            </w:pPr>
          </w:p>
        </w:tc>
      </w:tr>
      <w:tr>
        <w:trPr>
          <w:trHeight w:val="27"/>
        </w:trPr>
        <w:tc>
          <w:tcPr>
            <w:tcW w:w="4820" w:type="dxa"/>
            <w:vAlign w:val="bottom"/>
            <w:tcBorders>
              <w:bottom w:val="single" w:sz="8" w:color="F4F4F4"/>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F4F4F4"/>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8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Debt, net of current portion</w:t>
            </w:r>
          </w:p>
        </w:tc>
        <w:tc>
          <w:tcPr>
            <w:tcW w:w="44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963,109</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F4F4F4"/>
              <w:right w:val="single" w:sz="8" w:color="F4F4F4"/>
            </w:tcBorders>
            <w:shd w:val="clear" w:color="auto" w:fill="F4F4F4"/>
          </w:tcPr>
          <w:p>
            <w:pPr>
              <w:jc w:val="right"/>
              <w:ind w:right="15"/>
              <w:spacing w:after="0"/>
              <w:rPr>
                <w:sz w:val="20"/>
                <w:szCs w:val="20"/>
                <w:color w:val="auto"/>
              </w:rPr>
            </w:pPr>
            <w:r>
              <w:rPr>
                <w:rFonts w:ascii="Arial" w:cs="Arial" w:eastAsia="Arial" w:hAnsi="Arial"/>
                <w:sz w:val="18"/>
                <w:szCs w:val="18"/>
                <w:color w:val="auto"/>
              </w:rPr>
              <w:t>937,483</w:t>
            </w:r>
          </w:p>
        </w:tc>
        <w:tc>
          <w:tcPr>
            <w:tcW w:w="1720" w:type="dxa"/>
            <w:vAlign w:val="bottom"/>
            <w:tcBorders>
              <w:bottom w:val="single" w:sz="8" w:color="F4F4F4"/>
            </w:tcBorders>
            <w:gridSpan w:val="2"/>
            <w:shd w:val="clear" w:color="auto" w:fill="F4F4F4"/>
          </w:tcPr>
          <w:p>
            <w:pPr>
              <w:jc w:val="right"/>
              <w:spacing w:after="0"/>
              <w:rPr>
                <w:sz w:val="20"/>
                <w:szCs w:val="20"/>
                <w:color w:val="auto"/>
              </w:rPr>
            </w:pPr>
            <w:r>
              <w:rPr>
                <w:rFonts w:ascii="Arial" w:cs="Arial" w:eastAsia="Arial" w:hAnsi="Arial"/>
                <w:sz w:val="18"/>
                <w:szCs w:val="18"/>
                <w:color w:val="auto"/>
              </w:rPr>
              <w:t>3.11 %</w:t>
            </w:r>
          </w:p>
        </w:tc>
        <w:tc>
          <w:tcPr>
            <w:tcW w:w="16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3.23 %</w:t>
            </w:r>
          </w:p>
        </w:tc>
        <w:tc>
          <w:tcPr>
            <w:tcW w:w="20" w:type="dxa"/>
            <w:vAlign w:val="bottom"/>
          </w:tcPr>
          <w:p>
            <w:pPr>
              <w:spacing w:after="0"/>
              <w:rPr>
                <w:sz w:val="21"/>
                <w:szCs w:val="21"/>
                <w:color w:val="auto"/>
              </w:rPr>
            </w:pPr>
          </w:p>
        </w:tc>
      </w:tr>
      <w:tr>
        <w:trPr>
          <w:trHeight w:val="20"/>
        </w:trPr>
        <w:tc>
          <w:tcPr>
            <w:tcW w:w="4820" w:type="dxa"/>
            <w:vAlign w:val="bottom"/>
            <w:shd w:val="clear" w:color="auto" w:fill="71BF43"/>
          </w:tcPr>
          <w:p>
            <w:pPr>
              <w:spacing w:after="0" w:line="20" w:lineRule="exact"/>
              <w:rPr>
                <w:sz w:val="1"/>
                <w:szCs w:val="1"/>
                <w:color w:val="auto"/>
              </w:rPr>
            </w:pPr>
          </w:p>
        </w:tc>
        <w:tc>
          <w:tcPr>
            <w:tcW w:w="440" w:type="dxa"/>
            <w:vAlign w:val="bottom"/>
            <w:shd w:val="clear" w:color="auto" w:fill="71BF43"/>
          </w:tcPr>
          <w:p>
            <w:pPr>
              <w:spacing w:after="0" w:line="20" w:lineRule="exact"/>
              <w:rPr>
                <w:sz w:val="1"/>
                <w:szCs w:val="1"/>
                <w:color w:val="auto"/>
              </w:rPr>
            </w:pPr>
          </w:p>
        </w:tc>
        <w:tc>
          <w:tcPr>
            <w:tcW w:w="1060" w:type="dxa"/>
            <w:vAlign w:val="bottom"/>
            <w:shd w:val="clear" w:color="auto" w:fill="71BF43"/>
          </w:tcPr>
          <w:p>
            <w:pPr>
              <w:spacing w:after="0" w:line="20" w:lineRule="exact"/>
              <w:rPr>
                <w:sz w:val="1"/>
                <w:szCs w:val="1"/>
                <w:color w:val="auto"/>
              </w:rPr>
            </w:pPr>
          </w:p>
        </w:tc>
        <w:tc>
          <w:tcPr>
            <w:tcW w:w="280" w:type="dxa"/>
            <w:vAlign w:val="bottom"/>
            <w:shd w:val="clear" w:color="auto" w:fill="71BF43"/>
          </w:tcPr>
          <w:p>
            <w:pPr>
              <w:spacing w:after="0" w:line="20" w:lineRule="exact"/>
              <w:rPr>
                <w:sz w:val="1"/>
                <w:szCs w:val="1"/>
                <w:color w:val="auto"/>
              </w:rPr>
            </w:pPr>
          </w:p>
        </w:tc>
        <w:tc>
          <w:tcPr>
            <w:tcW w:w="1260" w:type="dxa"/>
            <w:vAlign w:val="bottom"/>
            <w:tcBorders>
              <w:right w:val="single" w:sz="8" w:color="71BF43"/>
            </w:tcBorders>
            <w:shd w:val="clear" w:color="auto" w:fill="71BF43"/>
          </w:tcPr>
          <w:p>
            <w:pPr>
              <w:spacing w:after="0" w:line="20" w:lineRule="exact"/>
              <w:rPr>
                <w:sz w:val="1"/>
                <w:szCs w:val="1"/>
                <w:color w:val="auto"/>
              </w:rPr>
            </w:pPr>
          </w:p>
        </w:tc>
        <w:tc>
          <w:tcPr>
            <w:tcW w:w="80" w:type="dxa"/>
            <w:vAlign w:val="bottom"/>
            <w:shd w:val="clear" w:color="auto" w:fill="71BF43"/>
          </w:tcPr>
          <w:p>
            <w:pPr>
              <w:spacing w:after="0" w:line="20" w:lineRule="exact"/>
              <w:rPr>
                <w:sz w:val="1"/>
                <w:szCs w:val="1"/>
                <w:color w:val="auto"/>
              </w:rPr>
            </w:pPr>
          </w:p>
        </w:tc>
        <w:tc>
          <w:tcPr>
            <w:tcW w:w="1640" w:type="dxa"/>
            <w:vAlign w:val="bottom"/>
            <w:shd w:val="clear" w:color="auto" w:fill="71BF43"/>
          </w:tcPr>
          <w:p>
            <w:pPr>
              <w:spacing w:after="0" w:line="20" w:lineRule="exact"/>
              <w:rPr>
                <w:sz w:val="1"/>
                <w:szCs w:val="1"/>
                <w:color w:val="auto"/>
              </w:rPr>
            </w:pPr>
          </w:p>
        </w:tc>
        <w:tc>
          <w:tcPr>
            <w:tcW w:w="16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-1824990</wp:posOffset>
            </wp:positionV>
            <wp:extent cx="408876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088765"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2020 credit facility</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In October 2020, we entered into a five-year $900.0 million senior credit facility (the "2020 Credit Facility"). At March 31, 2022, we were in compliance with our debt covenants under the 2020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incremental term loan</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December 2021, we entered into the First Incremental Term Loan Agreement (the "Incremental Amendment"). The Incremental Amendment amended the 2020 Credit Facility and, among other things, provided for a $250.0 million incremental term loan (the “2021 Incremental Term Loan”).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for EVERFI acquisition</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On December 31, 2021, we acquired EVERFI for approximately $442.7 million in cash consideration and 3,811,348 shares of the company's common stock, valued at approximately $301.1 million, for an aggregate purchase price of approximately $743.8 million, subject to closing adjustments. We financed the cash consideration and related expenses through cash on hand and new borrowings under the 2020 Credit Facility, including $250.0 million under the 2021 Incremental Term Loan (as defined above).</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amendment to 2020 Credit Facility</w:t>
      </w:r>
    </w:p>
    <w:p>
      <w:pPr>
        <w:spacing w:after="0" w:line="193"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On January 31, 2022, we entered into the First Amendment to Credit Agreement (the “Amendment”). The Amendment amended the 2020 Credit Facility to, among other things, (i) modify the definition of “Applicable Margin”, (ii) modify the net leverage ratio financial covenant to require a net leverage ratio of (A) 4.00:1.00 or less for the fiscal quarter ended December 31, 2021 and for fiscal quarters ending thereafter through December 31, 2023 and (B) 3.75:1.00 or less for the fiscal quarters ending March 31, 2024 and thereafter, (iii) reset the $250.0 million fixed dollar basket with respect to the accordion feature and (iv) modify certain negative covenants to provide additional operational flexibility.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226695</wp:posOffset>
            </wp:positionV>
            <wp:extent cx="65976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loans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In August 2020, we completed the purchase of our global headquarters facility. As part of the purchase price, we assumed the seller’s obligations under two senior secured notes with a then-aggregate outstanding principal amount of $61.1 million (collectively, the “Real Estate Loans”). At March 31, 2022, we were in compliance with our debt covenants under the Real Estate Loans.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debt</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From time to time, we enter into third-party financing agreements for purchases of software and related services for our internal use. Generally, the agreements are non-interest-bearing notes requiring annual payments. Interest associated with the notes is imputed at the rate we would incur for amounts borrowed under our then-existing credit facility at the inception of the notes.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currently effective financing agreements as of March 31,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80" w:type="dxa"/>
            <w:vAlign w:val="bottom"/>
            <w:shd w:val="clear" w:color="auto" w:fill="ACACAC"/>
          </w:tcPr>
          <w:p>
            <w:pPr>
              <w:spacing w:after="0"/>
              <w:rPr>
                <w:sz w:val="16"/>
                <w:szCs w:val="16"/>
                <w:color w:val="auto"/>
              </w:rPr>
            </w:pPr>
          </w:p>
        </w:tc>
        <w:tc>
          <w:tcPr>
            <w:tcW w:w="15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Term</w:t>
            </w:r>
          </w:p>
        </w:tc>
        <w:tc>
          <w:tcPr>
            <w:tcW w:w="16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 of</w:t>
            </w:r>
          </w:p>
        </w:tc>
        <w:tc>
          <w:tcPr>
            <w:tcW w:w="16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First Annual</w:t>
            </w:r>
          </w:p>
        </w:tc>
        <w:tc>
          <w:tcPr>
            <w:tcW w:w="360" w:type="dxa"/>
            <w:vAlign w:val="bottom"/>
            <w:shd w:val="clear" w:color="auto" w:fill="ACACAC"/>
          </w:tcPr>
          <w:p>
            <w:pPr>
              <w:spacing w:after="0"/>
              <w:rPr>
                <w:sz w:val="16"/>
                <w:szCs w:val="16"/>
                <w:color w:val="auto"/>
              </w:rPr>
            </w:pPr>
          </w:p>
        </w:tc>
        <w:tc>
          <w:tcPr>
            <w:tcW w:w="11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Original Loan</w:t>
            </w:r>
          </w:p>
        </w:tc>
        <w:tc>
          <w:tcPr>
            <w:tcW w:w="20" w:type="dxa"/>
            <w:vAlign w:val="bottom"/>
            <w:shd w:val="clear" w:color="auto" w:fill="ACACAC"/>
          </w:tcPr>
          <w:p>
            <w:pPr>
              <w:spacing w:after="0"/>
              <w:rPr>
                <w:sz w:val="16"/>
                <w:szCs w:val="16"/>
                <w:color w:val="auto"/>
              </w:rPr>
            </w:pPr>
          </w:p>
        </w:tc>
      </w:tr>
      <w:tr>
        <w:trPr>
          <w:trHeight w:val="196"/>
        </w:trPr>
        <w:tc>
          <w:tcPr>
            <w:tcW w:w="48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15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in Months</w:t>
            </w:r>
          </w:p>
        </w:tc>
        <w:tc>
          <w:tcPr>
            <w:tcW w:w="16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Annual Payments</w:t>
            </w:r>
          </w:p>
        </w:tc>
        <w:tc>
          <w:tcPr>
            <w:tcW w:w="16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Payment Due</w:t>
            </w:r>
          </w:p>
        </w:tc>
        <w:tc>
          <w:tcPr>
            <w:tcW w:w="360" w:type="dxa"/>
            <w:vAlign w:val="bottom"/>
            <w:tcBorders>
              <w:bottom w:val="single" w:sz="8" w:color="ACACAC"/>
            </w:tcBorders>
            <w:shd w:val="clear" w:color="auto" w:fill="ACACAC"/>
          </w:tcPr>
          <w:p>
            <w:pPr>
              <w:spacing w:after="0"/>
              <w:rPr>
                <w:sz w:val="17"/>
                <w:szCs w:val="17"/>
                <w:color w:val="auto"/>
              </w:rPr>
            </w:pPr>
          </w:p>
        </w:tc>
        <w:tc>
          <w:tcPr>
            <w:tcW w:w="11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48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Effective dates of agreements:</w:t>
            </w:r>
          </w:p>
        </w:tc>
        <w:tc>
          <w:tcPr>
            <w:tcW w:w="1520" w:type="dxa"/>
            <w:vAlign w:val="bottom"/>
            <w:tcBorders>
              <w:bottom w:val="single" w:sz="8" w:color="F4F4F4"/>
            </w:tcBorders>
            <w:shd w:val="clear" w:color="auto" w:fill="F4F4F4"/>
          </w:tcPr>
          <w:p>
            <w:pPr>
              <w:spacing w:after="0"/>
              <w:rPr>
                <w:sz w:val="21"/>
                <w:szCs w:val="21"/>
                <w:color w:val="auto"/>
              </w:rPr>
            </w:pPr>
          </w:p>
        </w:tc>
        <w:tc>
          <w:tcPr>
            <w:tcW w:w="1660" w:type="dxa"/>
            <w:vAlign w:val="bottom"/>
            <w:tcBorders>
              <w:bottom w:val="single" w:sz="8" w:color="F4F4F4"/>
            </w:tcBorders>
            <w:shd w:val="clear" w:color="auto" w:fill="F4F4F4"/>
          </w:tcPr>
          <w:p>
            <w:pPr>
              <w:spacing w:after="0"/>
              <w:rPr>
                <w:sz w:val="21"/>
                <w:szCs w:val="21"/>
                <w:color w:val="auto"/>
              </w:rPr>
            </w:pPr>
          </w:p>
        </w:tc>
        <w:tc>
          <w:tcPr>
            <w:tcW w:w="164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1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880" w:type="dxa"/>
            <w:vAlign w:val="bottom"/>
          </w:tcPr>
          <w:p>
            <w:pPr>
              <w:ind w:left="140"/>
              <w:spacing w:after="0"/>
              <w:rPr>
                <w:sz w:val="20"/>
                <w:szCs w:val="20"/>
                <w:color w:val="auto"/>
              </w:rPr>
            </w:pPr>
            <w:r>
              <w:rPr>
                <w:rFonts w:ascii="Arial" w:cs="Arial" w:eastAsia="Arial" w:hAnsi="Arial"/>
                <w:sz w:val="18"/>
                <w:szCs w:val="18"/>
                <w:color w:val="auto"/>
              </w:rPr>
              <w:t>December 2019</w:t>
            </w:r>
          </w:p>
        </w:tc>
        <w:tc>
          <w:tcPr>
            <w:tcW w:w="1520" w:type="dxa"/>
            <w:vAlign w:val="bottom"/>
          </w:tcPr>
          <w:p>
            <w:pPr>
              <w:jc w:val="right"/>
              <w:spacing w:after="0"/>
              <w:rPr>
                <w:sz w:val="20"/>
                <w:szCs w:val="20"/>
                <w:color w:val="auto"/>
              </w:rPr>
            </w:pPr>
            <w:r>
              <w:rPr>
                <w:rFonts w:ascii="Arial" w:cs="Arial" w:eastAsia="Arial" w:hAnsi="Arial"/>
                <w:sz w:val="18"/>
                <w:szCs w:val="18"/>
                <w:color w:val="auto"/>
              </w:rPr>
              <w:t>51</w:t>
            </w:r>
          </w:p>
        </w:tc>
        <w:tc>
          <w:tcPr>
            <w:tcW w:w="1660" w:type="dxa"/>
            <w:vAlign w:val="bottom"/>
          </w:tcPr>
          <w:p>
            <w:pPr>
              <w:jc w:val="right"/>
              <w:ind w:right="2"/>
              <w:spacing w:after="0"/>
              <w:rPr>
                <w:sz w:val="20"/>
                <w:szCs w:val="20"/>
                <w:color w:val="auto"/>
              </w:rPr>
            </w:pPr>
            <w:r>
              <w:rPr>
                <w:rFonts w:ascii="Arial" w:cs="Arial" w:eastAsia="Arial" w:hAnsi="Arial"/>
                <w:sz w:val="18"/>
                <w:szCs w:val="18"/>
                <w:color w:val="auto"/>
              </w:rPr>
              <w:t>4</w:t>
            </w:r>
          </w:p>
        </w:tc>
        <w:tc>
          <w:tcPr>
            <w:tcW w:w="1640" w:type="dxa"/>
            <w:vAlign w:val="bottom"/>
          </w:tcPr>
          <w:p>
            <w:pPr>
              <w:jc w:val="right"/>
              <w:spacing w:after="0"/>
              <w:rPr>
                <w:sz w:val="20"/>
                <w:szCs w:val="20"/>
                <w:color w:val="auto"/>
              </w:rPr>
            </w:pPr>
            <w:r>
              <w:rPr>
                <w:rFonts w:ascii="Arial" w:cs="Arial" w:eastAsia="Arial" w:hAnsi="Arial"/>
                <w:sz w:val="18"/>
                <w:szCs w:val="18"/>
                <w:color w:val="auto"/>
              </w:rPr>
              <w:t>January 2020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2"/>
              <w:spacing w:after="0"/>
              <w:rPr>
                <w:sz w:val="20"/>
                <w:szCs w:val="20"/>
                <w:color w:val="auto"/>
              </w:rPr>
            </w:pPr>
            <w:r>
              <w:rPr>
                <w:rFonts w:ascii="Arial" w:cs="Arial" w:eastAsia="Arial" w:hAnsi="Arial"/>
                <w:sz w:val="18"/>
                <w:szCs w:val="18"/>
                <w:color w:val="auto"/>
              </w:rPr>
              <w:t>2,150</w:t>
            </w:r>
          </w:p>
        </w:tc>
        <w:tc>
          <w:tcPr>
            <w:tcW w:w="20" w:type="dxa"/>
            <w:vAlign w:val="bottom"/>
          </w:tcPr>
          <w:p>
            <w:pPr>
              <w:spacing w:after="0"/>
              <w:rPr>
                <w:sz w:val="21"/>
                <w:szCs w:val="21"/>
                <w:color w:val="auto"/>
              </w:rPr>
            </w:pPr>
          </w:p>
        </w:tc>
      </w:tr>
      <w:tr>
        <w:trPr>
          <w:trHeight w:val="27"/>
        </w:trPr>
        <w:tc>
          <w:tcPr>
            <w:tcW w:w="4880" w:type="dxa"/>
            <w:vAlign w:val="bottom"/>
            <w:tcBorders>
              <w:bottom w:val="single" w:sz="8" w:color="71BF43"/>
            </w:tcBorders>
          </w:tcPr>
          <w:p>
            <w:pPr>
              <w:spacing w:after="0"/>
              <w:rPr>
                <w:sz w:val="2"/>
                <w:szCs w:val="2"/>
                <w:color w:val="auto"/>
              </w:rPr>
            </w:pPr>
          </w:p>
        </w:tc>
        <w:tc>
          <w:tcPr>
            <w:tcW w:w="1520" w:type="dxa"/>
            <w:vAlign w:val="bottom"/>
            <w:tcBorders>
              <w:bottom w:val="single" w:sz="8" w:color="71BF43"/>
            </w:tcBorders>
          </w:tcPr>
          <w:p>
            <w:pPr>
              <w:spacing w:after="0"/>
              <w:rPr>
                <w:sz w:val="2"/>
                <w:szCs w:val="2"/>
                <w:color w:val="auto"/>
              </w:rPr>
            </w:pPr>
          </w:p>
        </w:tc>
        <w:tc>
          <w:tcPr>
            <w:tcW w:w="1660" w:type="dxa"/>
            <w:vAlign w:val="bottom"/>
            <w:tcBorders>
              <w:bottom w:val="single" w:sz="8" w:color="71BF43"/>
            </w:tcBorders>
          </w:tcPr>
          <w:p>
            <w:pPr>
              <w:spacing w:after="0"/>
              <w:rPr>
                <w:sz w:val="2"/>
                <w:szCs w:val="2"/>
                <w:color w:val="auto"/>
              </w:rPr>
            </w:pPr>
          </w:p>
        </w:tc>
        <w:tc>
          <w:tcPr>
            <w:tcW w:w="164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118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332"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9. Derivative 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hedges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generally use derivative instruments to manage our variable interest rate risk. We have entered into interest rate swap agreements, which effectively convert portions of our variable rate debt under the 2020 Credit Facility to a fixed rate for the term of the swap agreements. We designated each of the interest rate swap agreements as a cash flow hedge at the inception of the contracts.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terms and notional values of our derivative instruments were as follows as of March 31, 2022:</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560" w:type="dxa"/>
            <w:vAlign w:val="bottom"/>
            <w:shd w:val="clear" w:color="auto" w:fill="ACACAC"/>
          </w:tcPr>
          <w:p>
            <w:pPr>
              <w:spacing w:after="0"/>
              <w:rPr>
                <w:sz w:val="16"/>
                <w:szCs w:val="16"/>
                <w:color w:val="auto"/>
              </w:rPr>
            </w:pPr>
          </w:p>
        </w:tc>
        <w:tc>
          <w:tcPr>
            <w:tcW w:w="2080" w:type="dxa"/>
            <w:vAlign w:val="bottom"/>
            <w:shd w:val="clear" w:color="auto" w:fill="ACACAC"/>
          </w:tcPr>
          <w:p>
            <w:pPr>
              <w:spacing w:after="0"/>
              <w:rPr>
                <w:sz w:val="16"/>
                <w:szCs w:val="16"/>
                <w:color w:val="auto"/>
              </w:rPr>
            </w:pPr>
          </w:p>
        </w:tc>
        <w:tc>
          <w:tcPr>
            <w:tcW w:w="12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9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Notional</w:t>
            </w:r>
          </w:p>
        </w:tc>
        <w:tc>
          <w:tcPr>
            <w:tcW w:w="20" w:type="dxa"/>
            <w:vAlign w:val="bottom"/>
            <w:shd w:val="clear" w:color="auto" w:fill="ACACAC"/>
          </w:tcPr>
          <w:p>
            <w:pPr>
              <w:spacing w:after="0"/>
              <w:rPr>
                <w:sz w:val="16"/>
                <w:szCs w:val="16"/>
                <w:color w:val="auto"/>
              </w:rPr>
            </w:pPr>
          </w:p>
        </w:tc>
      </w:tr>
      <w:tr>
        <w:trPr>
          <w:trHeight w:val="196"/>
        </w:trPr>
        <w:tc>
          <w:tcPr>
            <w:tcW w:w="65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320" w:type="dxa"/>
            <w:vAlign w:val="bottom"/>
            <w:tcBorders>
              <w:bottom w:val="single" w:sz="8" w:color="ACACAC"/>
            </w:tcBorders>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Term of derivative instrument</w:t>
            </w:r>
          </w:p>
        </w:tc>
        <w:tc>
          <w:tcPr>
            <w:tcW w:w="380" w:type="dxa"/>
            <w:vAlign w:val="bottom"/>
            <w:tcBorders>
              <w:bottom w:val="single" w:sz="8" w:color="ACACAC"/>
            </w:tcBorders>
            <w:shd w:val="clear" w:color="auto" w:fill="ACACAC"/>
          </w:tcPr>
          <w:p>
            <w:pPr>
              <w:spacing w:after="0"/>
              <w:rPr>
                <w:sz w:val="17"/>
                <w:szCs w:val="17"/>
                <w:color w:val="auto"/>
              </w:rPr>
            </w:pPr>
          </w:p>
        </w:tc>
        <w:tc>
          <w:tcPr>
            <w:tcW w:w="9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value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65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208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November 2020</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November 2020</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60,000</w:t>
            </w: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June 2021</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21"/>
                <w:szCs w:val="21"/>
                <w:color w:val="auto"/>
              </w:rPr>
            </w:pPr>
          </w:p>
        </w:tc>
      </w:tr>
      <w:tr>
        <w:trPr>
          <w:trHeight w:val="27"/>
        </w:trPr>
        <w:tc>
          <w:tcPr>
            <w:tcW w:w="65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65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July 2021</w:t>
            </w:r>
          </w:p>
        </w:tc>
        <w:tc>
          <w:tcPr>
            <w:tcW w:w="12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Borders>
              <w:bottom w:val="single" w:sz="8" w:color="F4F4F4"/>
            </w:tcBorders>
            <w:shd w:val="clear" w:color="auto" w:fill="F4F4F4"/>
          </w:tcPr>
          <w:p>
            <w:pPr>
              <w:spacing w:after="0"/>
              <w:rPr>
                <w:sz w:val="21"/>
                <w:szCs w:val="21"/>
                <w:color w:val="auto"/>
              </w:rPr>
            </w:pP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120,000</w:t>
            </w:r>
          </w:p>
        </w:tc>
        <w:tc>
          <w:tcPr>
            <w:tcW w:w="20" w:type="dxa"/>
            <w:vAlign w:val="bottom"/>
          </w:tcPr>
          <w:p>
            <w:pPr>
              <w:spacing w:after="0"/>
              <w:rPr>
                <w:sz w:val="21"/>
                <w:szCs w:val="21"/>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Interest rate swap</w:t>
            </w:r>
          </w:p>
        </w:tc>
        <w:tc>
          <w:tcPr>
            <w:tcW w:w="2080" w:type="dxa"/>
            <w:vAlign w:val="bottom"/>
          </w:tcPr>
          <w:p>
            <w:pPr>
              <w:jc w:val="right"/>
              <w:spacing w:after="0"/>
              <w:rPr>
                <w:sz w:val="20"/>
                <w:szCs w:val="20"/>
                <w:color w:val="auto"/>
              </w:rPr>
            </w:pPr>
            <w:r>
              <w:rPr>
                <w:rFonts w:ascii="Arial" w:cs="Arial" w:eastAsia="Arial" w:hAnsi="Arial"/>
                <w:sz w:val="18"/>
                <w:szCs w:val="18"/>
                <w:color w:val="auto"/>
              </w:rPr>
              <w:t>July 2021</w:t>
            </w:r>
          </w:p>
        </w:tc>
        <w:tc>
          <w:tcPr>
            <w:tcW w:w="1240" w:type="dxa"/>
            <w:vAlign w:val="bottom"/>
          </w:tcPr>
          <w:p>
            <w:pPr>
              <w:jc w:val="right"/>
              <w:spacing w:after="0"/>
              <w:rPr>
                <w:sz w:val="20"/>
                <w:szCs w:val="20"/>
                <w:color w:val="auto"/>
              </w:rPr>
            </w:pPr>
            <w:r>
              <w:rPr>
                <w:rFonts w:ascii="Arial" w:cs="Arial" w:eastAsia="Arial" w:hAnsi="Arial"/>
                <w:sz w:val="18"/>
                <w:szCs w:val="18"/>
                <w:color w:val="auto"/>
              </w:rPr>
              <w:t>- October 2024</w:t>
            </w:r>
          </w:p>
        </w:tc>
        <w:tc>
          <w:tcPr>
            <w:tcW w:w="3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75,000</w:t>
            </w:r>
          </w:p>
        </w:tc>
        <w:tc>
          <w:tcPr>
            <w:tcW w:w="20" w:type="dxa"/>
            <w:vAlign w:val="bottom"/>
          </w:tcPr>
          <w:p>
            <w:pPr>
              <w:spacing w:after="0"/>
              <w:rPr>
                <w:sz w:val="21"/>
                <w:szCs w:val="21"/>
                <w:color w:val="auto"/>
              </w:rPr>
            </w:pPr>
          </w:p>
        </w:tc>
      </w:tr>
      <w:tr>
        <w:trPr>
          <w:trHeight w:val="27"/>
        </w:trPr>
        <w:tc>
          <w:tcPr>
            <w:tcW w:w="6560" w:type="dxa"/>
            <w:vAlign w:val="bottom"/>
            <w:tcBorders>
              <w:bottom w:val="single" w:sz="8" w:color="F4F4F4"/>
            </w:tcBorders>
          </w:tcPr>
          <w:p>
            <w:pPr>
              <w:spacing w:after="0"/>
              <w:rPr>
                <w:sz w:val="2"/>
                <w:szCs w:val="2"/>
                <w:color w:val="auto"/>
              </w:rPr>
            </w:pPr>
          </w:p>
        </w:tc>
        <w:tc>
          <w:tcPr>
            <w:tcW w:w="2080" w:type="dxa"/>
            <w:vAlign w:val="bottom"/>
            <w:tcBorders>
              <w:bottom w:val="single" w:sz="8" w:color="F4F4F4"/>
            </w:tcBorders>
          </w:tcPr>
          <w:p>
            <w:pPr>
              <w:spacing w:after="0"/>
              <w:rPr>
                <w:sz w:val="2"/>
                <w:szCs w:val="2"/>
                <w:color w:val="auto"/>
              </w:rPr>
            </w:pPr>
          </w:p>
        </w:tc>
        <w:tc>
          <w:tcPr>
            <w:tcW w:w="12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6560" w:type="dxa"/>
            <w:vAlign w:val="bottom"/>
            <w:tcBorders>
              <w:bottom w:val="single" w:sz="8" w:color="F4F4F4"/>
            </w:tcBorders>
            <w:shd w:val="clear" w:color="auto" w:fill="F4F4F4"/>
          </w:tcPr>
          <w:p>
            <w:pPr>
              <w:spacing w:after="0"/>
              <w:rPr>
                <w:sz w:val="21"/>
                <w:szCs w:val="21"/>
                <w:color w:val="auto"/>
              </w:rPr>
            </w:pPr>
          </w:p>
        </w:tc>
        <w:tc>
          <w:tcPr>
            <w:tcW w:w="2080" w:type="dxa"/>
            <w:vAlign w:val="bottom"/>
            <w:tcBorders>
              <w:bottom w:val="single" w:sz="8" w:color="F4F4F4"/>
            </w:tcBorders>
            <w:shd w:val="clear" w:color="auto" w:fill="F4F4F4"/>
          </w:tcPr>
          <w:p>
            <w:pPr>
              <w:spacing w:after="0"/>
              <w:rPr>
                <w:sz w:val="21"/>
                <w:szCs w:val="21"/>
                <w:color w:val="auto"/>
              </w:rPr>
            </w:pPr>
          </w:p>
        </w:tc>
        <w:tc>
          <w:tcPr>
            <w:tcW w:w="124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435,000</w:t>
            </w:r>
          </w:p>
        </w:tc>
        <w:tc>
          <w:tcPr>
            <w:tcW w:w="20" w:type="dxa"/>
            <w:vAlign w:val="bottom"/>
          </w:tcPr>
          <w:p>
            <w:pPr>
              <w:spacing w:after="0"/>
              <w:rPr>
                <w:sz w:val="21"/>
                <w:szCs w:val="21"/>
                <w:color w:val="auto"/>
              </w:rPr>
            </w:pPr>
          </w:p>
        </w:tc>
      </w:tr>
      <w:tr>
        <w:trPr>
          <w:trHeight w:val="20"/>
        </w:trPr>
        <w:tc>
          <w:tcPr>
            <w:tcW w:w="6560" w:type="dxa"/>
            <w:vAlign w:val="bottom"/>
            <w:shd w:val="clear" w:color="auto" w:fill="71BF43"/>
          </w:tcPr>
          <w:p>
            <w:pPr>
              <w:spacing w:after="0" w:line="20" w:lineRule="exact"/>
              <w:rPr>
                <w:sz w:val="1"/>
                <w:szCs w:val="1"/>
                <w:color w:val="auto"/>
              </w:rPr>
            </w:pPr>
          </w:p>
        </w:tc>
        <w:tc>
          <w:tcPr>
            <w:tcW w:w="208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98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our derivative instruments were as follows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600" w:type="dxa"/>
            <w:vAlign w:val="bottom"/>
            <w:shd w:val="clear" w:color="auto" w:fill="ACACAC"/>
          </w:tcPr>
          <w:p>
            <w:pPr>
              <w:spacing w:after="0"/>
              <w:rPr>
                <w:sz w:val="18"/>
                <w:szCs w:val="18"/>
                <w:color w:val="auto"/>
              </w:rPr>
            </w:pPr>
          </w:p>
        </w:tc>
        <w:tc>
          <w:tcPr>
            <w:tcW w:w="5080" w:type="dxa"/>
            <w:vAlign w:val="bottom"/>
            <w:shd w:val="clear" w:color="auto" w:fill="ACACAC"/>
          </w:tcPr>
          <w:p>
            <w:pPr>
              <w:spacing w:after="0"/>
              <w:rPr>
                <w:sz w:val="18"/>
                <w:szCs w:val="18"/>
                <w:color w:val="auto"/>
              </w:rPr>
            </w:pPr>
          </w:p>
        </w:tc>
        <w:tc>
          <w:tcPr>
            <w:tcW w:w="1860" w:type="dxa"/>
            <w:vAlign w:val="bottom"/>
            <w:shd w:val="clear" w:color="auto" w:fill="ACACAC"/>
          </w:tcPr>
          <w:p>
            <w:pPr>
              <w:spacing w:after="0"/>
              <w:rPr>
                <w:sz w:val="18"/>
                <w:szCs w:val="18"/>
                <w:color w:val="auto"/>
              </w:rPr>
            </w:pPr>
          </w:p>
        </w:tc>
        <w:tc>
          <w:tcPr>
            <w:tcW w:w="400" w:type="dxa"/>
            <w:vAlign w:val="bottom"/>
            <w:shd w:val="clear" w:color="auto" w:fill="ACACAC"/>
          </w:tcPr>
          <w:p>
            <w:pPr>
              <w:spacing w:after="0"/>
              <w:rPr>
                <w:sz w:val="18"/>
                <w:szCs w:val="18"/>
                <w:color w:val="auto"/>
              </w:rPr>
            </w:pPr>
          </w:p>
        </w:tc>
        <w:tc>
          <w:tcPr>
            <w:tcW w:w="2300" w:type="dxa"/>
            <w:vAlign w:val="bottom"/>
            <w:gridSpan w:val="3"/>
            <w:shd w:val="clear" w:color="auto" w:fill="ACACAC"/>
          </w:tcPr>
          <w:p>
            <w:pPr>
              <w:jc w:val="right"/>
              <w:ind w:right="679"/>
              <w:spacing w:after="0"/>
              <w:rPr>
                <w:sz w:val="20"/>
                <w:szCs w:val="20"/>
                <w:color w:val="auto"/>
              </w:rPr>
            </w:pPr>
            <w:r>
              <w:rPr>
                <w:rFonts w:ascii="Arial" w:cs="Arial" w:eastAsia="Arial" w:hAnsi="Arial"/>
                <w:sz w:val="14"/>
                <w:szCs w:val="14"/>
                <w:b w:val="1"/>
                <w:bCs w:val="1"/>
                <w:color w:val="FFFFFF"/>
              </w:rPr>
              <w:t>Asset derivatives</w:t>
            </w:r>
          </w:p>
        </w:tc>
        <w:tc>
          <w:tcPr>
            <w:tcW w:w="20" w:type="dxa"/>
            <w:vAlign w:val="bottom"/>
            <w:shd w:val="clear" w:color="auto" w:fill="ACACAC"/>
          </w:tcPr>
          <w:p>
            <w:pPr>
              <w:spacing w:after="0"/>
              <w:rPr>
                <w:sz w:val="18"/>
                <w:szCs w:val="18"/>
                <w:color w:val="auto"/>
              </w:rPr>
            </w:pPr>
          </w:p>
        </w:tc>
      </w:tr>
      <w:tr>
        <w:trPr>
          <w:trHeight w:val="201"/>
        </w:trPr>
        <w:tc>
          <w:tcPr>
            <w:tcW w:w="1600" w:type="dxa"/>
            <w:vAlign w:val="bottom"/>
            <w:shd w:val="clear" w:color="auto" w:fill="ACACAC"/>
          </w:tcPr>
          <w:p>
            <w:pPr>
              <w:spacing w:after="0"/>
              <w:rPr>
                <w:sz w:val="17"/>
                <w:szCs w:val="17"/>
                <w:color w:val="auto"/>
              </w:rPr>
            </w:pPr>
          </w:p>
        </w:tc>
        <w:tc>
          <w:tcPr>
            <w:tcW w:w="5080" w:type="dxa"/>
            <w:vAlign w:val="bottom"/>
            <w:shd w:val="clear" w:color="auto" w:fill="ACACAC"/>
          </w:tcPr>
          <w:p>
            <w:pPr>
              <w:spacing w:after="0"/>
              <w:rPr>
                <w:sz w:val="17"/>
                <w:szCs w:val="17"/>
                <w:color w:val="auto"/>
              </w:rPr>
            </w:pPr>
          </w:p>
        </w:tc>
        <w:tc>
          <w:tcPr>
            <w:tcW w:w="1860" w:type="dxa"/>
            <w:vAlign w:val="bottom"/>
            <w:shd w:val="clear" w:color="auto" w:fill="ACACAC"/>
          </w:tcPr>
          <w:p>
            <w:pPr>
              <w:spacing w:after="0"/>
              <w:rPr>
                <w:sz w:val="17"/>
                <w:szCs w:val="17"/>
                <w:color w:val="auto"/>
              </w:rPr>
            </w:pPr>
          </w:p>
        </w:tc>
        <w:tc>
          <w:tcPr>
            <w:tcW w:w="400" w:type="dxa"/>
            <w:vAlign w:val="bottom"/>
            <w:shd w:val="clear" w:color="auto" w:fill="ACACAC"/>
          </w:tcPr>
          <w:p>
            <w:pPr>
              <w:spacing w:after="0"/>
              <w:rPr>
                <w:sz w:val="17"/>
                <w:szCs w:val="17"/>
                <w:color w:val="auto"/>
              </w:rPr>
            </w:pPr>
          </w:p>
        </w:tc>
        <w:tc>
          <w:tcPr>
            <w:tcW w:w="940" w:type="dxa"/>
            <w:vAlign w:val="bottom"/>
            <w:shd w:val="clear" w:color="auto" w:fill="ACACAC"/>
          </w:tcPr>
          <w:p>
            <w:pPr>
              <w:jc w:val="center"/>
              <w:ind w:left="181"/>
              <w:spacing w:after="0"/>
              <w:rPr>
                <w:sz w:val="20"/>
                <w:szCs w:val="20"/>
                <w:color w:val="auto"/>
              </w:rPr>
            </w:pPr>
            <w:r>
              <w:rPr>
                <w:rFonts w:ascii="Arial" w:cs="Arial" w:eastAsia="Arial" w:hAnsi="Arial"/>
                <w:sz w:val="14"/>
                <w:szCs w:val="14"/>
                <w:b w:val="1"/>
                <w:bCs w:val="1"/>
                <w:color w:val="FFFFFF"/>
              </w:rPr>
              <w:t>March 31,</w:t>
            </w:r>
          </w:p>
        </w:tc>
        <w:tc>
          <w:tcPr>
            <w:tcW w:w="260" w:type="dxa"/>
            <w:vAlign w:val="bottom"/>
            <w:shd w:val="clear" w:color="auto" w:fill="ACACAC"/>
          </w:tcPr>
          <w:p>
            <w:pPr>
              <w:spacing w:after="0"/>
              <w:rPr>
                <w:sz w:val="17"/>
                <w:szCs w:val="17"/>
                <w:color w:val="auto"/>
              </w:rPr>
            </w:pPr>
          </w:p>
        </w:tc>
        <w:tc>
          <w:tcPr>
            <w:tcW w:w="110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7"/>
                <w:szCs w:val="17"/>
                <w:color w:val="auto"/>
              </w:rPr>
            </w:pPr>
          </w:p>
        </w:tc>
      </w:tr>
      <w:tr>
        <w:trPr>
          <w:trHeight w:val="196"/>
        </w:trPr>
        <w:tc>
          <w:tcPr>
            <w:tcW w:w="16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5080" w:type="dxa"/>
            <w:vAlign w:val="bottom"/>
            <w:tcBorders>
              <w:bottom w:val="single" w:sz="8" w:color="ACACAC"/>
            </w:tcBorders>
            <w:shd w:val="clear" w:color="auto" w:fill="ACACAC"/>
          </w:tcPr>
          <w:p>
            <w:pPr>
              <w:spacing w:after="0"/>
              <w:rPr>
                <w:sz w:val="17"/>
                <w:szCs w:val="17"/>
                <w:color w:val="auto"/>
              </w:rPr>
            </w:pPr>
          </w:p>
        </w:tc>
        <w:tc>
          <w:tcPr>
            <w:tcW w:w="1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Balance sheet location</w:t>
            </w:r>
          </w:p>
        </w:tc>
        <w:tc>
          <w:tcPr>
            <w:tcW w:w="400" w:type="dxa"/>
            <w:vAlign w:val="bottom"/>
            <w:tcBorders>
              <w:bottom w:val="single" w:sz="8" w:color="ACACAC"/>
            </w:tcBorders>
            <w:shd w:val="clear" w:color="auto" w:fill="ACACAC"/>
          </w:tcPr>
          <w:p>
            <w:pPr>
              <w:spacing w:after="0"/>
              <w:rPr>
                <w:sz w:val="17"/>
                <w:szCs w:val="17"/>
                <w:color w:val="auto"/>
              </w:rPr>
            </w:pPr>
          </w:p>
        </w:tc>
        <w:tc>
          <w:tcPr>
            <w:tcW w:w="9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60" w:type="dxa"/>
            <w:vAlign w:val="bottom"/>
            <w:tcBorders>
              <w:bottom w:val="single" w:sz="8" w:color="ACACAC"/>
            </w:tcBorders>
            <w:shd w:val="clear" w:color="auto" w:fill="ACACAC"/>
          </w:tcPr>
          <w:p>
            <w:pPr>
              <w:spacing w:after="0"/>
              <w:rPr>
                <w:sz w:val="17"/>
                <w:szCs w:val="17"/>
                <w:color w:val="auto"/>
              </w:rPr>
            </w:pPr>
          </w:p>
        </w:tc>
        <w:tc>
          <w:tcPr>
            <w:tcW w:w="11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6680" w:type="dxa"/>
            <w:vAlign w:val="bottom"/>
            <w:tcBorders>
              <w:bottom w:val="single" w:sz="8" w:color="F4F4F4"/>
            </w:tcBorders>
            <w:gridSpan w:val="2"/>
            <w:shd w:val="clear" w:color="auto" w:fill="F4F4F4"/>
          </w:tcPr>
          <w:p>
            <w:pPr>
              <w:ind w:left="20"/>
              <w:spacing w:after="0"/>
              <w:rPr>
                <w:sz w:val="20"/>
                <w:szCs w:val="20"/>
                <w:color w:val="auto"/>
              </w:rPr>
            </w:pPr>
            <w:r>
              <w:rPr>
                <w:rFonts w:ascii="Arial" w:cs="Arial" w:eastAsia="Arial" w:hAnsi="Arial"/>
                <w:sz w:val="18"/>
                <w:szCs w:val="18"/>
                <w:b w:val="1"/>
                <w:bCs w:val="1"/>
                <w:color w:val="auto"/>
              </w:rPr>
              <w:t>Derivative instruments designated as hedging instruments:</w:t>
            </w:r>
          </w:p>
        </w:tc>
        <w:tc>
          <w:tcPr>
            <w:tcW w:w="1860" w:type="dxa"/>
            <w:vAlign w:val="bottom"/>
            <w:tcBorders>
              <w:bottom w:val="single" w:sz="8" w:color="F4F4F4"/>
            </w:tcBorders>
            <w:shd w:val="clear" w:color="auto" w:fill="F4F4F4"/>
          </w:tcPr>
          <w:p>
            <w:pPr>
              <w:spacing w:after="0"/>
              <w:rPr>
                <w:sz w:val="21"/>
                <w:szCs w:val="21"/>
                <w:color w:val="auto"/>
              </w:rPr>
            </w:pPr>
          </w:p>
        </w:tc>
        <w:tc>
          <w:tcPr>
            <w:tcW w:w="40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26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97"/>
        </w:trPr>
        <w:tc>
          <w:tcPr>
            <w:tcW w:w="6680" w:type="dxa"/>
            <w:vAlign w:val="bottom"/>
            <w:gridSpan w:val="2"/>
          </w:tcPr>
          <w:p>
            <w:pPr>
              <w:ind w:left="140"/>
              <w:spacing w:after="0"/>
              <w:rPr>
                <w:sz w:val="20"/>
                <w:szCs w:val="20"/>
                <w:color w:val="auto"/>
              </w:rPr>
            </w:pPr>
            <w:r>
              <w:rPr>
                <w:rFonts w:ascii="Arial" w:cs="Arial" w:eastAsia="Arial" w:hAnsi="Arial"/>
                <w:sz w:val="18"/>
                <w:szCs w:val="18"/>
                <w:color w:val="auto"/>
              </w:rPr>
              <w:t>Interest rate swaps, long-term</w:t>
            </w:r>
          </w:p>
        </w:tc>
        <w:tc>
          <w:tcPr>
            <w:tcW w:w="2260" w:type="dxa"/>
            <w:vAlign w:val="bottom"/>
            <w:gridSpan w:val="2"/>
          </w:tcPr>
          <w:p>
            <w:pPr>
              <w:jc w:val="right"/>
              <w:ind w:right="420"/>
              <w:spacing w:after="0"/>
              <w:rPr>
                <w:sz w:val="20"/>
                <w:szCs w:val="20"/>
                <w:color w:val="auto"/>
              </w:rPr>
            </w:pPr>
            <w:r>
              <w:rPr>
                <w:rFonts w:ascii="Arial" w:cs="Arial" w:eastAsia="Arial" w:hAnsi="Arial"/>
                <w:sz w:val="18"/>
                <w:szCs w:val="18"/>
                <w:color w:val="auto"/>
              </w:rPr>
              <w:t>Other assets</w:t>
            </w:r>
          </w:p>
        </w:tc>
        <w:tc>
          <w:tcPr>
            <w:tcW w:w="940" w:type="dxa"/>
            <w:vAlign w:val="bottom"/>
          </w:tcPr>
          <w:p>
            <w:pPr>
              <w:jc w:val="center"/>
              <w:ind w:left="181"/>
              <w:spacing w:after="0"/>
              <w:rPr>
                <w:sz w:val="20"/>
                <w:szCs w:val="20"/>
                <w:color w:val="auto"/>
              </w:rPr>
            </w:pPr>
            <w:r>
              <w:rPr>
                <w:rFonts w:ascii="Arial" w:cs="Arial" w:eastAsia="Arial" w:hAnsi="Arial"/>
                <w:sz w:val="18"/>
                <w:szCs w:val="18"/>
                <w:color w:val="auto"/>
              </w:rPr>
              <w:t>21,947</w:t>
            </w:r>
          </w:p>
        </w:tc>
        <w:tc>
          <w:tcPr>
            <w:tcW w:w="2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7,160</w:t>
            </w:r>
          </w:p>
        </w:tc>
        <w:tc>
          <w:tcPr>
            <w:tcW w:w="20" w:type="dxa"/>
            <w:vAlign w:val="bottom"/>
          </w:tcPr>
          <w:p>
            <w:pPr>
              <w:spacing w:after="0"/>
              <w:rPr>
                <w:sz w:val="24"/>
                <w:szCs w:val="24"/>
                <w:color w:val="auto"/>
              </w:rPr>
            </w:pPr>
          </w:p>
        </w:tc>
      </w:tr>
      <w:tr>
        <w:trPr>
          <w:trHeight w:val="27"/>
        </w:trPr>
        <w:tc>
          <w:tcPr>
            <w:tcW w:w="6680" w:type="dxa"/>
            <w:vAlign w:val="bottom"/>
            <w:tcBorders>
              <w:bottom w:val="single" w:sz="8" w:color="F4F4F4"/>
            </w:tcBorders>
            <w:gridSpan w:val="2"/>
          </w:tcPr>
          <w:p>
            <w:pPr>
              <w:spacing w:after="0"/>
              <w:rPr>
                <w:sz w:val="2"/>
                <w:szCs w:val="2"/>
                <w:color w:val="auto"/>
              </w:rPr>
            </w:pPr>
          </w:p>
        </w:tc>
        <w:tc>
          <w:tcPr>
            <w:tcW w:w="1860" w:type="dxa"/>
            <w:vAlign w:val="bottom"/>
            <w:tcBorders>
              <w:bottom w:val="single" w:sz="8" w:color="F4F4F4"/>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9"/>
        </w:trPr>
        <w:tc>
          <w:tcPr>
            <w:tcW w:w="6680" w:type="dxa"/>
            <w:vAlign w:val="bottom"/>
            <w:tcBorders>
              <w:bottom w:val="single" w:sz="8" w:color="F4F4F4"/>
            </w:tcBorders>
            <w:gridSpan w:val="2"/>
            <w:shd w:val="clear" w:color="auto" w:fill="F4F4F4"/>
          </w:tcPr>
          <w:p>
            <w:pPr>
              <w:ind w:left="20"/>
              <w:spacing w:after="0"/>
              <w:rPr>
                <w:sz w:val="20"/>
                <w:szCs w:val="20"/>
                <w:color w:val="auto"/>
              </w:rPr>
            </w:pPr>
            <w:r>
              <w:rPr>
                <w:rFonts w:ascii="Arial" w:cs="Arial" w:eastAsia="Arial" w:hAnsi="Arial"/>
                <w:sz w:val="18"/>
                <w:szCs w:val="18"/>
                <w:b w:val="1"/>
                <w:bCs w:val="1"/>
                <w:color w:val="auto"/>
              </w:rPr>
              <w:t>Total derivative instruments designated as hedging instruments</w:t>
            </w:r>
          </w:p>
        </w:tc>
        <w:tc>
          <w:tcPr>
            <w:tcW w:w="2260" w:type="dxa"/>
            <w:vAlign w:val="bottom"/>
            <w:tcBorders>
              <w:bottom w:val="single" w:sz="8" w:color="F4F4F4"/>
            </w:tcBorders>
            <w:gridSpan w:val="2"/>
            <w:shd w:val="clear" w:color="auto" w:fill="F4F4F4"/>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F4F4F4"/>
            </w:tcBorders>
            <w:shd w:val="clear" w:color="auto" w:fill="F4F4F4"/>
          </w:tcPr>
          <w:p>
            <w:pPr>
              <w:jc w:val="center"/>
              <w:ind w:left="181"/>
              <w:spacing w:after="0"/>
              <w:rPr>
                <w:sz w:val="20"/>
                <w:szCs w:val="20"/>
                <w:color w:val="auto"/>
              </w:rPr>
            </w:pPr>
            <w:r>
              <w:rPr>
                <w:rFonts w:ascii="Arial" w:cs="Arial" w:eastAsia="Arial" w:hAnsi="Arial"/>
                <w:sz w:val="18"/>
                <w:szCs w:val="18"/>
                <w:color w:val="auto"/>
              </w:rPr>
              <w:t>21,947</w:t>
            </w:r>
          </w:p>
        </w:tc>
        <w:tc>
          <w:tcPr>
            <w:tcW w:w="260" w:type="dxa"/>
            <w:vAlign w:val="bottom"/>
            <w:tcBorders>
              <w:bottom w:val="single" w:sz="8" w:color="F4F4F4"/>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7,160</w:t>
            </w:r>
          </w:p>
        </w:tc>
        <w:tc>
          <w:tcPr>
            <w:tcW w:w="20" w:type="dxa"/>
            <w:vAlign w:val="bottom"/>
          </w:tcPr>
          <w:p>
            <w:pPr>
              <w:spacing w:after="0"/>
              <w:rPr>
                <w:sz w:val="22"/>
                <w:szCs w:val="22"/>
                <w:color w:val="auto"/>
              </w:rPr>
            </w:pPr>
          </w:p>
        </w:tc>
      </w:tr>
      <w:tr>
        <w:trPr>
          <w:trHeight w:val="670"/>
        </w:trPr>
        <w:tc>
          <w:tcPr>
            <w:tcW w:w="1600" w:type="dxa"/>
            <w:vAlign w:val="bottom"/>
            <w:tcBorders>
              <w:top w:val="single" w:sz="8" w:color="71BF43"/>
            </w:tcBorders>
          </w:tcPr>
          <w:p>
            <w:pPr>
              <w:ind w:left="20"/>
              <w:spacing w:after="0"/>
              <w:rPr>
                <w:sz w:val="20"/>
                <w:szCs w:val="20"/>
                <w:color w:val="auto"/>
              </w:rPr>
            </w:pPr>
            <w:r>
              <w:rPr>
                <w:rFonts w:ascii="Arial" w:cs="Arial" w:eastAsia="Arial" w:hAnsi="Arial"/>
                <w:sz w:val="14"/>
                <w:szCs w:val="14"/>
                <w:color w:val="auto"/>
              </w:rPr>
              <w:t>14</w:t>
            </w:r>
          </w:p>
        </w:tc>
        <w:tc>
          <w:tcPr>
            <w:tcW w:w="5080" w:type="dxa"/>
            <w:vAlign w:val="bottom"/>
            <w:tcBorders>
              <w:top w:val="single" w:sz="8" w:color="71BF43"/>
            </w:tcBorders>
          </w:tcPr>
          <w:p>
            <w:pPr>
              <w:ind w:left="40"/>
              <w:spacing w:after="0"/>
              <w:rPr>
                <w:sz w:val="20"/>
                <w:szCs w:val="20"/>
                <w:color w:val="auto"/>
              </w:rPr>
            </w:pPr>
            <w:r>
              <w:rPr>
                <w:rFonts w:ascii="Arial" w:cs="Arial" w:eastAsia="Arial" w:hAnsi="Arial"/>
                <w:sz w:val="14"/>
                <w:szCs w:val="14"/>
                <w:color w:val="auto"/>
              </w:rPr>
              <w:t>First Quarter 2022 Form 10-Q</w:t>
            </w:r>
          </w:p>
        </w:tc>
        <w:tc>
          <w:tcPr>
            <w:tcW w:w="1860" w:type="dxa"/>
            <w:vAlign w:val="bottom"/>
            <w:tcBorders>
              <w:top w:val="single" w:sz="8" w:color="71BF43"/>
            </w:tcBorders>
          </w:tcPr>
          <w:p>
            <w:pPr>
              <w:spacing w:after="0"/>
              <w:rPr>
                <w:sz w:val="24"/>
                <w:szCs w:val="24"/>
                <w:color w:val="auto"/>
              </w:rPr>
            </w:pPr>
          </w:p>
        </w:tc>
        <w:tc>
          <w:tcPr>
            <w:tcW w:w="400" w:type="dxa"/>
            <w:vAlign w:val="bottom"/>
            <w:tcBorders>
              <w:top w:val="single" w:sz="8" w:color="71BF43"/>
            </w:tcBorders>
          </w:tcPr>
          <w:p>
            <w:pPr>
              <w:spacing w:after="0"/>
              <w:rPr>
                <w:sz w:val="24"/>
                <w:szCs w:val="24"/>
                <w:color w:val="auto"/>
              </w:rPr>
            </w:pPr>
          </w:p>
        </w:tc>
        <w:tc>
          <w:tcPr>
            <w:tcW w:w="940" w:type="dxa"/>
            <w:vAlign w:val="bottom"/>
            <w:tcBorders>
              <w:top w:val="single" w:sz="8" w:color="71BF43"/>
            </w:tcBorders>
          </w:tcPr>
          <w:p>
            <w:pPr>
              <w:spacing w:after="0"/>
              <w:rPr>
                <w:sz w:val="24"/>
                <w:szCs w:val="24"/>
                <w:color w:val="auto"/>
              </w:rPr>
            </w:pPr>
          </w:p>
        </w:tc>
        <w:tc>
          <w:tcPr>
            <w:tcW w:w="260" w:type="dxa"/>
            <w:vAlign w:val="bottom"/>
            <w:tcBorders>
              <w:top w:val="single" w:sz="8" w:color="71BF43"/>
            </w:tcBorders>
          </w:tcPr>
          <w:p>
            <w:pPr>
              <w:spacing w:after="0"/>
              <w:rPr>
                <w:sz w:val="24"/>
                <w:szCs w:val="24"/>
                <w:color w:val="auto"/>
              </w:rPr>
            </w:pPr>
          </w:p>
        </w:tc>
        <w:tc>
          <w:tcPr>
            <w:tcW w:w="1100" w:type="dxa"/>
            <w:vAlign w:val="bottom"/>
            <w:tcBorders>
              <w:top w:val="single" w:sz="8" w:color="71BF43"/>
            </w:tcBorders>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1600" w:type="dxa"/>
            <w:vAlign w:val="bottom"/>
            <w:tcBorders>
              <w:bottom w:val="single" w:sz="8" w:color="9A9A9A"/>
            </w:tcBorders>
          </w:tcPr>
          <w:p>
            <w:pPr>
              <w:spacing w:after="0"/>
              <w:rPr>
                <w:sz w:val="24"/>
                <w:szCs w:val="24"/>
                <w:color w:val="auto"/>
              </w:rPr>
            </w:pPr>
          </w:p>
        </w:tc>
        <w:tc>
          <w:tcPr>
            <w:tcW w:w="50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-1473835</wp:posOffset>
            </wp:positionV>
            <wp:extent cx="172275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22755"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effects of derivative instruments in cash flow hedging relationships were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shd w:val="clear" w:color="auto" w:fill="ACACAC"/>
          </w:tcPr>
          <w:p>
            <w:pPr>
              <w:spacing w:after="0"/>
              <w:rPr>
                <w:sz w:val="18"/>
                <w:szCs w:val="18"/>
                <w:color w:val="auto"/>
              </w:rPr>
            </w:pPr>
          </w:p>
        </w:tc>
        <w:tc>
          <w:tcPr>
            <w:tcW w:w="280" w:type="dxa"/>
            <w:vAlign w:val="bottom"/>
            <w:shd w:val="clear" w:color="auto" w:fill="ACACAC"/>
          </w:tcPr>
          <w:p>
            <w:pPr>
              <w:spacing w:after="0"/>
              <w:rPr>
                <w:sz w:val="18"/>
                <w:szCs w:val="18"/>
                <w:color w:val="auto"/>
              </w:rPr>
            </w:pPr>
          </w:p>
        </w:tc>
        <w:tc>
          <w:tcPr>
            <w:tcW w:w="17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recognized</w:t>
            </w:r>
          </w:p>
        </w:tc>
        <w:tc>
          <w:tcPr>
            <w:tcW w:w="1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Location</w:t>
            </w:r>
          </w:p>
        </w:tc>
        <w:tc>
          <w:tcPr>
            <w:tcW w:w="160" w:type="dxa"/>
            <w:vAlign w:val="bottom"/>
            <w:shd w:val="clear" w:color="auto" w:fill="ACACAC"/>
          </w:tcPr>
          <w:p>
            <w:pPr>
              <w:spacing w:after="0"/>
              <w:rPr>
                <w:sz w:val="18"/>
                <w:szCs w:val="18"/>
                <w:color w:val="auto"/>
              </w:rPr>
            </w:pPr>
          </w:p>
        </w:tc>
        <w:tc>
          <w:tcPr>
            <w:tcW w:w="2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Gain (loss) reclassified from</w:t>
            </w:r>
          </w:p>
        </w:tc>
        <w:tc>
          <w:tcPr>
            <w:tcW w:w="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5120" w:type="dxa"/>
            <w:vAlign w:val="bottom"/>
            <w:shd w:val="clear" w:color="auto" w:fill="ACACAC"/>
          </w:tcPr>
          <w:p>
            <w:pPr>
              <w:spacing w:after="0"/>
              <w:rPr>
                <w:sz w:val="5"/>
                <w:szCs w:val="5"/>
                <w:color w:val="auto"/>
              </w:rPr>
            </w:pPr>
          </w:p>
        </w:tc>
        <w:tc>
          <w:tcPr>
            <w:tcW w:w="280" w:type="dxa"/>
            <w:vAlign w:val="bottom"/>
            <w:shd w:val="clear" w:color="auto" w:fill="ACACAC"/>
          </w:tcPr>
          <w:p>
            <w:pPr>
              <w:spacing w:after="0"/>
              <w:rPr>
                <w:sz w:val="5"/>
                <w:szCs w:val="5"/>
                <w:color w:val="auto"/>
              </w:rPr>
            </w:pPr>
          </w:p>
        </w:tc>
        <w:tc>
          <w:tcPr>
            <w:tcW w:w="17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in accumulated other</w:t>
            </w:r>
          </w:p>
        </w:tc>
        <w:tc>
          <w:tcPr>
            <w:tcW w:w="1780" w:type="dxa"/>
            <w:vAlign w:val="bottom"/>
            <w:vMerge w:val="continue"/>
            <w:shd w:val="clear" w:color="auto" w:fill="ACACAC"/>
          </w:tcPr>
          <w:p>
            <w:pPr>
              <w:spacing w:after="0"/>
              <w:rPr>
                <w:sz w:val="5"/>
                <w:szCs w:val="5"/>
                <w:color w:val="auto"/>
              </w:rPr>
            </w:pPr>
          </w:p>
        </w:tc>
        <w:tc>
          <w:tcPr>
            <w:tcW w:w="160" w:type="dxa"/>
            <w:vAlign w:val="bottom"/>
            <w:shd w:val="clear" w:color="auto" w:fill="ACACAC"/>
          </w:tcPr>
          <w:p>
            <w:pPr>
              <w:spacing w:after="0"/>
              <w:rPr>
                <w:sz w:val="5"/>
                <w:szCs w:val="5"/>
                <w:color w:val="auto"/>
              </w:rPr>
            </w:pPr>
          </w:p>
        </w:tc>
        <w:tc>
          <w:tcPr>
            <w:tcW w:w="21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w:t>
            </w:r>
          </w:p>
        </w:tc>
        <w:tc>
          <w:tcPr>
            <w:tcW w:w="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94"/>
        </w:trPr>
        <w:tc>
          <w:tcPr>
            <w:tcW w:w="5120" w:type="dxa"/>
            <w:vAlign w:val="bottom"/>
            <w:shd w:val="clear" w:color="auto" w:fill="ACACAC"/>
          </w:tcPr>
          <w:p>
            <w:pPr>
              <w:spacing w:after="0"/>
              <w:rPr>
                <w:sz w:val="8"/>
                <w:szCs w:val="8"/>
                <w:color w:val="auto"/>
              </w:rPr>
            </w:pPr>
          </w:p>
        </w:tc>
        <w:tc>
          <w:tcPr>
            <w:tcW w:w="280" w:type="dxa"/>
            <w:vAlign w:val="bottom"/>
            <w:shd w:val="clear" w:color="auto" w:fill="ACACAC"/>
          </w:tcPr>
          <w:p>
            <w:pPr>
              <w:spacing w:after="0"/>
              <w:rPr>
                <w:sz w:val="8"/>
                <w:szCs w:val="8"/>
                <w:color w:val="auto"/>
              </w:rPr>
            </w:pPr>
          </w:p>
        </w:tc>
        <w:tc>
          <w:tcPr>
            <w:tcW w:w="1760" w:type="dxa"/>
            <w:vAlign w:val="bottom"/>
            <w:vMerge w:val="continue"/>
            <w:shd w:val="clear" w:color="auto" w:fill="ACACAC"/>
          </w:tcPr>
          <w:p>
            <w:pPr>
              <w:spacing w:after="0"/>
              <w:rPr>
                <w:sz w:val="8"/>
                <w:szCs w:val="8"/>
                <w:color w:val="auto"/>
              </w:rPr>
            </w:pPr>
          </w:p>
        </w:tc>
        <w:tc>
          <w:tcPr>
            <w:tcW w:w="1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of gain (loss)</w:t>
            </w:r>
          </w:p>
        </w:tc>
        <w:tc>
          <w:tcPr>
            <w:tcW w:w="160" w:type="dxa"/>
            <w:vAlign w:val="bottom"/>
            <w:shd w:val="clear" w:color="auto" w:fill="ACACAC"/>
          </w:tcPr>
          <w:p>
            <w:pPr>
              <w:spacing w:after="0"/>
              <w:rPr>
                <w:sz w:val="8"/>
                <w:szCs w:val="8"/>
                <w:color w:val="auto"/>
              </w:rPr>
            </w:pPr>
          </w:p>
        </w:tc>
        <w:tc>
          <w:tcPr>
            <w:tcW w:w="2140" w:type="dxa"/>
            <w:vAlign w:val="bottom"/>
            <w:vMerge w:val="continue"/>
            <w:shd w:val="clear" w:color="auto" w:fill="ACACAC"/>
          </w:tcPr>
          <w:p>
            <w:pPr>
              <w:spacing w:after="0"/>
              <w:rPr>
                <w:sz w:val="8"/>
                <w:szCs w:val="8"/>
                <w:color w:val="auto"/>
              </w:rPr>
            </w:pP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120" w:type="dxa"/>
            <w:vAlign w:val="bottom"/>
            <w:shd w:val="clear" w:color="auto" w:fill="ACACAC"/>
          </w:tcPr>
          <w:p>
            <w:pPr>
              <w:spacing w:after="0"/>
              <w:rPr>
                <w:sz w:val="5"/>
                <w:szCs w:val="5"/>
                <w:color w:val="auto"/>
              </w:rPr>
            </w:pPr>
          </w:p>
        </w:tc>
        <w:tc>
          <w:tcPr>
            <w:tcW w:w="280" w:type="dxa"/>
            <w:vAlign w:val="bottom"/>
            <w:shd w:val="clear" w:color="auto" w:fill="ACACAC"/>
          </w:tcPr>
          <w:p>
            <w:pPr>
              <w:spacing w:after="0"/>
              <w:rPr>
                <w:sz w:val="5"/>
                <w:szCs w:val="5"/>
                <w:color w:val="auto"/>
              </w:rPr>
            </w:pPr>
          </w:p>
        </w:tc>
        <w:tc>
          <w:tcPr>
            <w:tcW w:w="17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1780" w:type="dxa"/>
            <w:vAlign w:val="bottom"/>
            <w:vMerge w:val="continue"/>
            <w:shd w:val="clear" w:color="auto" w:fill="ACACAC"/>
          </w:tcPr>
          <w:p>
            <w:pPr>
              <w:spacing w:after="0"/>
              <w:rPr>
                <w:sz w:val="5"/>
                <w:szCs w:val="5"/>
                <w:color w:val="auto"/>
              </w:rPr>
            </w:pPr>
          </w:p>
        </w:tc>
        <w:tc>
          <w:tcPr>
            <w:tcW w:w="160" w:type="dxa"/>
            <w:vAlign w:val="bottom"/>
            <w:shd w:val="clear" w:color="auto" w:fill="ACACAC"/>
          </w:tcPr>
          <w:p>
            <w:pPr>
              <w:spacing w:after="0"/>
              <w:rPr>
                <w:sz w:val="5"/>
                <w:szCs w:val="5"/>
                <w:color w:val="auto"/>
              </w:rPr>
            </w:pPr>
          </w:p>
        </w:tc>
        <w:tc>
          <w:tcPr>
            <w:tcW w:w="21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other comprehensive loss into</w:t>
            </w:r>
          </w:p>
        </w:tc>
        <w:tc>
          <w:tcPr>
            <w:tcW w:w="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5120" w:type="dxa"/>
            <w:vAlign w:val="bottom"/>
            <w:shd w:val="clear" w:color="auto" w:fill="ACACAC"/>
          </w:tcPr>
          <w:p>
            <w:pPr>
              <w:spacing w:after="0"/>
              <w:rPr>
                <w:sz w:val="8"/>
                <w:szCs w:val="8"/>
                <w:color w:val="auto"/>
              </w:rPr>
            </w:pPr>
          </w:p>
        </w:tc>
        <w:tc>
          <w:tcPr>
            <w:tcW w:w="280" w:type="dxa"/>
            <w:vAlign w:val="bottom"/>
            <w:shd w:val="clear" w:color="auto" w:fill="ACACAC"/>
          </w:tcPr>
          <w:p>
            <w:pPr>
              <w:spacing w:after="0"/>
              <w:rPr>
                <w:sz w:val="8"/>
                <w:szCs w:val="8"/>
                <w:color w:val="auto"/>
              </w:rPr>
            </w:pPr>
          </w:p>
        </w:tc>
        <w:tc>
          <w:tcPr>
            <w:tcW w:w="1760" w:type="dxa"/>
            <w:vAlign w:val="bottom"/>
            <w:vMerge w:val="continue"/>
            <w:shd w:val="clear" w:color="auto" w:fill="ACACAC"/>
          </w:tcPr>
          <w:p>
            <w:pPr>
              <w:spacing w:after="0"/>
              <w:rPr>
                <w:sz w:val="8"/>
                <w:szCs w:val="8"/>
                <w:color w:val="auto"/>
              </w:rPr>
            </w:pPr>
          </w:p>
        </w:tc>
        <w:tc>
          <w:tcPr>
            <w:tcW w:w="1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reclassified from</w:t>
            </w:r>
          </w:p>
        </w:tc>
        <w:tc>
          <w:tcPr>
            <w:tcW w:w="160" w:type="dxa"/>
            <w:vAlign w:val="bottom"/>
            <w:shd w:val="clear" w:color="auto" w:fill="ACACAC"/>
          </w:tcPr>
          <w:p>
            <w:pPr>
              <w:spacing w:after="0"/>
              <w:rPr>
                <w:sz w:val="8"/>
                <w:szCs w:val="8"/>
                <w:color w:val="auto"/>
              </w:rPr>
            </w:pPr>
          </w:p>
        </w:tc>
        <w:tc>
          <w:tcPr>
            <w:tcW w:w="2140" w:type="dxa"/>
            <w:vAlign w:val="bottom"/>
            <w:vMerge w:val="continue"/>
            <w:shd w:val="clear" w:color="auto" w:fill="ACACAC"/>
          </w:tcPr>
          <w:p>
            <w:pPr>
              <w:spacing w:after="0"/>
              <w:rPr>
                <w:sz w:val="8"/>
                <w:szCs w:val="8"/>
                <w:color w:val="auto"/>
              </w:rPr>
            </w:pPr>
          </w:p>
        </w:tc>
        <w:tc>
          <w:tcPr>
            <w:tcW w:w="20" w:type="dxa"/>
            <w:vAlign w:val="bottom"/>
            <w:shd w:val="clear" w:color="auto" w:fill="ACACAC"/>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5120" w:type="dxa"/>
            <w:vAlign w:val="bottom"/>
            <w:shd w:val="clear" w:color="auto" w:fill="ACACAC"/>
          </w:tcPr>
          <w:p>
            <w:pPr>
              <w:spacing w:after="0"/>
              <w:rPr>
                <w:sz w:val="5"/>
                <w:szCs w:val="5"/>
                <w:color w:val="auto"/>
              </w:rPr>
            </w:pPr>
          </w:p>
        </w:tc>
        <w:tc>
          <w:tcPr>
            <w:tcW w:w="280" w:type="dxa"/>
            <w:vAlign w:val="bottom"/>
            <w:shd w:val="clear" w:color="auto" w:fill="ACACAC"/>
          </w:tcPr>
          <w:p>
            <w:pPr>
              <w:spacing w:after="0"/>
              <w:rPr>
                <w:sz w:val="5"/>
                <w:szCs w:val="5"/>
                <w:color w:val="auto"/>
              </w:rPr>
            </w:pPr>
          </w:p>
        </w:tc>
        <w:tc>
          <w:tcPr>
            <w:tcW w:w="176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loss as of</w:t>
            </w:r>
          </w:p>
        </w:tc>
        <w:tc>
          <w:tcPr>
            <w:tcW w:w="1780" w:type="dxa"/>
            <w:vAlign w:val="bottom"/>
            <w:vMerge w:val="continue"/>
            <w:shd w:val="clear" w:color="auto" w:fill="ACACAC"/>
          </w:tcPr>
          <w:p>
            <w:pPr>
              <w:spacing w:after="0"/>
              <w:rPr>
                <w:sz w:val="5"/>
                <w:szCs w:val="5"/>
                <w:color w:val="auto"/>
              </w:rPr>
            </w:pPr>
          </w:p>
        </w:tc>
        <w:tc>
          <w:tcPr>
            <w:tcW w:w="160" w:type="dxa"/>
            <w:vAlign w:val="bottom"/>
            <w:shd w:val="clear" w:color="auto" w:fill="ACACAC"/>
          </w:tcPr>
          <w:p>
            <w:pPr>
              <w:spacing w:after="0"/>
              <w:rPr>
                <w:sz w:val="5"/>
                <w:szCs w:val="5"/>
                <w:color w:val="auto"/>
              </w:rPr>
            </w:pPr>
          </w:p>
        </w:tc>
        <w:tc>
          <w:tcPr>
            <w:tcW w:w="214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income</w:t>
            </w:r>
          </w:p>
        </w:tc>
        <w:tc>
          <w:tcPr>
            <w:tcW w:w="20" w:type="dxa"/>
            <w:vAlign w:val="bottom"/>
            <w:shd w:val="clear" w:color="auto" w:fill="ACACAC"/>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5120" w:type="dxa"/>
            <w:vAlign w:val="bottom"/>
            <w:shd w:val="clear" w:color="auto" w:fill="ACACAC"/>
          </w:tcPr>
          <w:p>
            <w:pPr>
              <w:spacing w:after="0"/>
              <w:rPr>
                <w:sz w:val="10"/>
                <w:szCs w:val="10"/>
                <w:color w:val="auto"/>
              </w:rPr>
            </w:pPr>
          </w:p>
        </w:tc>
        <w:tc>
          <w:tcPr>
            <w:tcW w:w="280" w:type="dxa"/>
            <w:vAlign w:val="bottom"/>
            <w:shd w:val="clear" w:color="auto" w:fill="ACACAC"/>
          </w:tcPr>
          <w:p>
            <w:pPr>
              <w:spacing w:after="0"/>
              <w:rPr>
                <w:sz w:val="10"/>
                <w:szCs w:val="10"/>
                <w:color w:val="auto"/>
              </w:rPr>
            </w:pPr>
          </w:p>
        </w:tc>
        <w:tc>
          <w:tcPr>
            <w:tcW w:w="1760" w:type="dxa"/>
            <w:vAlign w:val="bottom"/>
            <w:vMerge w:val="continue"/>
            <w:shd w:val="clear" w:color="auto" w:fill="ACACAC"/>
          </w:tcPr>
          <w:p>
            <w:pPr>
              <w:spacing w:after="0"/>
              <w:rPr>
                <w:sz w:val="10"/>
                <w:szCs w:val="10"/>
                <w:color w:val="auto"/>
              </w:rPr>
            </w:pPr>
          </w:p>
        </w:tc>
        <w:tc>
          <w:tcPr>
            <w:tcW w:w="178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accumulated other</w:t>
            </w:r>
          </w:p>
        </w:tc>
        <w:tc>
          <w:tcPr>
            <w:tcW w:w="160" w:type="dxa"/>
            <w:vAlign w:val="bottom"/>
            <w:shd w:val="clear" w:color="auto" w:fill="ACACAC"/>
          </w:tcPr>
          <w:p>
            <w:pPr>
              <w:spacing w:after="0"/>
              <w:rPr>
                <w:sz w:val="10"/>
                <w:szCs w:val="10"/>
                <w:color w:val="auto"/>
              </w:rPr>
            </w:pPr>
          </w:p>
        </w:tc>
        <w:tc>
          <w:tcPr>
            <w:tcW w:w="2140" w:type="dxa"/>
            <w:vAlign w:val="bottom"/>
            <w:vMerge w:val="continue"/>
            <w:shd w:val="clear" w:color="auto" w:fill="ACACAC"/>
          </w:tcPr>
          <w:p>
            <w:pPr>
              <w:spacing w:after="0"/>
              <w:rPr>
                <w:sz w:val="10"/>
                <w:szCs w:val="10"/>
                <w:color w:val="auto"/>
              </w:rPr>
            </w:pPr>
          </w:p>
        </w:tc>
        <w:tc>
          <w:tcPr>
            <w:tcW w:w="20" w:type="dxa"/>
            <w:vAlign w:val="bottom"/>
            <w:shd w:val="clear" w:color="auto" w:fill="ACACAC"/>
          </w:tcPr>
          <w:p>
            <w:pPr>
              <w:spacing w:after="0"/>
              <w:rPr>
                <w:sz w:val="10"/>
                <w:szCs w:val="10"/>
                <w:color w:val="auto"/>
              </w:rPr>
            </w:pPr>
          </w:p>
        </w:tc>
        <w:tc>
          <w:tcPr>
            <w:tcW w:w="0" w:type="dxa"/>
            <w:vAlign w:val="bottom"/>
          </w:tcPr>
          <w:p>
            <w:pPr>
              <w:spacing w:after="0"/>
              <w:rPr>
                <w:sz w:val="1"/>
                <w:szCs w:val="1"/>
                <w:color w:val="auto"/>
              </w:rPr>
            </w:pPr>
          </w:p>
        </w:tc>
      </w:tr>
      <w:tr>
        <w:trPr>
          <w:trHeight w:val="39"/>
        </w:trPr>
        <w:tc>
          <w:tcPr>
            <w:tcW w:w="5120" w:type="dxa"/>
            <w:vAlign w:val="bottom"/>
            <w:shd w:val="clear" w:color="auto" w:fill="ACACAC"/>
          </w:tcPr>
          <w:p>
            <w:pPr>
              <w:spacing w:after="0"/>
              <w:rPr>
                <w:sz w:val="3"/>
                <w:szCs w:val="3"/>
                <w:color w:val="auto"/>
              </w:rPr>
            </w:pPr>
          </w:p>
        </w:tc>
        <w:tc>
          <w:tcPr>
            <w:tcW w:w="280" w:type="dxa"/>
            <w:vAlign w:val="bottom"/>
            <w:shd w:val="clear" w:color="auto" w:fill="ACACAC"/>
          </w:tcPr>
          <w:p>
            <w:pPr>
              <w:spacing w:after="0"/>
              <w:rPr>
                <w:sz w:val="3"/>
                <w:szCs w:val="3"/>
                <w:color w:val="auto"/>
              </w:rPr>
            </w:pPr>
          </w:p>
        </w:tc>
        <w:tc>
          <w:tcPr>
            <w:tcW w:w="1760" w:type="dxa"/>
            <w:vAlign w:val="bottom"/>
            <w:shd w:val="clear" w:color="auto" w:fill="ACACAC"/>
          </w:tcPr>
          <w:p>
            <w:pPr>
              <w:spacing w:after="0"/>
              <w:rPr>
                <w:sz w:val="3"/>
                <w:szCs w:val="3"/>
                <w:color w:val="auto"/>
              </w:rPr>
            </w:pPr>
          </w:p>
        </w:tc>
        <w:tc>
          <w:tcPr>
            <w:tcW w:w="1780" w:type="dxa"/>
            <w:vAlign w:val="bottom"/>
            <w:vMerge w:val="continue"/>
            <w:shd w:val="clear" w:color="auto" w:fill="ACACAC"/>
          </w:tcPr>
          <w:p>
            <w:pPr>
              <w:spacing w:after="0"/>
              <w:rPr>
                <w:sz w:val="3"/>
                <w:szCs w:val="3"/>
                <w:color w:val="auto"/>
              </w:rPr>
            </w:pPr>
          </w:p>
        </w:tc>
        <w:tc>
          <w:tcPr>
            <w:tcW w:w="160" w:type="dxa"/>
            <w:vAlign w:val="bottom"/>
            <w:shd w:val="clear" w:color="auto" w:fill="ACACAC"/>
          </w:tcPr>
          <w:p>
            <w:pPr>
              <w:spacing w:after="0"/>
              <w:rPr>
                <w:sz w:val="3"/>
                <w:szCs w:val="3"/>
                <w:color w:val="auto"/>
              </w:rPr>
            </w:pPr>
          </w:p>
        </w:tc>
        <w:tc>
          <w:tcPr>
            <w:tcW w:w="2140" w:type="dxa"/>
            <w:vAlign w:val="bottom"/>
            <w:shd w:val="clear" w:color="auto" w:fill="ACACAC"/>
          </w:tcPr>
          <w:p>
            <w:pPr>
              <w:spacing w:after="0"/>
              <w:rPr>
                <w:sz w:val="3"/>
                <w:szCs w:val="3"/>
                <w:color w:val="auto"/>
              </w:rPr>
            </w:pPr>
          </w:p>
        </w:tc>
        <w:tc>
          <w:tcPr>
            <w:tcW w:w="20" w:type="dxa"/>
            <w:vAlign w:val="bottom"/>
            <w:shd w:val="clear" w:color="auto" w:fill="ACACA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2"/>
        </w:trPr>
        <w:tc>
          <w:tcPr>
            <w:tcW w:w="5120" w:type="dxa"/>
            <w:vAlign w:val="bottom"/>
            <w:shd w:val="clear" w:color="auto" w:fill="ACACAC"/>
          </w:tcPr>
          <w:p>
            <w:pPr>
              <w:spacing w:after="0"/>
              <w:rPr>
                <w:sz w:val="14"/>
                <w:szCs w:val="14"/>
                <w:color w:val="auto"/>
              </w:rPr>
            </w:pPr>
          </w:p>
        </w:tc>
        <w:tc>
          <w:tcPr>
            <w:tcW w:w="280" w:type="dxa"/>
            <w:vAlign w:val="bottom"/>
            <w:shd w:val="clear" w:color="auto" w:fill="ACACAC"/>
          </w:tcPr>
          <w:p>
            <w:pPr>
              <w:spacing w:after="0"/>
              <w:rPr>
                <w:sz w:val="14"/>
                <w:szCs w:val="14"/>
                <w:color w:val="auto"/>
              </w:rPr>
            </w:pPr>
          </w:p>
        </w:tc>
        <w:tc>
          <w:tcPr>
            <w:tcW w:w="17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17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comprehensive</w:t>
            </w:r>
          </w:p>
        </w:tc>
        <w:tc>
          <w:tcPr>
            <w:tcW w:w="160" w:type="dxa"/>
            <w:vAlign w:val="bottom"/>
            <w:shd w:val="clear" w:color="auto" w:fill="ACACAC"/>
          </w:tcPr>
          <w:p>
            <w:pPr>
              <w:spacing w:after="0"/>
              <w:rPr>
                <w:sz w:val="14"/>
                <w:szCs w:val="14"/>
                <w:color w:val="auto"/>
              </w:rPr>
            </w:pPr>
          </w:p>
        </w:tc>
        <w:tc>
          <w:tcPr>
            <w:tcW w:w="2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ACACAC"/>
            </w:tcBorders>
            <w:shd w:val="clear" w:color="auto" w:fill="ACACAC"/>
          </w:tcPr>
          <w:p>
            <w:pPr>
              <w:jc w:val="right"/>
              <w:ind w:right="3496"/>
              <w:spacing w:after="0"/>
              <w:rPr>
                <w:sz w:val="20"/>
                <w:szCs w:val="20"/>
                <w:color w:val="auto"/>
              </w:rPr>
            </w:pPr>
            <w:r>
              <w:rPr>
                <w:rFonts w:ascii="Arial" w:cs="Arial" w:eastAsia="Arial" w:hAnsi="Arial"/>
                <w:sz w:val="14"/>
                <w:szCs w:val="14"/>
                <w:b w:val="1"/>
                <w:bCs w:val="1"/>
                <w:color w:val="FFFFFF"/>
              </w:rPr>
              <w:t>(dollars in thousands)</w:t>
            </w:r>
          </w:p>
        </w:tc>
        <w:tc>
          <w:tcPr>
            <w:tcW w:w="280" w:type="dxa"/>
            <w:vAlign w:val="bottom"/>
            <w:tcBorders>
              <w:bottom w:val="single" w:sz="8" w:color="ACACAC"/>
            </w:tcBorders>
            <w:shd w:val="clear" w:color="auto" w:fill="ACACAC"/>
          </w:tcPr>
          <w:p>
            <w:pPr>
              <w:spacing w:after="0"/>
              <w:rPr>
                <w:sz w:val="17"/>
                <w:szCs w:val="17"/>
                <w:color w:val="auto"/>
              </w:rPr>
            </w:pPr>
          </w:p>
        </w:tc>
        <w:tc>
          <w:tcPr>
            <w:tcW w:w="17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17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loss into income</w:t>
            </w:r>
          </w:p>
        </w:tc>
        <w:tc>
          <w:tcPr>
            <w:tcW w:w="160" w:type="dxa"/>
            <w:vAlign w:val="bottom"/>
            <w:tcBorders>
              <w:bottom w:val="single" w:sz="8" w:color="ACACAC"/>
            </w:tcBorders>
            <w:shd w:val="clear" w:color="auto" w:fill="ACACAC"/>
          </w:tcPr>
          <w:p>
            <w:pPr>
              <w:spacing w:after="0"/>
              <w:rPr>
                <w:sz w:val="17"/>
                <w:szCs w:val="17"/>
                <w:color w:val="auto"/>
              </w:rPr>
            </w:pPr>
          </w:p>
        </w:tc>
        <w:tc>
          <w:tcPr>
            <w:tcW w:w="2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 2022</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F4F4F4"/>
            </w:tcBorders>
            <w:shd w:val="clear" w:color="auto" w:fill="F4F4F4"/>
          </w:tcPr>
          <w:p>
            <w:pPr>
              <w:jc w:val="right"/>
              <w:ind w:right="3496"/>
              <w:spacing w:after="0"/>
              <w:rPr>
                <w:sz w:val="20"/>
                <w:szCs w:val="20"/>
                <w:color w:val="auto"/>
              </w:rPr>
            </w:pPr>
            <w:r>
              <w:rPr>
                <w:rFonts w:ascii="Arial" w:cs="Arial" w:eastAsia="Arial" w:hAnsi="Arial"/>
                <w:sz w:val="18"/>
                <w:szCs w:val="18"/>
                <w:color w:val="auto"/>
                <w:w w:val="99"/>
              </w:rPr>
              <w:t>Interest rate swaps</w:t>
            </w:r>
          </w:p>
        </w:tc>
        <w:tc>
          <w:tcPr>
            <w:tcW w:w="28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F4F4F4"/>
            </w:tcBorders>
            <w:shd w:val="clear" w:color="auto" w:fill="F4F4F4"/>
          </w:tcPr>
          <w:p>
            <w:pPr>
              <w:jc w:val="right"/>
              <w:ind w:right="4"/>
              <w:spacing w:after="0"/>
              <w:rPr>
                <w:sz w:val="20"/>
                <w:szCs w:val="20"/>
                <w:color w:val="auto"/>
              </w:rPr>
            </w:pPr>
            <w:r>
              <w:rPr>
                <w:rFonts w:ascii="Arial" w:cs="Arial" w:eastAsia="Arial" w:hAnsi="Arial"/>
                <w:sz w:val="18"/>
                <w:szCs w:val="18"/>
                <w:color w:val="auto"/>
              </w:rPr>
              <w:t>21,947</w:t>
            </w:r>
          </w:p>
        </w:tc>
        <w:tc>
          <w:tcPr>
            <w:tcW w:w="1780" w:type="dxa"/>
            <w:vAlign w:val="bottom"/>
            <w:tcBorders>
              <w:bottom w:val="single" w:sz="8" w:color="F4F4F4"/>
            </w:tcBorders>
            <w:shd w:val="clear" w:color="auto" w:fill="F4F4F4"/>
          </w:tcPr>
          <w:p>
            <w:pPr>
              <w:jc w:val="right"/>
              <w:ind w:right="264"/>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
        </w:trPr>
        <w:tc>
          <w:tcPr>
            <w:tcW w:w="5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21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5120" w:type="dxa"/>
            <w:vAlign w:val="bottom"/>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17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1780" w:type="dxa"/>
            <w:vAlign w:val="bottom"/>
          </w:tcPr>
          <w:p>
            <w:pPr>
              <w:spacing w:after="0"/>
              <w:rPr>
                <w:sz w:val="16"/>
                <w:szCs w:val="16"/>
                <w:color w:val="auto"/>
              </w:rPr>
            </w:pPr>
          </w:p>
        </w:tc>
        <w:tc>
          <w:tcPr>
            <w:tcW w:w="160" w:type="dxa"/>
            <w:vAlign w:val="bottom"/>
            <w:shd w:val="clear" w:color="auto" w:fill="ACACAC"/>
          </w:tcPr>
          <w:p>
            <w:pPr>
              <w:spacing w:after="0"/>
              <w:rPr>
                <w:sz w:val="16"/>
                <w:szCs w:val="16"/>
                <w:color w:val="auto"/>
              </w:rPr>
            </w:pPr>
          </w:p>
        </w:tc>
        <w:tc>
          <w:tcPr>
            <w:tcW w:w="2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120" w:type="dxa"/>
            <w:vAlign w:val="bottom"/>
            <w:tcBorders>
              <w:bottom w:val="single" w:sz="8" w:color="F4F4F4"/>
            </w:tcBorders>
          </w:tcPr>
          <w:p>
            <w:pPr>
              <w:spacing w:after="0"/>
              <w:rPr>
                <w:sz w:val="17"/>
                <w:szCs w:val="17"/>
                <w:color w:val="auto"/>
              </w:rPr>
            </w:pPr>
          </w:p>
        </w:tc>
        <w:tc>
          <w:tcPr>
            <w:tcW w:w="280" w:type="dxa"/>
            <w:vAlign w:val="bottom"/>
            <w:tcBorders>
              <w:bottom w:val="single" w:sz="8" w:color="ACACAC"/>
            </w:tcBorders>
            <w:shd w:val="clear" w:color="auto" w:fill="ACACAC"/>
          </w:tcPr>
          <w:p>
            <w:pPr>
              <w:spacing w:after="0"/>
              <w:rPr>
                <w:sz w:val="17"/>
                <w:szCs w:val="17"/>
                <w:color w:val="auto"/>
              </w:rPr>
            </w:pPr>
          </w:p>
        </w:tc>
        <w:tc>
          <w:tcPr>
            <w:tcW w:w="17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780" w:type="dxa"/>
            <w:vAlign w:val="bottom"/>
            <w:tcBorders>
              <w:bottom w:val="single" w:sz="8" w:color="F4F4F4"/>
            </w:tcBorders>
          </w:tcPr>
          <w:p>
            <w:pPr>
              <w:spacing w:after="0"/>
              <w:rPr>
                <w:sz w:val="17"/>
                <w:szCs w:val="17"/>
                <w:color w:val="auto"/>
              </w:rPr>
            </w:pPr>
          </w:p>
        </w:tc>
        <w:tc>
          <w:tcPr>
            <w:tcW w:w="160" w:type="dxa"/>
            <w:vAlign w:val="bottom"/>
            <w:tcBorders>
              <w:bottom w:val="single" w:sz="8" w:color="ACACAC"/>
            </w:tcBorders>
            <w:shd w:val="clear" w:color="auto" w:fill="ACACAC"/>
          </w:tcPr>
          <w:p>
            <w:pPr>
              <w:spacing w:after="0"/>
              <w:rPr>
                <w:sz w:val="17"/>
                <w:szCs w:val="17"/>
                <w:color w:val="auto"/>
              </w:rPr>
            </w:pPr>
          </w:p>
        </w:tc>
        <w:tc>
          <w:tcPr>
            <w:tcW w:w="2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 2021</w:t>
            </w:r>
          </w:p>
        </w:tc>
        <w:tc>
          <w:tcPr>
            <w:tcW w:w="20" w:type="dxa"/>
            <w:vAlign w:val="bottom"/>
            <w:tcBorders>
              <w:bottom w:val="single" w:sz="8" w:color="ACACAC"/>
            </w:tcBorders>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120" w:type="dxa"/>
            <w:vAlign w:val="bottom"/>
            <w:tcBorders>
              <w:bottom w:val="single" w:sz="8" w:color="F4F4F4"/>
            </w:tcBorders>
            <w:shd w:val="clear" w:color="auto" w:fill="F4F4F4"/>
          </w:tcPr>
          <w:p>
            <w:pPr>
              <w:jc w:val="right"/>
              <w:ind w:right="3496"/>
              <w:spacing w:after="0"/>
              <w:rPr>
                <w:sz w:val="20"/>
                <w:szCs w:val="20"/>
                <w:color w:val="auto"/>
              </w:rPr>
            </w:pPr>
            <w:r>
              <w:rPr>
                <w:rFonts w:ascii="Arial" w:cs="Arial" w:eastAsia="Arial" w:hAnsi="Arial"/>
                <w:sz w:val="18"/>
                <w:szCs w:val="18"/>
                <w:color w:val="auto"/>
                <w:w w:val="99"/>
              </w:rPr>
              <w:t>Interest rate swaps</w:t>
            </w:r>
          </w:p>
        </w:tc>
        <w:tc>
          <w:tcPr>
            <w:tcW w:w="28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F4F4F4"/>
            </w:tcBorders>
            <w:shd w:val="clear" w:color="auto" w:fill="F4F4F4"/>
          </w:tcPr>
          <w:p>
            <w:pPr>
              <w:jc w:val="right"/>
              <w:ind w:right="4"/>
              <w:spacing w:after="0"/>
              <w:rPr>
                <w:sz w:val="20"/>
                <w:szCs w:val="20"/>
                <w:color w:val="auto"/>
              </w:rPr>
            </w:pPr>
            <w:r>
              <w:rPr>
                <w:rFonts w:ascii="Arial" w:cs="Arial" w:eastAsia="Arial" w:hAnsi="Arial"/>
                <w:sz w:val="18"/>
                <w:szCs w:val="18"/>
                <w:color w:val="auto"/>
              </w:rPr>
              <w:t>1,420</w:t>
            </w:r>
          </w:p>
        </w:tc>
        <w:tc>
          <w:tcPr>
            <w:tcW w:w="1780" w:type="dxa"/>
            <w:vAlign w:val="bottom"/>
            <w:tcBorders>
              <w:bottom w:val="single" w:sz="8" w:color="F4F4F4"/>
            </w:tcBorders>
            <w:shd w:val="clear" w:color="auto" w:fill="F4F4F4"/>
          </w:tcPr>
          <w:p>
            <w:pPr>
              <w:jc w:val="right"/>
              <w:ind w:right="264"/>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(1,376)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120" w:type="dxa"/>
            <w:vAlign w:val="bottom"/>
            <w:shd w:val="clear" w:color="auto" w:fill="71BF43"/>
          </w:tcPr>
          <w:p>
            <w:pPr>
              <w:spacing w:after="0" w:line="20" w:lineRule="exact"/>
              <w:rPr>
                <w:sz w:val="1"/>
                <w:szCs w:val="1"/>
                <w:color w:val="auto"/>
              </w:rPr>
            </w:pPr>
          </w:p>
        </w:tc>
        <w:tc>
          <w:tcPr>
            <w:tcW w:w="280" w:type="dxa"/>
            <w:vAlign w:val="bottom"/>
            <w:shd w:val="clear" w:color="auto" w:fill="71BF43"/>
          </w:tcPr>
          <w:p>
            <w:pPr>
              <w:spacing w:after="0" w:line="20" w:lineRule="exact"/>
              <w:rPr>
                <w:sz w:val="1"/>
                <w:szCs w:val="1"/>
                <w:color w:val="auto"/>
              </w:rPr>
            </w:pPr>
          </w:p>
        </w:tc>
        <w:tc>
          <w:tcPr>
            <w:tcW w:w="1760" w:type="dxa"/>
            <w:vAlign w:val="bottom"/>
            <w:shd w:val="clear" w:color="auto" w:fill="71BF43"/>
          </w:tcPr>
          <w:p>
            <w:pPr>
              <w:spacing w:after="0" w:line="20" w:lineRule="exact"/>
              <w:rPr>
                <w:sz w:val="1"/>
                <w:szCs w:val="1"/>
                <w:color w:val="auto"/>
              </w:rPr>
            </w:pPr>
          </w:p>
        </w:tc>
        <w:tc>
          <w:tcPr>
            <w:tcW w:w="1780" w:type="dxa"/>
            <w:vAlign w:val="bottom"/>
            <w:shd w:val="clear" w:color="auto" w:fill="71BF43"/>
          </w:tcPr>
          <w:p>
            <w:pPr>
              <w:spacing w:after="0" w:line="20" w:lineRule="exact"/>
              <w:rPr>
                <w:sz w:val="1"/>
                <w:szCs w:val="1"/>
                <w:color w:val="auto"/>
              </w:rPr>
            </w:pPr>
          </w:p>
        </w:tc>
        <w:tc>
          <w:tcPr>
            <w:tcW w:w="160" w:type="dxa"/>
            <w:vAlign w:val="bottom"/>
            <w:shd w:val="clear" w:color="auto" w:fill="71BF43"/>
          </w:tcPr>
          <w:p>
            <w:pPr>
              <w:spacing w:after="0" w:line="20" w:lineRule="exact"/>
              <w:rPr>
                <w:sz w:val="1"/>
                <w:szCs w:val="1"/>
                <w:color w:val="auto"/>
              </w:rPr>
            </w:pPr>
          </w:p>
        </w:tc>
        <w:tc>
          <w:tcPr>
            <w:tcW w:w="21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-899795</wp:posOffset>
            </wp:positionV>
            <wp:extent cx="1465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465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-899795</wp:posOffset>
            </wp:positionV>
            <wp:extent cx="13030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303020"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policy requires that derivatives used for hedging purposes be designated and effective as a hedge of the identified risk exposure at the inception of the contract. Accumulated other comprehensive income (loss) includes unrealized gains or losses from the change in fair value measurement of our derivative instruments each reporting period and the related income tax expense or benefit. Changes in the fair value measurements of the derivative instruments and the related income tax expense or benefit are reflected as adjustments to accumulated other comprehensive income (loss) until the actual hedged expense is incurred or until the hedge is terminated at which point the unrealized gain (loss) is reclassified from accumulated other comprehensive income (loss) to current earnings. The estimated accumulated other comprehensive income as of March 31, 2022 that is expected to be reclassified into earnings within the next twelve months is $5.7 million. There were no ineffective portions of our interest rate swap derivatives during the three months ended March 31, 2022 and 2021. See Note 12 for a summary of the changes in accumulated other comprehensive income (loss) by component.</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10. Commitments and Contingencies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Leases</w:t>
      </w:r>
    </w:p>
    <w:p>
      <w:pPr>
        <w:spacing w:after="0" w:line="19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We have operating leases for corporate offices, subleased offices and certain equipment and furniture. As of March 31, 2022, we did not have any operating leases that had not yet commenced.</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our lease expense: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8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14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5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758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114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5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235"/>
        </w:trPr>
        <w:tc>
          <w:tcPr>
            <w:tcW w:w="758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740" w:type="dxa"/>
            <w:vAlign w:val="bottom"/>
            <w:tcBorders>
              <w:bottom w:val="single" w:sz="8" w:color="ACACAC"/>
            </w:tcBorders>
            <w:shd w:val="clear" w:color="auto" w:fill="ACACAC"/>
          </w:tcPr>
          <w:p>
            <w:pPr>
              <w:spacing w:after="0"/>
              <w:rPr>
                <w:sz w:val="20"/>
                <w:szCs w:val="20"/>
                <w:color w:val="auto"/>
              </w:rPr>
            </w:pP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40" w:type="dxa"/>
            <w:vAlign w:val="bottom"/>
            <w:tcBorders>
              <w:bottom w:val="single" w:sz="8" w:color="ACACAC"/>
            </w:tcBorders>
            <w:shd w:val="clear" w:color="auto" w:fill="ACACAC"/>
          </w:tcPr>
          <w:p>
            <w:pPr>
              <w:spacing w:after="0"/>
              <w:rPr>
                <w:sz w:val="20"/>
                <w:szCs w:val="20"/>
                <w:color w:val="auto"/>
              </w:rPr>
            </w:pPr>
          </w:p>
        </w:tc>
        <w:tc>
          <w:tcPr>
            <w:tcW w:w="15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324"/>
        </w:trPr>
        <w:tc>
          <w:tcPr>
            <w:tcW w:w="7580" w:type="dxa"/>
            <w:vAlign w:val="bottom"/>
          </w:tcPr>
          <w:p>
            <w:pPr>
              <w:ind w:left="20"/>
              <w:spacing w:after="0"/>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740" w:type="dxa"/>
            <w:vAlign w:val="bottom"/>
          </w:tcPr>
          <w:p>
            <w:pPr>
              <w:jc w:val="right"/>
              <w:ind w:right="5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2,532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2,841</w:t>
            </w:r>
          </w:p>
        </w:tc>
        <w:tc>
          <w:tcPr>
            <w:tcW w:w="20" w:type="dxa"/>
            <w:vAlign w:val="bottom"/>
          </w:tcPr>
          <w:p>
            <w:pPr>
              <w:spacing w:after="0"/>
              <w:rPr>
                <w:sz w:val="24"/>
                <w:szCs w:val="24"/>
                <w:color w:val="auto"/>
              </w:rPr>
            </w:pPr>
          </w:p>
        </w:tc>
      </w:tr>
      <w:tr>
        <w:trPr>
          <w:trHeight w:val="250"/>
        </w:trPr>
        <w:tc>
          <w:tcPr>
            <w:tcW w:w="75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Variable lease cost</w:t>
            </w:r>
          </w:p>
        </w:tc>
        <w:tc>
          <w:tcPr>
            <w:tcW w:w="74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437</w:t>
            </w:r>
          </w:p>
        </w:tc>
        <w:tc>
          <w:tcPr>
            <w:tcW w:w="240" w:type="dxa"/>
            <w:vAlign w:val="bottom"/>
            <w:tcBorders>
              <w:bottom w:val="single" w:sz="8" w:color="F4F4F4"/>
            </w:tcBorders>
            <w:shd w:val="clear" w:color="auto" w:fill="F4F4F4"/>
          </w:tcPr>
          <w:p>
            <w:pPr>
              <w:spacing w:after="0"/>
              <w:rPr>
                <w:sz w:val="21"/>
                <w:szCs w:val="21"/>
                <w:color w:val="auto"/>
              </w:rPr>
            </w:pPr>
          </w:p>
        </w:tc>
        <w:tc>
          <w:tcPr>
            <w:tcW w:w="15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699</w:t>
            </w:r>
          </w:p>
        </w:tc>
        <w:tc>
          <w:tcPr>
            <w:tcW w:w="20" w:type="dxa"/>
            <w:vAlign w:val="bottom"/>
          </w:tcPr>
          <w:p>
            <w:pPr>
              <w:spacing w:after="0"/>
              <w:rPr>
                <w:sz w:val="21"/>
                <w:szCs w:val="21"/>
                <w:color w:val="auto"/>
              </w:rPr>
            </w:pPr>
          </w:p>
        </w:tc>
      </w:tr>
      <w:tr>
        <w:trPr>
          <w:trHeight w:val="243"/>
        </w:trPr>
        <w:tc>
          <w:tcPr>
            <w:tcW w:w="758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(431)</w:t>
            </w:r>
          </w:p>
        </w:tc>
        <w:tc>
          <w:tcPr>
            <w:tcW w:w="2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(460)</w:t>
            </w:r>
          </w:p>
        </w:tc>
        <w:tc>
          <w:tcPr>
            <w:tcW w:w="20" w:type="dxa"/>
            <w:vAlign w:val="bottom"/>
          </w:tcPr>
          <w:p>
            <w:pPr>
              <w:spacing w:after="0"/>
              <w:rPr>
                <w:sz w:val="21"/>
                <w:szCs w:val="21"/>
                <w:color w:val="auto"/>
              </w:rPr>
            </w:pPr>
          </w:p>
        </w:tc>
      </w:tr>
      <w:tr>
        <w:trPr>
          <w:trHeight w:val="27"/>
        </w:trPr>
        <w:tc>
          <w:tcPr>
            <w:tcW w:w="7580" w:type="dxa"/>
            <w:vAlign w:val="bottom"/>
            <w:tcBorders>
              <w:bottom w:val="single" w:sz="8" w:color="F4F4F4"/>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75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Net lease cost</w:t>
            </w:r>
          </w:p>
        </w:tc>
        <w:tc>
          <w:tcPr>
            <w:tcW w:w="740" w:type="dxa"/>
            <w:vAlign w:val="bottom"/>
            <w:tcBorders>
              <w:bottom w:val="single" w:sz="8" w:color="F4F4F4"/>
            </w:tcBorders>
            <w:shd w:val="clear" w:color="auto" w:fill="F4F4F4"/>
          </w:tcPr>
          <w:p>
            <w:pPr>
              <w:jc w:val="right"/>
              <w:ind w:right="5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2,538</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3,080</w:t>
            </w:r>
          </w:p>
        </w:tc>
        <w:tc>
          <w:tcPr>
            <w:tcW w:w="20" w:type="dxa"/>
            <w:vAlign w:val="bottom"/>
          </w:tcPr>
          <w:p>
            <w:pPr>
              <w:spacing w:after="0"/>
              <w:rPr>
                <w:sz w:val="21"/>
                <w:szCs w:val="21"/>
                <w:color w:val="auto"/>
              </w:rPr>
            </w:pPr>
          </w:p>
        </w:tc>
      </w:tr>
      <w:tr>
        <w:trPr>
          <w:trHeight w:val="20"/>
        </w:trPr>
        <w:tc>
          <w:tcPr>
            <w:tcW w:w="7580" w:type="dxa"/>
            <w:vAlign w:val="bottom"/>
            <w:shd w:val="clear" w:color="auto" w:fill="71BF43"/>
          </w:tcPr>
          <w:p>
            <w:pPr>
              <w:spacing w:after="0" w:line="20" w:lineRule="exact"/>
              <w:rPr>
                <w:sz w:val="1"/>
                <w:szCs w:val="1"/>
                <w:color w:val="auto"/>
              </w:rPr>
            </w:pPr>
          </w:p>
        </w:tc>
        <w:tc>
          <w:tcPr>
            <w:tcW w:w="74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15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4813935</wp:posOffset>
            </wp:positionH>
            <wp:positionV relativeFrom="paragraph">
              <wp:posOffset>-890905</wp:posOffset>
            </wp:positionV>
            <wp:extent cx="23317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331720"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Includes short-term lease costs, which were immaterial.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commitments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term loans under the 2020 Credit Facility require periodic principal payments. The balance of the term loans and any amounts drawn on the revolving credit loans are due upon maturity of the 2020 Credit Facility in October 2025. The Real Estate Loans also require periodic principal payments and the balance of the Real Estate Loans are due upon maturity in April 2038.</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have contractual obligations for third-party technology used in our solutions and for other services we purchase as part of our normal operations. In certain cases, these arrangements require a minimum annual purchase commitment by us. As of March 31, 2022, the remaining aggregate minimum purchase commitment under these arrangements was approximately $31.7 million through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Solution and service indemnifications</w:t>
      </w:r>
    </w:p>
    <w:p>
      <w:pPr>
        <w:spacing w:after="0" w:line="193"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In the ordinary course of business, we provide certain indemnifications of varying scope to customers against claims of intellectual property infringement made by third parties arising from the use of our solutions or services. If we determine that it is probable that a loss has been incurred related to solution or service indemnifications, any such loss that could be reasonably estimated would be recognized. We have not identified any losses and, accordingly, we have not recorded a liability related to these indemnifications.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We are subject to legal proceedings and claims that arise in the ordinary course of business, as well as certain other non-ordinary course proceedings, claims and inquiries, as described below. We make a provision for a loss contingency when it is both probable that a material liability has been incurred and the amount of the loss can be reasonably estimated. If only a range of estimated losses can be determined, we accrue an amount within the range that, in our judgment, reflects the most likely outcome; if none of the estimates within that range is a better estimate than any other amount, we accrue the low end of the range. For proceedings in which an unfavorable outcome is reasonably possible but not probable and an estimate of the loss or range of losses arising from the proceeding can be made, we disclose such an estimate, if material. If such a loss or range of losses is not reasonably estimable, we disclose that fact. We review any such loss contingency provisions at least quarterly and adjust them to reflect the impacts of negotiations, settlements, rulings, advice of legal counsel and other information and events pertaining to a particular case. We recognize insurance recoveries, if any, when they are probable of receipt. All associated costs due to third-party service providers and consultants, including legal fees, are expensed as incurred.</w:t>
      </w:r>
    </w:p>
    <w:p>
      <w:pPr>
        <w:spacing w:after="0" w:line="157"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Legal proceedings are inherently unpredictable. However, we believe that we have valid defenses with respect to the legal matters pending or threatened against us and intend to defend ourselves vigorously against all claims asserted. It is possible that our consolidated financial position, results of operations or cash flows could be materially negatively affected in any particular period by an unfavorable resolution of one or more of such legal proceedings.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Security incident</w:t>
      </w:r>
    </w:p>
    <w:p>
      <w:pPr>
        <w:spacing w:after="0" w:line="171"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As previously disclosed, we are subject to risks and uncertainties as a result of a ransomware attack against us in May 2020 in which a cybercriminal removed a copy of a subset of data from our self-hosted environment (the "Security Incident"). Based on the nature of the Security Incident, our research and third party (including law enforcement) investigation, we have no reason to believe that any data went beyond the cybercriminal, was or will be misused, or will be disseminated or otherwise made available publicly. Our investigation into the Security Incident by our cybersecurity team and third-party forensic advisors remains ongoing.</w:t>
      </w:r>
    </w:p>
    <w:p>
      <w:pPr>
        <w:spacing w:after="0" w:line="151"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As a result of the Security Incident, we are currently subject to certain legal proceedings, claims, inquiries and investigations, as discussed below, and could be the subject of additional legal proceedings, claims, inquires and investigations in the future that might result in adverse judgments, settlements, fines, penalties, or other resolution. To limit our exposure to losses related to claims against us, including data breaches such as the Security Incident, we maintain $50 million of insurance above a $250 thousand deductible payable by us. As noted below, this coverage has reduced our financial exposure related to the Security Incident, and we will continue to seek recoveries under these insurance policies.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We recorded expenses and offsetting probable insurance recoveries related to the Security Incident as follows: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580" w:type="dxa"/>
            <w:vAlign w:val="bottom"/>
            <w:shd w:val="clear" w:color="auto" w:fill="ACACAC"/>
          </w:tcPr>
          <w:p>
            <w:pPr>
              <w:spacing w:after="0"/>
              <w:rPr>
                <w:sz w:val="16"/>
                <w:szCs w:val="16"/>
                <w:color w:val="auto"/>
              </w:rPr>
            </w:pPr>
          </w:p>
        </w:tc>
        <w:tc>
          <w:tcPr>
            <w:tcW w:w="678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14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1580" w:type="dxa"/>
            <w:vAlign w:val="bottom"/>
            <w:shd w:val="clear" w:color="auto" w:fill="ACACAC"/>
          </w:tcPr>
          <w:p>
            <w:pPr>
              <w:spacing w:after="0"/>
              <w:rPr>
                <w:sz w:val="16"/>
                <w:szCs w:val="16"/>
                <w:color w:val="auto"/>
              </w:rPr>
            </w:pPr>
          </w:p>
        </w:tc>
        <w:tc>
          <w:tcPr>
            <w:tcW w:w="678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420" w:type="dxa"/>
            <w:vAlign w:val="bottom"/>
            <w:shd w:val="clear" w:color="auto" w:fill="ACACAC"/>
          </w:tcPr>
          <w:p>
            <w:pPr>
              <w:spacing w:after="0"/>
              <w:rPr>
                <w:sz w:val="16"/>
                <w:szCs w:val="16"/>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241"/>
        </w:trPr>
        <w:tc>
          <w:tcPr>
            <w:tcW w:w="1580" w:type="dxa"/>
            <w:vAlign w:val="bottom"/>
            <w:tcBorders>
              <w:bottom w:val="single" w:sz="8" w:color="F4F4F4"/>
            </w:tcBorders>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6780" w:type="dxa"/>
            <w:vAlign w:val="bottom"/>
            <w:tcBorders>
              <w:bottom w:val="single" w:sz="8" w:color="F4F4F4"/>
            </w:tcBorders>
            <w:shd w:val="clear" w:color="auto" w:fill="ACACAC"/>
          </w:tcPr>
          <w:p>
            <w:pPr>
              <w:spacing w:after="0"/>
              <w:rPr>
                <w:sz w:val="21"/>
                <w:szCs w:val="21"/>
                <w:color w:val="auto"/>
              </w:rPr>
            </w:pPr>
          </w:p>
        </w:tc>
        <w:tc>
          <w:tcPr>
            <w:tcW w:w="48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20" w:type="dxa"/>
            <w:vAlign w:val="bottom"/>
            <w:tcBorders>
              <w:bottom w:val="single" w:sz="8" w:color="ACACAC"/>
            </w:tcBorders>
            <w:shd w:val="clear" w:color="auto" w:fill="ACACAC"/>
          </w:tcPr>
          <w:p>
            <w:pPr>
              <w:spacing w:after="0"/>
              <w:rPr>
                <w:sz w:val="21"/>
                <w:szCs w:val="21"/>
                <w:color w:val="auto"/>
              </w:rPr>
            </w:pPr>
          </w:p>
        </w:tc>
        <w:tc>
          <w:tcPr>
            <w:tcW w:w="10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1"/>
                <w:szCs w:val="21"/>
                <w:color w:val="auto"/>
              </w:rPr>
            </w:pPr>
          </w:p>
        </w:tc>
      </w:tr>
      <w:tr>
        <w:trPr>
          <w:trHeight w:val="244"/>
        </w:trPr>
        <w:tc>
          <w:tcPr>
            <w:tcW w:w="158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Gross expense</w:t>
            </w:r>
          </w:p>
        </w:tc>
        <w:tc>
          <w:tcPr>
            <w:tcW w:w="6780" w:type="dxa"/>
            <w:vAlign w:val="bottom"/>
            <w:tcBorders>
              <w:bottom w:val="single" w:sz="8" w:color="F4F4F4"/>
            </w:tcBorders>
            <w:shd w:val="clear" w:color="auto" w:fill="F4F4F4"/>
          </w:tcPr>
          <w:p>
            <w:pPr>
              <w:spacing w:after="0"/>
              <w:rPr>
                <w:sz w:val="21"/>
                <w:szCs w:val="21"/>
                <w:color w:val="auto"/>
              </w:rPr>
            </w:pPr>
          </w:p>
        </w:tc>
        <w:tc>
          <w:tcPr>
            <w:tcW w:w="48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center"/>
              <w:ind w:left="255"/>
              <w:spacing w:after="0"/>
              <w:rPr>
                <w:sz w:val="20"/>
                <w:szCs w:val="20"/>
                <w:color w:val="auto"/>
              </w:rPr>
            </w:pPr>
            <w:r>
              <w:rPr>
                <w:rFonts w:ascii="Arial" w:cs="Arial" w:eastAsia="Arial" w:hAnsi="Arial"/>
                <w:sz w:val="18"/>
                <w:szCs w:val="18"/>
                <w:color w:val="auto"/>
              </w:rPr>
              <w:t>9,005</w:t>
            </w:r>
          </w:p>
        </w:tc>
        <w:tc>
          <w:tcPr>
            <w:tcW w:w="420" w:type="dxa"/>
            <w:vAlign w:val="bottom"/>
            <w:tcBorders>
              <w:bottom w:val="single" w:sz="8" w:color="F4F4F4"/>
            </w:tcBorders>
            <w:shd w:val="clear" w:color="auto" w:fill="F4F4F4"/>
          </w:tcPr>
          <w:p>
            <w:pPr>
              <w:jc w:val="right"/>
              <w:ind w:right="21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12,814</w:t>
            </w:r>
          </w:p>
        </w:tc>
        <w:tc>
          <w:tcPr>
            <w:tcW w:w="20" w:type="dxa"/>
            <w:vAlign w:val="bottom"/>
          </w:tcPr>
          <w:p>
            <w:pPr>
              <w:spacing w:after="0"/>
              <w:rPr>
                <w:sz w:val="21"/>
                <w:szCs w:val="21"/>
                <w:color w:val="auto"/>
              </w:rPr>
            </w:pPr>
          </w:p>
        </w:tc>
      </w:tr>
      <w:tr>
        <w:trPr>
          <w:trHeight w:val="243"/>
        </w:trPr>
        <w:tc>
          <w:tcPr>
            <w:tcW w:w="8360" w:type="dxa"/>
            <w:vAlign w:val="bottom"/>
            <w:gridSpan w:val="2"/>
          </w:tcPr>
          <w:p>
            <w:pPr>
              <w:ind w:left="20"/>
              <w:spacing w:after="0"/>
              <w:rPr>
                <w:sz w:val="20"/>
                <w:szCs w:val="20"/>
                <w:color w:val="auto"/>
              </w:rPr>
            </w:pPr>
            <w:r>
              <w:rPr>
                <w:rFonts w:ascii="Arial" w:cs="Arial" w:eastAsia="Arial" w:hAnsi="Arial"/>
                <w:sz w:val="18"/>
                <w:szCs w:val="18"/>
                <w:color w:val="auto"/>
              </w:rPr>
              <w:t>Offsetting probable insurance recoveries</w:t>
            </w:r>
          </w:p>
        </w:tc>
        <w:tc>
          <w:tcPr>
            <w:tcW w:w="480" w:type="dxa"/>
            <w:vAlign w:val="bottom"/>
          </w:tcPr>
          <w:p>
            <w:pPr>
              <w:spacing w:after="0"/>
              <w:rPr>
                <w:sz w:val="21"/>
                <w:szCs w:val="21"/>
                <w:color w:val="auto"/>
              </w:rPr>
            </w:pPr>
          </w:p>
        </w:tc>
        <w:tc>
          <w:tcPr>
            <w:tcW w:w="960" w:type="dxa"/>
            <w:vAlign w:val="bottom"/>
          </w:tcPr>
          <w:p>
            <w:pPr>
              <w:jc w:val="center"/>
              <w:ind w:left="235"/>
              <w:spacing w:after="0"/>
              <w:rPr>
                <w:sz w:val="20"/>
                <w:szCs w:val="20"/>
                <w:color w:val="auto"/>
              </w:rPr>
            </w:pPr>
            <w:r>
              <w:rPr>
                <w:rFonts w:ascii="Arial" w:cs="Arial" w:eastAsia="Arial" w:hAnsi="Arial"/>
                <w:sz w:val="18"/>
                <w:szCs w:val="18"/>
                <w:color w:val="auto"/>
                <w:w w:val="98"/>
              </w:rPr>
              <w:t>(1,804)</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(12,813)</w:t>
            </w:r>
          </w:p>
        </w:tc>
        <w:tc>
          <w:tcPr>
            <w:tcW w:w="20" w:type="dxa"/>
            <w:vAlign w:val="bottom"/>
          </w:tcPr>
          <w:p>
            <w:pPr>
              <w:spacing w:after="0"/>
              <w:rPr>
                <w:sz w:val="21"/>
                <w:szCs w:val="21"/>
                <w:color w:val="auto"/>
              </w:rPr>
            </w:pPr>
          </w:p>
        </w:tc>
      </w:tr>
      <w:tr>
        <w:trPr>
          <w:trHeight w:val="27"/>
        </w:trPr>
        <w:tc>
          <w:tcPr>
            <w:tcW w:w="1580" w:type="dxa"/>
            <w:vAlign w:val="bottom"/>
            <w:tcBorders>
              <w:bottom w:val="single" w:sz="8" w:color="F4F4F4"/>
            </w:tcBorders>
          </w:tcPr>
          <w:p>
            <w:pPr>
              <w:spacing w:after="0"/>
              <w:rPr>
                <w:sz w:val="2"/>
                <w:szCs w:val="2"/>
                <w:color w:val="auto"/>
              </w:rPr>
            </w:pPr>
          </w:p>
        </w:tc>
        <w:tc>
          <w:tcPr>
            <w:tcW w:w="6780" w:type="dxa"/>
            <w:vAlign w:val="bottom"/>
            <w:tcBorders>
              <w:bottom w:val="single" w:sz="8" w:color="F4F4F4"/>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158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Net expense</w:t>
            </w:r>
          </w:p>
        </w:tc>
        <w:tc>
          <w:tcPr>
            <w:tcW w:w="6780" w:type="dxa"/>
            <w:vAlign w:val="bottom"/>
            <w:tcBorders>
              <w:bottom w:val="single" w:sz="8" w:color="F4F4F4"/>
            </w:tcBorders>
            <w:shd w:val="clear" w:color="auto" w:fill="F4F4F4"/>
          </w:tcPr>
          <w:p>
            <w:pPr>
              <w:spacing w:after="0"/>
              <w:rPr>
                <w:sz w:val="22"/>
                <w:szCs w:val="22"/>
                <w:color w:val="auto"/>
              </w:rPr>
            </w:pPr>
          </w:p>
        </w:tc>
        <w:tc>
          <w:tcPr>
            <w:tcW w:w="480" w:type="dxa"/>
            <w:vAlign w:val="bottom"/>
            <w:tcBorders>
              <w:bottom w:val="single" w:sz="8" w:color="F4F4F4"/>
            </w:tcBorders>
            <w:shd w:val="clear" w:color="auto" w:fill="F4F4F4"/>
          </w:tcPr>
          <w:p>
            <w:pPr>
              <w:jc w:val="right"/>
              <w:ind w:right="2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center"/>
              <w:ind w:left="255"/>
              <w:spacing w:after="0"/>
              <w:rPr>
                <w:sz w:val="20"/>
                <w:szCs w:val="20"/>
                <w:color w:val="auto"/>
              </w:rPr>
            </w:pPr>
            <w:r>
              <w:rPr>
                <w:rFonts w:ascii="Arial" w:cs="Arial" w:eastAsia="Arial" w:hAnsi="Arial"/>
                <w:sz w:val="18"/>
                <w:szCs w:val="18"/>
                <w:color w:val="auto"/>
              </w:rPr>
              <w:t>7,201</w:t>
            </w:r>
          </w:p>
        </w:tc>
        <w:tc>
          <w:tcPr>
            <w:tcW w:w="420" w:type="dxa"/>
            <w:vAlign w:val="bottom"/>
            <w:tcBorders>
              <w:bottom w:val="single" w:sz="8" w:color="F4F4F4"/>
            </w:tcBorders>
            <w:shd w:val="clear" w:color="auto" w:fill="F4F4F4"/>
          </w:tcPr>
          <w:p>
            <w:pPr>
              <w:jc w:val="right"/>
              <w:ind w:right="216"/>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2"/>
                <w:szCs w:val="22"/>
                <w:color w:val="auto"/>
              </w:rPr>
            </w:pPr>
          </w:p>
        </w:tc>
      </w:tr>
      <w:tr>
        <w:trPr>
          <w:trHeight w:val="684"/>
        </w:trPr>
        <w:tc>
          <w:tcPr>
            <w:tcW w:w="1580" w:type="dxa"/>
            <w:vAlign w:val="bottom"/>
            <w:tcBorders>
              <w:top w:val="single" w:sz="8" w:color="8CBE4F"/>
            </w:tcBorders>
          </w:tcPr>
          <w:p>
            <w:pPr>
              <w:ind w:left="20"/>
              <w:spacing w:after="0"/>
              <w:rPr>
                <w:sz w:val="20"/>
                <w:szCs w:val="20"/>
                <w:color w:val="auto"/>
              </w:rPr>
            </w:pPr>
            <w:r>
              <w:rPr>
                <w:rFonts w:ascii="Arial" w:cs="Arial" w:eastAsia="Arial" w:hAnsi="Arial"/>
                <w:sz w:val="14"/>
                <w:szCs w:val="14"/>
                <w:color w:val="auto"/>
              </w:rPr>
              <w:t>16</w:t>
            </w:r>
          </w:p>
        </w:tc>
        <w:tc>
          <w:tcPr>
            <w:tcW w:w="6780" w:type="dxa"/>
            <w:vAlign w:val="bottom"/>
            <w:tcBorders>
              <w:top w:val="single" w:sz="8" w:color="8CBE4F"/>
            </w:tcBorders>
          </w:tcPr>
          <w:p>
            <w:pPr>
              <w:ind w:left="60"/>
              <w:spacing w:after="0"/>
              <w:rPr>
                <w:sz w:val="20"/>
                <w:szCs w:val="20"/>
                <w:color w:val="auto"/>
              </w:rPr>
            </w:pPr>
            <w:r>
              <w:rPr>
                <w:rFonts w:ascii="Arial" w:cs="Arial" w:eastAsia="Arial" w:hAnsi="Arial"/>
                <w:sz w:val="14"/>
                <w:szCs w:val="14"/>
                <w:color w:val="auto"/>
              </w:rPr>
              <w:t>First Quarter 2022 Form 10-Q</w:t>
            </w:r>
          </w:p>
        </w:tc>
        <w:tc>
          <w:tcPr>
            <w:tcW w:w="480" w:type="dxa"/>
            <w:vAlign w:val="bottom"/>
            <w:tcBorders>
              <w:top w:val="single" w:sz="8" w:color="8CBE4F"/>
            </w:tcBorders>
          </w:tcPr>
          <w:p>
            <w:pPr>
              <w:spacing w:after="0"/>
              <w:rPr>
                <w:sz w:val="24"/>
                <w:szCs w:val="24"/>
                <w:color w:val="auto"/>
              </w:rPr>
            </w:pPr>
          </w:p>
        </w:tc>
        <w:tc>
          <w:tcPr>
            <w:tcW w:w="960" w:type="dxa"/>
            <w:vAlign w:val="bottom"/>
            <w:tcBorders>
              <w:top w:val="single" w:sz="8" w:color="8CBE4F"/>
            </w:tcBorders>
          </w:tcPr>
          <w:p>
            <w:pPr>
              <w:spacing w:after="0"/>
              <w:rPr>
                <w:sz w:val="24"/>
                <w:szCs w:val="24"/>
                <w:color w:val="auto"/>
              </w:rPr>
            </w:pPr>
          </w:p>
        </w:tc>
        <w:tc>
          <w:tcPr>
            <w:tcW w:w="420" w:type="dxa"/>
            <w:vAlign w:val="bottom"/>
            <w:tcBorders>
              <w:top w:val="single" w:sz="8" w:color="8CBE4F"/>
            </w:tcBorders>
          </w:tcPr>
          <w:p>
            <w:pPr>
              <w:spacing w:after="0"/>
              <w:rPr>
                <w:sz w:val="24"/>
                <w:szCs w:val="24"/>
                <w:color w:val="auto"/>
              </w:rPr>
            </w:pPr>
          </w:p>
        </w:tc>
        <w:tc>
          <w:tcPr>
            <w:tcW w:w="1020" w:type="dxa"/>
            <w:vAlign w:val="bottom"/>
            <w:tcBorders>
              <w:top w:val="single" w:sz="8" w:color="8CBE4F"/>
            </w:tcBorders>
          </w:tcPr>
          <w:p>
            <w:pPr>
              <w:spacing w:after="0"/>
              <w:rPr>
                <w:sz w:val="24"/>
                <w:szCs w:val="24"/>
                <w:color w:val="auto"/>
              </w:rPr>
            </w:pPr>
          </w:p>
        </w:tc>
        <w:tc>
          <w:tcPr>
            <w:tcW w:w="20" w:type="dxa"/>
            <w:vAlign w:val="bottom"/>
          </w:tcPr>
          <w:p>
            <w:pPr>
              <w:spacing w:after="0"/>
              <w:rPr>
                <w:sz w:val="24"/>
                <w:szCs w:val="24"/>
                <w:color w:val="auto"/>
              </w:rPr>
            </w:pPr>
          </w:p>
        </w:tc>
      </w:tr>
      <w:tr>
        <w:trPr>
          <w:trHeight w:val="329"/>
        </w:trPr>
        <w:tc>
          <w:tcPr>
            <w:tcW w:w="1580" w:type="dxa"/>
            <w:vAlign w:val="bottom"/>
            <w:tcBorders>
              <w:bottom w:val="single" w:sz="8" w:color="9A9A9A"/>
            </w:tcBorders>
          </w:tcPr>
          <w:p>
            <w:pPr>
              <w:spacing w:after="0"/>
              <w:rPr>
                <w:sz w:val="24"/>
                <w:szCs w:val="24"/>
                <w:color w:val="auto"/>
              </w:rPr>
            </w:pPr>
          </w:p>
        </w:tc>
        <w:tc>
          <w:tcPr>
            <w:tcW w:w="67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-1344930</wp:posOffset>
            </wp:positionV>
            <wp:extent cx="18427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84277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cumulative expenses, probable insurance recoveries and insurance recoveries paid as of:</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360" w:type="dxa"/>
            <w:vAlign w:val="bottom"/>
            <w:shd w:val="clear" w:color="auto" w:fill="ACACAC"/>
          </w:tcPr>
          <w:p>
            <w:pPr>
              <w:spacing w:after="0"/>
              <w:rPr>
                <w:sz w:val="15"/>
                <w:szCs w:val="15"/>
                <w:color w:val="auto"/>
              </w:rPr>
            </w:pPr>
          </w:p>
        </w:tc>
        <w:tc>
          <w:tcPr>
            <w:tcW w:w="420" w:type="dxa"/>
            <w:vAlign w:val="bottom"/>
            <w:shd w:val="clear" w:color="auto" w:fill="ACACAC"/>
          </w:tcPr>
          <w:p>
            <w:pPr>
              <w:spacing w:after="0"/>
              <w:rPr>
                <w:sz w:val="15"/>
                <w:szCs w:val="15"/>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300" w:type="dxa"/>
            <w:vAlign w:val="bottom"/>
            <w:shd w:val="clear" w:color="auto" w:fill="ACACAC"/>
          </w:tcPr>
          <w:p>
            <w:pPr>
              <w:spacing w:after="0"/>
              <w:rPr>
                <w:sz w:val="15"/>
                <w:szCs w:val="15"/>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r>
      <w:tr>
        <w:trPr>
          <w:trHeight w:val="202"/>
        </w:trPr>
        <w:tc>
          <w:tcPr>
            <w:tcW w:w="836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thousands)</w:t>
            </w:r>
          </w:p>
        </w:tc>
        <w:tc>
          <w:tcPr>
            <w:tcW w:w="420" w:type="dxa"/>
            <w:vAlign w:val="bottom"/>
            <w:shd w:val="clear" w:color="auto" w:fill="ACACAC"/>
          </w:tcPr>
          <w:p>
            <w:pPr>
              <w:spacing w:after="0"/>
              <w:rPr>
                <w:sz w:val="17"/>
                <w:szCs w:val="17"/>
                <w:color w:val="auto"/>
              </w:rPr>
            </w:pPr>
          </w:p>
        </w:tc>
        <w:tc>
          <w:tcPr>
            <w:tcW w:w="10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00" w:type="dxa"/>
            <w:vAlign w:val="bottom"/>
            <w:shd w:val="clear" w:color="auto" w:fill="ACACAC"/>
          </w:tcPr>
          <w:p>
            <w:pPr>
              <w:spacing w:after="0"/>
              <w:rPr>
                <w:sz w:val="17"/>
                <w:szCs w:val="17"/>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r>
      <w:tr>
        <w:trPr>
          <w:trHeight w:val="250"/>
        </w:trPr>
        <w:tc>
          <w:tcPr>
            <w:tcW w:w="83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Cumulative gross expense</w:t>
            </w:r>
          </w:p>
        </w:tc>
        <w:tc>
          <w:tcPr>
            <w:tcW w:w="42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59,396</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50,391</w:t>
            </w:r>
          </w:p>
        </w:tc>
      </w:tr>
      <w:tr>
        <w:trPr>
          <w:trHeight w:val="243"/>
        </w:trPr>
        <w:tc>
          <w:tcPr>
            <w:tcW w:w="8360" w:type="dxa"/>
            <w:vAlign w:val="bottom"/>
          </w:tcPr>
          <w:p>
            <w:pPr>
              <w:ind w:left="20"/>
              <w:spacing w:after="0"/>
              <w:rPr>
                <w:sz w:val="20"/>
                <w:szCs w:val="20"/>
                <w:color w:val="auto"/>
              </w:rPr>
            </w:pPr>
            <w:r>
              <w:rPr>
                <w:rFonts w:ascii="Arial" w:cs="Arial" w:eastAsia="Arial" w:hAnsi="Arial"/>
                <w:sz w:val="18"/>
                <w:szCs w:val="18"/>
                <w:color w:val="auto"/>
              </w:rPr>
              <w:t>Cumulative offsetting insurance recoveries</w:t>
            </w:r>
          </w:p>
        </w:tc>
        <w:tc>
          <w:tcPr>
            <w:tcW w:w="4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(49,913)</w:t>
            </w:r>
          </w:p>
        </w:tc>
        <w:tc>
          <w:tcPr>
            <w:tcW w:w="3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(48,109)</w:t>
            </w:r>
          </w:p>
        </w:tc>
      </w:tr>
      <w:tr>
        <w:trPr>
          <w:trHeight w:val="27"/>
        </w:trPr>
        <w:tc>
          <w:tcPr>
            <w:tcW w:w="8360" w:type="dxa"/>
            <w:vAlign w:val="bottom"/>
            <w:tcBorders>
              <w:bottom w:val="single" w:sz="8" w:color="F4F4F4"/>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3"/>
        </w:trPr>
        <w:tc>
          <w:tcPr>
            <w:tcW w:w="836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Cumulative net expense</w:t>
            </w:r>
          </w:p>
        </w:tc>
        <w:tc>
          <w:tcPr>
            <w:tcW w:w="42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9,483</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2,282</w:t>
            </w:r>
          </w:p>
        </w:tc>
      </w:tr>
      <w:tr>
        <w:trPr>
          <w:trHeight w:val="250"/>
        </w:trPr>
        <w:tc>
          <w:tcPr>
            <w:tcW w:w="8360" w:type="dxa"/>
            <w:vAlign w:val="bottom"/>
          </w:tcPr>
          <w:p>
            <w:pPr>
              <w:spacing w:after="0"/>
              <w:rPr>
                <w:sz w:val="21"/>
                <w:szCs w:val="21"/>
                <w:color w:val="auto"/>
              </w:rPr>
            </w:pPr>
          </w:p>
        </w:tc>
        <w:tc>
          <w:tcPr>
            <w:tcW w:w="4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r>
      <w:tr>
        <w:trPr>
          <w:trHeight w:val="250"/>
        </w:trPr>
        <w:tc>
          <w:tcPr>
            <w:tcW w:w="836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Cumulative offsetting insurance recoveries paid</w:t>
            </w:r>
          </w:p>
        </w:tc>
        <w:tc>
          <w:tcPr>
            <w:tcW w:w="420" w:type="dxa"/>
            <w:vAlign w:val="bottom"/>
            <w:tcBorders>
              <w:bottom w:val="single" w:sz="8" w:color="F4F4F4"/>
            </w:tcBorders>
            <w:shd w:val="clear" w:color="auto" w:fill="F4F4F4"/>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(37,277)</w:t>
            </w:r>
          </w:p>
        </w:tc>
        <w:tc>
          <w:tcPr>
            <w:tcW w:w="300" w:type="dxa"/>
            <w:vAlign w:val="bottom"/>
            <w:tcBorders>
              <w:bottom w:val="single" w:sz="8" w:color="F4F4F4"/>
            </w:tcBorders>
            <w:shd w:val="clear" w:color="auto" w:fill="F4F4F4"/>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(29,968)</w:t>
            </w:r>
          </w:p>
        </w:tc>
      </w:tr>
      <w:tr>
        <w:trPr>
          <w:trHeight w:val="20"/>
        </w:trPr>
        <w:tc>
          <w:tcPr>
            <w:tcW w:w="8360" w:type="dxa"/>
            <w:vAlign w:val="bottom"/>
            <w:shd w:val="clear" w:color="auto" w:fill="71BF43"/>
          </w:tcPr>
          <w:p>
            <w:pPr>
              <w:spacing w:after="0" w:line="20" w:lineRule="exact"/>
              <w:rPr>
                <w:sz w:val="1"/>
                <w:szCs w:val="1"/>
                <w:color w:val="auto"/>
              </w:rPr>
            </w:pPr>
          </w:p>
        </w:tc>
        <w:tc>
          <w:tcPr>
            <w:tcW w:w="420" w:type="dxa"/>
            <w:vAlign w:val="bottom"/>
            <w:shd w:val="clear" w:color="auto" w:fill="71BF43"/>
          </w:tcPr>
          <w:p>
            <w:pPr>
              <w:spacing w:after="0" w:line="20" w:lineRule="exact"/>
              <w:rPr>
                <w:sz w:val="1"/>
                <w:szCs w:val="1"/>
                <w:color w:val="auto"/>
              </w:rPr>
            </w:pPr>
          </w:p>
        </w:tc>
        <w:tc>
          <w:tcPr>
            <w:tcW w:w="1020" w:type="dxa"/>
            <w:vAlign w:val="bottom"/>
            <w:shd w:val="clear" w:color="auto" w:fill="71BF43"/>
          </w:tcPr>
          <w:p>
            <w:pPr>
              <w:spacing w:after="0" w:line="20" w:lineRule="exact"/>
              <w:rPr>
                <w:sz w:val="1"/>
                <w:szCs w:val="1"/>
                <w:color w:val="auto"/>
              </w:rPr>
            </w:pPr>
          </w:p>
        </w:tc>
        <w:tc>
          <w:tcPr>
            <w:tcW w:w="30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r>
    </w:tbl>
    <w:p>
      <w:pPr>
        <w:spacing w:after="0" w:line="25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Due to the time required to submit and process such insurance claims, we have not yet received all of the accrued insurance recoveries. Recorded expenses consisted primarily of payments for legal fees related to governmental inquiries and investigations and customer constituent class actions. We present expenses and insurance recoveries related to the Security Incident in general and administrative expense on our consolidated statements of comprehensive income and as operating activities on our consolidated statements of cash flows. Total costs related to the Security Incident that we expect will be recoverable exceeded the limit of our insurance coverage during the first quarter of 2022. We expect to continue to experience significant expenses related to our response to the Security Incident, resolution of legal proceedings, claims, inquiries and investigations discussed below, and our efforts to further enhance our security measures. For full year 2022, we currently expect net cash outlays of approximately $25.0 million to $35.0 million for ongoing legal fees related to the Security Incident. In line with our policy as discussed above, legal fees are expensed as incurred.</w:t>
      </w:r>
    </w:p>
    <w:p>
      <w:pPr>
        <w:spacing w:after="0" w:line="158"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Based on our analysis of the factors described above, we have not recorded a liability for a loss contingency related to the Security Incident as of March 31, 2022 because we are unable at this time to reasonably estimate the possible loss or range of loss.</w:t>
      </w:r>
    </w:p>
    <w:p>
      <w:pPr>
        <w:spacing w:after="0" w:line="12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Customer claims. </w:t>
      </w:r>
      <w:r>
        <w:rPr>
          <w:rFonts w:ascii="Arial" w:cs="Arial" w:eastAsia="Arial" w:hAnsi="Arial"/>
          <w:sz w:val="18"/>
          <w:szCs w:val="18"/>
          <w:color w:val="auto"/>
        </w:rPr>
        <w:t>To date, we have received approximately 260 specific requests for reimbursement of expenses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Reimbursement Requests") and approximately 400 reservations of the right to seek expense recovery in the future from customers or their attorneys in the U.S., U.K. and Canada related to the Security Incident (none of which have as yet been filed in court). Of the Customer Reimbursement Requests received to date, approximately 190 have been fully resolved and closed. In addition, insurance companies representing various customers’ interests through subrogation claims have contacted us. One insurance company has filed a subrogation claim in court.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Our review of customer and subrogation claims includes analyzing individual customer contracts into which we have entered, the specific claims made and applicable law.</w:t>
      </w:r>
    </w:p>
    <w:p>
      <w:pPr>
        <w:spacing w:after="0" w:line="1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 xml:space="preserve">Customer constituent class actions. </w:t>
      </w:r>
      <w:r>
        <w:rPr>
          <w:rFonts w:ascii="Arial" w:cs="Arial" w:eastAsia="Arial" w:hAnsi="Arial"/>
          <w:sz w:val="18"/>
          <w:szCs w:val="18"/>
          <w:color w:val="auto"/>
        </w:rPr>
        <w:t>Presently, we are a defendant in 19 putative consumer class action cases [17 in U.S. federal courts</w:t>
      </w:r>
      <w:r>
        <w:rPr>
          <w:rFonts w:ascii="Arial" w:cs="Arial" w:eastAsia="Arial" w:hAnsi="Arial"/>
          <w:sz w:val="18"/>
          <w:szCs w:val="18"/>
          <w:i w:val="1"/>
          <w:iCs w:val="1"/>
          <w:color w:val="auto"/>
        </w:rPr>
        <w:t xml:space="preserve"> </w:t>
      </w:r>
      <w:r>
        <w:rPr>
          <w:rFonts w:ascii="Arial" w:cs="Arial" w:eastAsia="Arial" w:hAnsi="Arial"/>
          <w:sz w:val="18"/>
          <w:szCs w:val="18"/>
          <w:color w:val="auto"/>
        </w:rPr>
        <w:t>(which have been consolidated under multi district litigation to a single federal court) and 2 in Canadian courts] alleging harm from the Security Incident. The plaintiffs in these cases, who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w:t>
      </w:r>
    </w:p>
    <w:p>
      <w:pPr>
        <w:spacing w:after="0" w:line="14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Lawsuits that are putative class actions require a plaintiff to satisfy a number of procedural requirements before proceeding to trial. These requirements include, among others, demonstration to a court that the law proscribes in some manner our activities, the making of factual allegations sufficient to suggest that our activities exceeded the limits of the law and a determination by the court—known as class certification—that the law permits a group of individuals to pursue the case together as a class. If these procedural requirements are not met, the lawsuit cannot proceed as a class action and the plaintiff may lose the financial incentive to proceed with the case. Frequently, a court’s determination as to these procedural requirements is subject to appeal to a higher court. As a result of these uncertainties, we may be unable to determine the probability of loss until, or after, a court has finally determined that a plaintiff has satisfied the applicable class action procedural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216535</wp:posOffset>
            </wp:positionV>
            <wp:extent cx="659765"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Furthermore, for putative class actions, it is often not possible to estimate the possible loss or a range of loss amounts, even where we have determined that a loss is reasonably possible. Generally, class actions involve a large number of people and raise complex legal and factual issues that result in uncertainty as to their outcome and, ultimately, making it difficult for us to estimate the amount of damages that a plaintiff might successfully prove. This analysis is further complicated by the fact that the plaintiffs lack contractual privity with us.</w:t>
      </w:r>
    </w:p>
    <w:p>
      <w:pPr>
        <w:spacing w:after="0" w:line="13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i w:val="1"/>
          <w:iCs w:val="1"/>
          <w:color w:val="auto"/>
        </w:rPr>
        <w:t xml:space="preserve">Governmental inquiries and investigations. </w:t>
      </w:r>
      <w:r>
        <w:rPr>
          <w:rFonts w:ascii="Arial" w:cs="Arial" w:eastAsia="Arial" w:hAnsi="Arial"/>
          <w:sz w:val="18"/>
          <w:szCs w:val="18"/>
          <w:color w:val="auto"/>
        </w:rPr>
        <w:t>To date, we have received a consolidated, multi-state Civil Investigative Demand issued on behalf</w:t>
      </w:r>
      <w:r>
        <w:rPr>
          <w:rFonts w:ascii="Arial" w:cs="Arial" w:eastAsia="Arial" w:hAnsi="Arial"/>
          <w:sz w:val="18"/>
          <w:szCs w:val="18"/>
          <w:i w:val="1"/>
          <w:iCs w:val="1"/>
          <w:color w:val="auto"/>
        </w:rPr>
        <w:t xml:space="preserve"> </w:t>
      </w:r>
      <w:r>
        <w:rPr>
          <w:rFonts w:ascii="Arial" w:cs="Arial" w:eastAsia="Arial" w:hAnsi="Arial"/>
          <w:sz w:val="18"/>
          <w:szCs w:val="18"/>
          <w:color w:val="auto"/>
        </w:rPr>
        <w:t>of 49 state Attorneys General and the District of Columbia and a separate Civil Investigative Demand from the office of the California Attorney General relating to the Security Incident. We also are subject to the following pending governmental actions:</w:t>
      </w:r>
    </w:p>
    <w:p>
      <w:pPr>
        <w:spacing w:after="0" w:line="86" w:lineRule="exact"/>
        <w:rPr>
          <w:sz w:val="20"/>
          <w:szCs w:val="20"/>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investigation by the U.S. Federal Trade Commission;</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formal investigation by the SEC;</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investigation by the U.S. Department of Health and Human Services;</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investigation by the Office of the Australian Information Commissioner; and</w:t>
      </w:r>
    </w:p>
    <w:p>
      <w:pPr>
        <w:spacing w:after="0" w:line="117" w:lineRule="exact"/>
        <w:rPr>
          <w:rFonts w:ascii="Arial" w:cs="Arial" w:eastAsia="Arial" w:hAnsi="Arial"/>
          <w:sz w:val="18"/>
          <w:szCs w:val="18"/>
          <w:color w:val="auto"/>
        </w:rPr>
      </w:pPr>
    </w:p>
    <w:p>
      <w:pPr>
        <w:ind w:left="620" w:hanging="288"/>
        <w:spacing w:after="0"/>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investigation by the Office of the Privacy Commissioner of Canada.</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On September 28, 2021, the Information Commissioner's Office in the United Kingdom under the U.K Data Protection Act 2018 (the "ICO") notified us that it has closed its investigation of the Security Incident. Based on its investigation and having considered our actions before, during and after the Security Incident, the ICO issued our European subsidiary a reprimand in accordance with Article 58(2)(b) of the U.K. General Data Protection Regulation ("U.K. GDPR") due to our non-compliance, in the ICO's view, with the requirements set out in Article 32 of the U.K. GDPR regarding the processing of personal data. The ICO did not impose a penalty related to the Security Incident, nor did it impose any requirements for further action by us.</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September 24, 2021, we received notice from the Spanish Data Protection Authority that it has concluded its investigation of the Security Incident, pursuant to which our European subsidiary paid a penalty of €60,000 in relation to the alleged late notification of two Spanish data controllers regarding the Security Incident.</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January 15, 2021, we were notified by the Data Protection Commission of Ireland that it has concluded its investigation of the Security Incident without taking any action against us.</w:t>
      </w:r>
    </w:p>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continue to cooperate with all ongoing inquiries and investigations, which include various requests for documents, policies, narratives and communications, as well as requests to interview or depose various Company-related personnel. As noted above, each of these separate governmental inquiries and investigations could result in adverse judgements, settlements, fines, penalties, or other resolution, the amount, scope and timing of which we are currently unable to predict, but could have a material adverse impact on our results of operations, cash flows, or financial condition.</w:t>
      </w:r>
    </w:p>
    <w:p>
      <w:pPr>
        <w:spacing w:after="0" w:line="31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18</w:t>
      </w:r>
      <w:r>
        <w:rPr>
          <w:sz w:val="20"/>
          <w:szCs w:val="20"/>
          <w:color w:val="auto"/>
        </w:rPr>
        <w:tab/>
      </w:r>
      <w:r>
        <w:rPr>
          <w:sz w:val="1"/>
          <w:szCs w:val="1"/>
          <w:color w:val="auto"/>
        </w:rPr>
        <w:drawing>
          <wp:inline distT="0" distB="0" distL="0" distR="0">
            <wp:extent cx="651510" cy="17145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11.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Our income tax (benefit) provision and effective income tax rates, including the effects of period-specific events, were: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14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108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14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814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108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14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235"/>
        </w:trPr>
        <w:tc>
          <w:tcPr>
            <w:tcW w:w="81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460" w:type="dxa"/>
            <w:vAlign w:val="bottom"/>
            <w:tcBorders>
              <w:bottom w:val="single" w:sz="8" w:color="ACACAC"/>
            </w:tcBorders>
            <w:shd w:val="clear" w:color="auto" w:fill="ACACAC"/>
          </w:tcPr>
          <w:p>
            <w:pPr>
              <w:spacing w:after="0"/>
              <w:rPr>
                <w:sz w:val="20"/>
                <w:szCs w:val="20"/>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120" w:type="dxa"/>
            <w:vAlign w:val="bottom"/>
            <w:tcBorders>
              <w:bottom w:val="single" w:sz="8" w:color="ACACAC"/>
            </w:tcBorders>
            <w:shd w:val="clear" w:color="auto" w:fill="ACACAC"/>
          </w:tcPr>
          <w:p>
            <w:pPr>
              <w:spacing w:after="0"/>
              <w:rPr>
                <w:sz w:val="20"/>
                <w:szCs w:val="20"/>
                <w:color w:val="auto"/>
              </w:rPr>
            </w:pPr>
          </w:p>
        </w:tc>
        <w:tc>
          <w:tcPr>
            <w:tcW w:w="14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81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Income tax (benefit) provision</w:t>
            </w: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ind w:right="96"/>
              <w:spacing w:after="0"/>
              <w:rPr>
                <w:sz w:val="20"/>
                <w:szCs w:val="20"/>
                <w:color w:val="auto"/>
              </w:rPr>
            </w:pPr>
            <w:r>
              <w:rPr>
                <w:rFonts w:ascii="Arial" w:cs="Arial" w:eastAsia="Arial" w:hAnsi="Arial"/>
                <w:sz w:val="18"/>
                <w:szCs w:val="18"/>
                <w:color w:val="auto"/>
              </w:rPr>
              <w:t>(2,050)</w:t>
            </w:r>
          </w:p>
        </w:tc>
        <w:tc>
          <w:tcPr>
            <w:tcW w:w="1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F4F4F4"/>
            </w:tcBorders>
            <w:shd w:val="clear" w:color="auto" w:fill="F4F4F4"/>
          </w:tcPr>
          <w:p>
            <w:pPr>
              <w:jc w:val="right"/>
              <w:ind w:right="161"/>
              <w:spacing w:after="0"/>
              <w:rPr>
                <w:sz w:val="20"/>
                <w:szCs w:val="20"/>
                <w:color w:val="auto"/>
              </w:rPr>
            </w:pPr>
            <w:r>
              <w:rPr>
                <w:rFonts w:ascii="Arial" w:cs="Arial" w:eastAsia="Arial" w:hAnsi="Arial"/>
                <w:sz w:val="18"/>
                <w:szCs w:val="18"/>
                <w:color w:val="auto"/>
              </w:rPr>
              <w:t>684</w:t>
            </w:r>
          </w:p>
        </w:tc>
        <w:tc>
          <w:tcPr>
            <w:tcW w:w="20" w:type="dxa"/>
            <w:vAlign w:val="bottom"/>
          </w:tcPr>
          <w:p>
            <w:pPr>
              <w:spacing w:after="0"/>
              <w:rPr>
                <w:sz w:val="21"/>
                <w:szCs w:val="21"/>
                <w:color w:val="auto"/>
              </w:rPr>
            </w:pPr>
          </w:p>
        </w:tc>
      </w:tr>
      <w:tr>
        <w:trPr>
          <w:trHeight w:val="243"/>
        </w:trPr>
        <w:tc>
          <w:tcPr>
            <w:tcW w:w="814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4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16.5 %</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131.5 %</w:t>
            </w:r>
          </w:p>
        </w:tc>
        <w:tc>
          <w:tcPr>
            <w:tcW w:w="20" w:type="dxa"/>
            <w:vAlign w:val="bottom"/>
          </w:tcPr>
          <w:p>
            <w:pPr>
              <w:spacing w:after="0"/>
              <w:rPr>
                <w:sz w:val="21"/>
                <w:szCs w:val="21"/>
                <w:color w:val="auto"/>
              </w:rPr>
            </w:pPr>
          </w:p>
        </w:tc>
      </w:tr>
      <w:tr>
        <w:trPr>
          <w:trHeight w:val="27"/>
        </w:trPr>
        <w:tc>
          <w:tcPr>
            <w:tcW w:w="8140" w:type="dxa"/>
            <w:vAlign w:val="bottom"/>
            <w:tcBorders>
              <w:bottom w:val="single" w:sz="8" w:color="71BF43"/>
            </w:tcBorders>
          </w:tcPr>
          <w:p>
            <w:pPr>
              <w:spacing w:after="0"/>
              <w:rPr>
                <w:sz w:val="2"/>
                <w:szCs w:val="2"/>
                <w:color w:val="auto"/>
              </w:rPr>
            </w:pPr>
          </w:p>
        </w:tc>
        <w:tc>
          <w:tcPr>
            <w:tcW w:w="460" w:type="dxa"/>
            <w:vAlign w:val="bottom"/>
            <w:tcBorders>
              <w:bottom w:val="single" w:sz="8" w:color="71BF43"/>
            </w:tcBorders>
          </w:tcPr>
          <w:p>
            <w:pPr>
              <w:spacing w:after="0"/>
              <w:rPr>
                <w:sz w:val="2"/>
                <w:szCs w:val="2"/>
                <w:color w:val="auto"/>
              </w:rPr>
            </w:pPr>
          </w:p>
        </w:tc>
        <w:tc>
          <w:tcPr>
            <w:tcW w:w="1080" w:type="dxa"/>
            <w:vAlign w:val="bottom"/>
            <w:tcBorders>
              <w:bottom w:val="single" w:sz="8" w:color="71BF43"/>
            </w:tcBorders>
          </w:tcPr>
          <w:p>
            <w:pPr>
              <w:spacing w:after="0"/>
              <w:rPr>
                <w:sz w:val="2"/>
                <w:szCs w:val="2"/>
                <w:color w:val="auto"/>
              </w:rPr>
            </w:pPr>
          </w:p>
        </w:tc>
        <w:tc>
          <w:tcPr>
            <w:tcW w:w="120" w:type="dxa"/>
            <w:vAlign w:val="bottom"/>
            <w:tcBorders>
              <w:bottom w:val="single" w:sz="8" w:color="71BF43"/>
            </w:tcBorders>
          </w:tcPr>
          <w:p>
            <w:pPr>
              <w:spacing w:after="0"/>
              <w:rPr>
                <w:sz w:val="2"/>
                <w:szCs w:val="2"/>
                <w:color w:val="auto"/>
              </w:rPr>
            </w:pPr>
          </w:p>
        </w:tc>
        <w:tc>
          <w:tcPr>
            <w:tcW w:w="144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-505460</wp:posOffset>
            </wp:positionV>
            <wp:extent cx="197993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979930" cy="8890"/>
                    </a:xfrm>
                    <a:prstGeom prst="rect">
                      <a:avLst/>
                    </a:prstGeom>
                    <a:noFill/>
                  </pic:spPr>
                </pic:pic>
              </a:graphicData>
            </a:graphic>
          </wp:anchor>
        </w:drawing>
      </w:r>
    </w:p>
    <w:p>
      <w:pPr>
        <w:spacing w:after="0" w:line="22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 xml:space="preserve">For the three months ended March 31, 2022, we have utilized the discrete effective tax rate method, as allowed by ASC 740-270-30-18, </w:t>
      </w:r>
      <w:r>
        <w:rPr>
          <w:rFonts w:ascii="Arial" w:cs="Arial" w:eastAsia="Arial" w:hAnsi="Arial"/>
          <w:sz w:val="18"/>
          <w:szCs w:val="18"/>
          <w:i w:val="1"/>
          <w:iCs w:val="1"/>
          <w:color w:val="auto"/>
        </w:rPr>
        <w:t>Income Taxes—Interim Reporting</w:t>
      </w:r>
      <w:r>
        <w:rPr>
          <w:rFonts w:ascii="Arial" w:cs="Arial" w:eastAsia="Arial" w:hAnsi="Arial"/>
          <w:sz w:val="18"/>
          <w:szCs w:val="18"/>
          <w:color w:val="auto"/>
        </w:rPr>
        <w:t>, to calculate our interim income tax provision. The discrete method is applied when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annual effective tax rate is impractical because it is not possible to reliably estimate the annual effective tax rate. The discrete method treats the year-to-date period as if it was the annual period and determines the income tax expense or benefit on that basis. We believe that, at this time, the use of this discrete method is more appropriate than the annual effective tax rate method as our full-year forecasted pre-tax income, relative to our forecasted permanent differences, has the potential to distort our estimated annual effective tax rate.</w:t>
      </w:r>
    </w:p>
    <w:p>
      <w:pPr>
        <w:spacing w:after="0" w:line="15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decrease in our effective income tax rate for the three months ended March 31, 2022 when compared to the same period in 2021 was primarily attributable to the impact of stock based compensation. The 2022 effective tax rate was negatively impacted by increased tax expense attributable to stock based compensation against pre-tax loss for the period.</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12. Stockholders'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accumulated other comprehensive income (loss) by component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accumulated other comprehensive income (loss) by component, consisted of the following:</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940" w:type="dxa"/>
            <w:vAlign w:val="bottom"/>
            <w:shd w:val="clear" w:color="auto" w:fill="ACACAC"/>
          </w:tcPr>
          <w:p>
            <w:pPr>
              <w:spacing w:after="0"/>
              <w:rPr>
                <w:sz w:val="16"/>
                <w:szCs w:val="16"/>
                <w:color w:val="auto"/>
              </w:rPr>
            </w:pPr>
          </w:p>
        </w:tc>
        <w:tc>
          <w:tcPr>
            <w:tcW w:w="320" w:type="dxa"/>
            <w:vAlign w:val="bottom"/>
            <w:shd w:val="clear" w:color="auto" w:fill="ACACAC"/>
          </w:tcPr>
          <w:p>
            <w:pPr>
              <w:spacing w:after="0"/>
              <w:rPr>
                <w:sz w:val="16"/>
                <w:szCs w:val="16"/>
                <w:color w:val="auto"/>
              </w:rPr>
            </w:pPr>
          </w:p>
        </w:tc>
        <w:tc>
          <w:tcPr>
            <w:tcW w:w="19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8940" w:type="dxa"/>
            <w:vAlign w:val="bottom"/>
            <w:shd w:val="clear" w:color="auto" w:fill="ACACAC"/>
          </w:tcPr>
          <w:p>
            <w:pPr>
              <w:spacing w:after="0"/>
              <w:rPr>
                <w:sz w:val="16"/>
                <w:szCs w:val="16"/>
                <w:color w:val="auto"/>
              </w:rPr>
            </w:pPr>
          </w:p>
        </w:tc>
        <w:tc>
          <w:tcPr>
            <w:tcW w:w="320" w:type="dxa"/>
            <w:vAlign w:val="bottom"/>
            <w:shd w:val="clear" w:color="auto" w:fill="ACACAC"/>
          </w:tcPr>
          <w:p>
            <w:pPr>
              <w:spacing w:after="0"/>
              <w:rPr>
                <w:sz w:val="16"/>
                <w:szCs w:val="16"/>
                <w:color w:val="auto"/>
              </w:rPr>
            </w:pPr>
          </w:p>
        </w:tc>
        <w:tc>
          <w:tcPr>
            <w:tcW w:w="840" w:type="dxa"/>
            <w:vAlign w:val="bottom"/>
            <w:shd w:val="clear" w:color="auto" w:fill="ACACAC"/>
          </w:tcPr>
          <w:p>
            <w:pPr>
              <w:spacing w:after="0"/>
              <w:rPr>
                <w:sz w:val="16"/>
                <w:szCs w:val="16"/>
                <w:color w:val="auto"/>
              </w:rPr>
            </w:pPr>
          </w:p>
        </w:tc>
        <w:tc>
          <w:tcPr>
            <w:tcW w:w="280" w:type="dxa"/>
            <w:vAlign w:val="bottom"/>
            <w:shd w:val="clear" w:color="auto" w:fill="ACACAC"/>
          </w:tcPr>
          <w:p>
            <w:pPr>
              <w:spacing w:after="0"/>
              <w:rPr>
                <w:sz w:val="16"/>
                <w:szCs w:val="16"/>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235"/>
        </w:trPr>
        <w:tc>
          <w:tcPr>
            <w:tcW w:w="8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20" w:type="dxa"/>
            <w:vAlign w:val="bottom"/>
            <w:tcBorders>
              <w:bottom w:val="single" w:sz="8" w:color="ACACAC"/>
            </w:tcBorders>
            <w:shd w:val="clear" w:color="auto" w:fill="ACACAC"/>
          </w:tcPr>
          <w:p>
            <w:pPr>
              <w:spacing w:after="0"/>
              <w:rPr>
                <w:sz w:val="20"/>
                <w:szCs w:val="20"/>
                <w:color w:val="auto"/>
              </w:rPr>
            </w:pPr>
          </w:p>
        </w:tc>
        <w:tc>
          <w:tcPr>
            <w:tcW w:w="8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80" w:type="dxa"/>
            <w:vAlign w:val="bottom"/>
            <w:tcBorders>
              <w:bottom w:val="single" w:sz="8" w:color="ACACAC"/>
            </w:tcBorders>
            <w:shd w:val="clear" w:color="auto" w:fill="ACACAC"/>
          </w:tcPr>
          <w:p>
            <w:pPr>
              <w:spacing w:after="0"/>
              <w:rPr>
                <w:sz w:val="20"/>
                <w:szCs w:val="20"/>
                <w:color w:val="auto"/>
              </w:rPr>
            </w:pPr>
          </w:p>
        </w:tc>
        <w:tc>
          <w:tcPr>
            <w:tcW w:w="8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8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income (loss), beginning of period</w:t>
            </w:r>
          </w:p>
        </w:tc>
        <w:tc>
          <w:tcPr>
            <w:tcW w:w="320" w:type="dxa"/>
            <w:vAlign w:val="bottom"/>
            <w:tcBorders>
              <w:bottom w:val="single" w:sz="8" w:color="F4F4F4"/>
            </w:tcBorders>
            <w:shd w:val="clear" w:color="auto" w:fill="F4F4F4"/>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6,522</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(2,497)</w:t>
            </w:r>
          </w:p>
        </w:tc>
        <w:tc>
          <w:tcPr>
            <w:tcW w:w="20" w:type="dxa"/>
            <w:vAlign w:val="bottom"/>
          </w:tcPr>
          <w:p>
            <w:pPr>
              <w:spacing w:after="0"/>
              <w:rPr>
                <w:sz w:val="21"/>
                <w:szCs w:val="21"/>
                <w:color w:val="auto"/>
              </w:rPr>
            </w:pPr>
          </w:p>
        </w:tc>
      </w:tr>
      <w:tr>
        <w:trPr>
          <w:trHeight w:val="243"/>
        </w:trPr>
        <w:tc>
          <w:tcPr>
            <w:tcW w:w="8940" w:type="dxa"/>
            <w:vAlign w:val="bottom"/>
          </w:tcPr>
          <w:p>
            <w:pPr>
              <w:ind w:left="20"/>
              <w:spacing w:after="0"/>
              <w:rPr>
                <w:sz w:val="20"/>
                <w:szCs w:val="20"/>
                <w:color w:val="auto"/>
              </w:rPr>
            </w:pPr>
            <w:r>
              <w:rPr>
                <w:rFonts w:ascii="Arial" w:cs="Arial" w:eastAsia="Arial" w:hAnsi="Arial"/>
                <w:sz w:val="18"/>
                <w:szCs w:val="18"/>
                <w:b w:val="1"/>
                <w:bCs w:val="1"/>
                <w:color w:val="auto"/>
              </w:rPr>
              <w:t>By component:</w:t>
            </w:r>
          </w:p>
        </w:tc>
        <w:tc>
          <w:tcPr>
            <w:tcW w:w="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8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9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Gains and losses on cash flow hedges:</w:t>
            </w:r>
          </w:p>
        </w:tc>
        <w:tc>
          <w:tcPr>
            <w:tcW w:w="320" w:type="dxa"/>
            <w:vAlign w:val="bottom"/>
            <w:tcBorders>
              <w:bottom w:val="single" w:sz="8" w:color="F4F4F4"/>
            </w:tcBorders>
            <w:shd w:val="clear" w:color="auto" w:fill="F4F4F4"/>
          </w:tcPr>
          <w:p>
            <w:pPr>
              <w:spacing w:after="0"/>
              <w:rPr>
                <w:sz w:val="21"/>
                <w:szCs w:val="21"/>
                <w:color w:val="auto"/>
              </w:rPr>
            </w:pPr>
          </w:p>
        </w:tc>
        <w:tc>
          <w:tcPr>
            <w:tcW w:w="840" w:type="dxa"/>
            <w:vAlign w:val="bottom"/>
            <w:tcBorders>
              <w:bottom w:val="single" w:sz="8" w:color="F4F4F4"/>
            </w:tcBorders>
            <w:shd w:val="clear" w:color="auto" w:fill="F4F4F4"/>
          </w:tcPr>
          <w:p>
            <w:pPr>
              <w:spacing w:after="0"/>
              <w:rPr>
                <w:sz w:val="21"/>
                <w:szCs w:val="21"/>
                <w:color w:val="auto"/>
              </w:rPr>
            </w:pPr>
          </w:p>
        </w:tc>
        <w:tc>
          <w:tcPr>
            <w:tcW w:w="280" w:type="dxa"/>
            <w:vAlign w:val="bottom"/>
            <w:tcBorders>
              <w:bottom w:val="single" w:sz="8" w:color="F4F4F4"/>
            </w:tcBorders>
            <w:shd w:val="clear" w:color="auto" w:fill="F4F4F4"/>
          </w:tcPr>
          <w:p>
            <w:pPr>
              <w:spacing w:after="0"/>
              <w:rPr>
                <w:sz w:val="21"/>
                <w:szCs w:val="21"/>
                <w:color w:val="auto"/>
              </w:rPr>
            </w:pPr>
          </w:p>
        </w:tc>
        <w:tc>
          <w:tcPr>
            <w:tcW w:w="86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89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(loss) balance, beginning of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5,257</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(3,101)</w:t>
            </w:r>
          </w:p>
        </w:tc>
        <w:tc>
          <w:tcPr>
            <w:tcW w:w="20" w:type="dxa"/>
            <w:vAlign w:val="bottom"/>
          </w:tcPr>
          <w:p>
            <w:pPr>
              <w:spacing w:after="0"/>
              <w:rPr>
                <w:sz w:val="21"/>
                <w:szCs w:val="21"/>
                <w:color w:val="auto"/>
              </w:rPr>
            </w:pPr>
          </w:p>
        </w:tc>
      </w:tr>
      <w:tr>
        <w:trPr>
          <w:trHeight w:val="27"/>
        </w:trPr>
        <w:tc>
          <w:tcPr>
            <w:tcW w:w="8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8940" w:type="dxa"/>
            <w:vAlign w:val="bottom"/>
            <w:tcBorders>
              <w:bottom w:val="single" w:sz="8" w:color="F4F4F4"/>
            </w:tcBorders>
            <w:shd w:val="clear" w:color="auto" w:fill="F4F4F4"/>
          </w:tcPr>
          <w:p>
            <w:pPr>
              <w:ind w:left="360"/>
              <w:spacing w:after="0"/>
              <w:rPr>
                <w:sz w:val="20"/>
                <w:szCs w:val="20"/>
                <w:color w:val="auto"/>
              </w:rPr>
            </w:pPr>
            <w:r>
              <w:rPr>
                <w:rFonts w:ascii="Arial" w:cs="Arial" w:eastAsia="Arial" w:hAnsi="Arial"/>
                <w:sz w:val="18"/>
                <w:szCs w:val="18"/>
                <w:color w:val="auto"/>
              </w:rPr>
              <w:t>Other comprehensive income (loss) before reclassifications, net of tax effects of $(3,789) and $(1,100)</w:t>
            </w:r>
          </w:p>
        </w:tc>
        <w:tc>
          <w:tcPr>
            <w:tcW w:w="320" w:type="dxa"/>
            <w:vAlign w:val="bottom"/>
            <w:tcBorders>
              <w:bottom w:val="single" w:sz="8" w:color="F4F4F4"/>
            </w:tcBorders>
            <w:shd w:val="clear" w:color="auto" w:fill="F4F4F4"/>
          </w:tcPr>
          <w:p>
            <w:pPr>
              <w:spacing w:after="0"/>
              <w:rPr>
                <w:sz w:val="24"/>
                <w:szCs w:val="24"/>
                <w:color w:val="auto"/>
              </w:rPr>
            </w:pPr>
          </w:p>
        </w:tc>
        <w:tc>
          <w:tcPr>
            <w:tcW w:w="8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10,641</w:t>
            </w:r>
          </w:p>
        </w:tc>
        <w:tc>
          <w:tcPr>
            <w:tcW w:w="280" w:type="dxa"/>
            <w:vAlign w:val="bottom"/>
            <w:tcBorders>
              <w:bottom w:val="single" w:sz="8" w:color="F4F4F4"/>
            </w:tcBorders>
            <w:shd w:val="clear" w:color="auto" w:fill="F4F4F4"/>
          </w:tcPr>
          <w:p>
            <w:pPr>
              <w:spacing w:after="0"/>
              <w:rPr>
                <w:sz w:val="24"/>
                <w:szCs w:val="24"/>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3,130</w:t>
            </w:r>
          </w:p>
        </w:tc>
        <w:tc>
          <w:tcPr>
            <w:tcW w:w="20" w:type="dxa"/>
            <w:vAlign w:val="bottom"/>
          </w:tcPr>
          <w:p>
            <w:pPr>
              <w:spacing w:after="0"/>
              <w:rPr>
                <w:sz w:val="24"/>
                <w:szCs w:val="24"/>
                <w:color w:val="auto"/>
              </w:rPr>
            </w:pPr>
          </w:p>
        </w:tc>
      </w:tr>
      <w:tr>
        <w:trPr>
          <w:trHeight w:val="243"/>
        </w:trPr>
        <w:tc>
          <w:tcPr>
            <w:tcW w:w="8940" w:type="dxa"/>
            <w:vAlign w:val="bottom"/>
          </w:tcPr>
          <w:p>
            <w:pPr>
              <w:ind w:left="460"/>
              <w:spacing w:after="0"/>
              <w:rPr>
                <w:sz w:val="20"/>
                <w:szCs w:val="20"/>
                <w:color w:val="auto"/>
              </w:rPr>
            </w:pPr>
            <w:r>
              <w:rPr>
                <w:rFonts w:ascii="Arial" w:cs="Arial" w:eastAsia="Arial" w:hAnsi="Arial"/>
                <w:sz w:val="18"/>
                <w:szCs w:val="18"/>
                <w:color w:val="auto"/>
              </w:rPr>
              <w:t>Amounts reclassified from accumulated other comprehensive income to interest expense</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358</w:t>
            </w: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1,376</w:t>
            </w:r>
          </w:p>
        </w:tc>
        <w:tc>
          <w:tcPr>
            <w:tcW w:w="20" w:type="dxa"/>
            <w:vAlign w:val="bottom"/>
          </w:tcPr>
          <w:p>
            <w:pPr>
              <w:spacing w:after="0"/>
              <w:rPr>
                <w:sz w:val="21"/>
                <w:szCs w:val="21"/>
                <w:color w:val="auto"/>
              </w:rPr>
            </w:pPr>
          </w:p>
        </w:tc>
      </w:tr>
      <w:tr>
        <w:trPr>
          <w:trHeight w:val="27"/>
        </w:trPr>
        <w:tc>
          <w:tcPr>
            <w:tcW w:w="8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940" w:type="dxa"/>
            <w:vAlign w:val="bottom"/>
            <w:tcBorders>
              <w:bottom w:val="single" w:sz="8" w:color="F4F4F4"/>
            </w:tcBorders>
            <w:shd w:val="clear" w:color="auto" w:fill="F4F4F4"/>
          </w:tcPr>
          <w:p>
            <w:pPr>
              <w:ind w:left="460"/>
              <w:spacing w:after="0"/>
              <w:rPr>
                <w:sz w:val="20"/>
                <w:szCs w:val="20"/>
                <w:color w:val="auto"/>
              </w:rPr>
            </w:pPr>
            <w:r>
              <w:rPr>
                <w:rFonts w:ascii="Arial" w:cs="Arial" w:eastAsia="Arial" w:hAnsi="Arial"/>
                <w:sz w:val="18"/>
                <w:szCs w:val="18"/>
                <w:color w:val="auto"/>
              </w:rPr>
              <w:t>Tax benefit included in provision for income taxes</w:t>
            </w:r>
          </w:p>
        </w:tc>
        <w:tc>
          <w:tcPr>
            <w:tcW w:w="320" w:type="dxa"/>
            <w:vAlign w:val="bottom"/>
            <w:tcBorders>
              <w:bottom w:val="single" w:sz="8" w:color="F4F4F4"/>
            </w:tcBorders>
            <w:shd w:val="clear" w:color="auto" w:fill="F4F4F4"/>
          </w:tcPr>
          <w:p>
            <w:pPr>
              <w:spacing w:after="0"/>
              <w:rPr>
                <w:sz w:val="23"/>
                <w:szCs w:val="23"/>
                <w:color w:val="auto"/>
              </w:rPr>
            </w:pPr>
          </w:p>
        </w:tc>
        <w:tc>
          <w:tcPr>
            <w:tcW w:w="8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(94)</w:t>
            </w:r>
          </w:p>
        </w:tc>
        <w:tc>
          <w:tcPr>
            <w:tcW w:w="28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(357)</w:t>
            </w:r>
          </w:p>
        </w:tc>
        <w:tc>
          <w:tcPr>
            <w:tcW w:w="20" w:type="dxa"/>
            <w:vAlign w:val="bottom"/>
          </w:tcPr>
          <w:p>
            <w:pPr>
              <w:spacing w:after="0"/>
              <w:rPr>
                <w:sz w:val="23"/>
                <w:szCs w:val="23"/>
                <w:color w:val="auto"/>
              </w:rPr>
            </w:pPr>
          </w:p>
        </w:tc>
      </w:tr>
      <w:tr>
        <w:trPr>
          <w:trHeight w:val="237"/>
        </w:trPr>
        <w:tc>
          <w:tcPr>
            <w:tcW w:w="8940" w:type="dxa"/>
            <w:vAlign w:val="bottom"/>
          </w:tcPr>
          <w:p>
            <w:pPr>
              <w:ind w:left="360"/>
              <w:spacing w:after="0"/>
              <w:rPr>
                <w:sz w:val="20"/>
                <w:szCs w:val="20"/>
                <w:color w:val="auto"/>
              </w:rPr>
            </w:pPr>
            <w:r>
              <w:rPr>
                <w:rFonts w:ascii="Arial" w:cs="Arial" w:eastAsia="Arial" w:hAnsi="Arial"/>
                <w:sz w:val="18"/>
                <w:szCs w:val="18"/>
                <w:color w:val="auto"/>
              </w:rPr>
              <w:t>Total amounts reclassified from accumulated other comprehensive income</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20"/>
                <w:szCs w:val="20"/>
                <w:color w:val="auto"/>
              </w:rPr>
            </w:pPr>
          </w:p>
        </w:tc>
      </w:tr>
      <w:tr>
        <w:trPr>
          <w:trHeight w:val="27"/>
        </w:trPr>
        <w:tc>
          <w:tcPr>
            <w:tcW w:w="894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3"/>
        </w:trPr>
        <w:tc>
          <w:tcPr>
            <w:tcW w:w="8940" w:type="dxa"/>
            <w:vAlign w:val="bottom"/>
            <w:tcBorders>
              <w:bottom w:val="single" w:sz="8" w:color="F4F4F4"/>
            </w:tcBorders>
            <w:shd w:val="clear" w:color="auto" w:fill="F4F4F4"/>
          </w:tcPr>
          <w:p>
            <w:pPr>
              <w:ind w:left="240"/>
              <w:spacing w:after="0"/>
              <w:rPr>
                <w:sz w:val="20"/>
                <w:szCs w:val="20"/>
                <w:color w:val="auto"/>
              </w:rPr>
            </w:pPr>
            <w:r>
              <w:rPr>
                <w:rFonts w:ascii="Arial" w:cs="Arial" w:eastAsia="Arial" w:hAnsi="Arial"/>
                <w:sz w:val="18"/>
                <w:szCs w:val="18"/>
                <w:color w:val="auto"/>
              </w:rPr>
              <w:t>Net current-period other comprehensive income</w:t>
            </w:r>
          </w:p>
        </w:tc>
        <w:tc>
          <w:tcPr>
            <w:tcW w:w="320" w:type="dxa"/>
            <w:vAlign w:val="bottom"/>
            <w:tcBorders>
              <w:bottom w:val="single" w:sz="8" w:color="F4F4F4"/>
            </w:tcBorders>
            <w:shd w:val="clear" w:color="auto" w:fill="F4F4F4"/>
          </w:tcPr>
          <w:p>
            <w:pPr>
              <w:spacing w:after="0"/>
              <w:rPr>
                <w:sz w:val="22"/>
                <w:szCs w:val="22"/>
                <w:color w:val="auto"/>
              </w:rPr>
            </w:pPr>
          </w:p>
        </w:tc>
        <w:tc>
          <w:tcPr>
            <w:tcW w:w="8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10,905</w:t>
            </w:r>
          </w:p>
        </w:tc>
        <w:tc>
          <w:tcPr>
            <w:tcW w:w="280" w:type="dxa"/>
            <w:vAlign w:val="bottom"/>
            <w:tcBorders>
              <w:bottom w:val="single" w:sz="8" w:color="F4F4F4"/>
            </w:tcBorders>
            <w:shd w:val="clear" w:color="auto" w:fill="F4F4F4"/>
          </w:tcPr>
          <w:p>
            <w:pPr>
              <w:spacing w:after="0"/>
              <w:rPr>
                <w:sz w:val="22"/>
                <w:szCs w:val="22"/>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4,149</w:t>
            </w:r>
          </w:p>
        </w:tc>
        <w:tc>
          <w:tcPr>
            <w:tcW w:w="20" w:type="dxa"/>
            <w:vAlign w:val="bottom"/>
          </w:tcPr>
          <w:p>
            <w:pPr>
              <w:spacing w:after="0"/>
              <w:rPr>
                <w:sz w:val="22"/>
                <w:szCs w:val="22"/>
                <w:color w:val="auto"/>
              </w:rPr>
            </w:pPr>
          </w:p>
        </w:tc>
      </w:tr>
      <w:tr>
        <w:trPr>
          <w:trHeight w:val="237"/>
        </w:trPr>
        <w:tc>
          <w:tcPr>
            <w:tcW w:w="89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balance, end of period</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16,162</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1,048</w:t>
            </w:r>
          </w:p>
        </w:tc>
        <w:tc>
          <w:tcPr>
            <w:tcW w:w="20" w:type="dxa"/>
            <w:vAlign w:val="bottom"/>
          </w:tcPr>
          <w:p>
            <w:pPr>
              <w:spacing w:after="0"/>
              <w:rPr>
                <w:sz w:val="20"/>
                <w:szCs w:val="20"/>
                <w:color w:val="auto"/>
              </w:rPr>
            </w:pPr>
          </w:p>
        </w:tc>
      </w:tr>
      <w:tr>
        <w:trPr>
          <w:trHeight w:val="27"/>
        </w:trPr>
        <w:tc>
          <w:tcPr>
            <w:tcW w:w="894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89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b w:val="1"/>
                <w:bCs w:val="1"/>
                <w:color w:val="auto"/>
              </w:rPr>
              <w:t>Foreign currency translation adjustment:</w:t>
            </w:r>
          </w:p>
        </w:tc>
        <w:tc>
          <w:tcPr>
            <w:tcW w:w="320" w:type="dxa"/>
            <w:vAlign w:val="bottom"/>
            <w:tcBorders>
              <w:bottom w:val="single" w:sz="8" w:color="F4F4F4"/>
            </w:tcBorders>
            <w:shd w:val="clear" w:color="auto" w:fill="F4F4F4"/>
          </w:tcPr>
          <w:p>
            <w:pPr>
              <w:spacing w:after="0"/>
              <w:rPr>
                <w:sz w:val="20"/>
                <w:szCs w:val="20"/>
                <w:color w:val="auto"/>
              </w:rPr>
            </w:pPr>
          </w:p>
        </w:tc>
        <w:tc>
          <w:tcPr>
            <w:tcW w:w="840" w:type="dxa"/>
            <w:vAlign w:val="bottom"/>
            <w:tcBorders>
              <w:bottom w:val="single" w:sz="8" w:color="F4F4F4"/>
            </w:tcBorders>
            <w:shd w:val="clear" w:color="auto" w:fill="F4F4F4"/>
          </w:tcPr>
          <w:p>
            <w:pPr>
              <w:spacing w:after="0"/>
              <w:rPr>
                <w:sz w:val="20"/>
                <w:szCs w:val="20"/>
                <w:color w:val="auto"/>
              </w:rPr>
            </w:pPr>
          </w:p>
        </w:tc>
        <w:tc>
          <w:tcPr>
            <w:tcW w:w="280" w:type="dxa"/>
            <w:vAlign w:val="bottom"/>
            <w:tcBorders>
              <w:bottom w:val="single" w:sz="8" w:color="F4F4F4"/>
            </w:tcBorders>
            <w:shd w:val="clear" w:color="auto" w:fill="F4F4F4"/>
          </w:tcPr>
          <w:p>
            <w:pPr>
              <w:spacing w:after="0"/>
              <w:rPr>
                <w:sz w:val="20"/>
                <w:szCs w:val="20"/>
                <w:color w:val="auto"/>
              </w:rPr>
            </w:pPr>
          </w:p>
        </w:tc>
        <w:tc>
          <w:tcPr>
            <w:tcW w:w="860" w:type="dxa"/>
            <w:vAlign w:val="bottom"/>
            <w:tcBorders>
              <w:bottom w:val="single" w:sz="8" w:color="F4F4F4"/>
            </w:tcBorders>
            <w:shd w:val="clear" w:color="auto" w:fill="F4F4F4"/>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8940" w:type="dxa"/>
            <w:vAlign w:val="bottom"/>
          </w:tcPr>
          <w:p>
            <w:pPr>
              <w:ind w:left="240"/>
              <w:spacing w:after="0"/>
              <w:rPr>
                <w:sz w:val="20"/>
                <w:szCs w:val="20"/>
                <w:color w:val="auto"/>
              </w:rPr>
            </w:pPr>
            <w:r>
              <w:rPr>
                <w:rFonts w:ascii="Arial" w:cs="Arial" w:eastAsia="Arial" w:hAnsi="Arial"/>
                <w:sz w:val="18"/>
                <w:szCs w:val="18"/>
                <w:color w:val="auto"/>
              </w:rPr>
              <w:t>Accumulated other comprehensive income balance, beginning of period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1,265</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604</w:t>
            </w:r>
          </w:p>
        </w:tc>
        <w:tc>
          <w:tcPr>
            <w:tcW w:w="20" w:type="dxa"/>
            <w:vAlign w:val="bottom"/>
          </w:tcPr>
          <w:p>
            <w:pPr>
              <w:spacing w:after="0"/>
              <w:rPr>
                <w:sz w:val="21"/>
                <w:szCs w:val="21"/>
                <w:color w:val="auto"/>
              </w:rPr>
            </w:pPr>
          </w:p>
        </w:tc>
      </w:tr>
      <w:tr>
        <w:trPr>
          <w:trHeight w:val="27"/>
        </w:trPr>
        <w:tc>
          <w:tcPr>
            <w:tcW w:w="8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940" w:type="dxa"/>
            <w:vAlign w:val="bottom"/>
            <w:tcBorders>
              <w:bottom w:val="single" w:sz="8" w:color="F4F4F4"/>
            </w:tcBorders>
            <w:shd w:val="clear" w:color="auto" w:fill="F4F4F4"/>
          </w:tcPr>
          <w:p>
            <w:pPr>
              <w:ind w:left="220"/>
              <w:spacing w:after="0"/>
              <w:rPr>
                <w:sz w:val="20"/>
                <w:szCs w:val="20"/>
                <w:color w:val="auto"/>
              </w:rPr>
            </w:pPr>
            <w:r>
              <w:rPr>
                <w:rFonts w:ascii="Arial" w:cs="Arial" w:eastAsia="Arial" w:hAnsi="Arial"/>
                <w:sz w:val="18"/>
                <w:szCs w:val="18"/>
                <w:color w:val="auto"/>
              </w:rPr>
              <w:t>Translation adjustments</w:t>
            </w:r>
          </w:p>
        </w:tc>
        <w:tc>
          <w:tcPr>
            <w:tcW w:w="320" w:type="dxa"/>
            <w:vAlign w:val="bottom"/>
            <w:tcBorders>
              <w:bottom w:val="single" w:sz="8" w:color="F4F4F4"/>
            </w:tcBorders>
            <w:shd w:val="clear" w:color="auto" w:fill="F4F4F4"/>
          </w:tcPr>
          <w:p>
            <w:pPr>
              <w:spacing w:after="0"/>
              <w:rPr>
                <w:sz w:val="23"/>
                <w:szCs w:val="23"/>
                <w:color w:val="auto"/>
              </w:rPr>
            </w:pPr>
          </w:p>
        </w:tc>
        <w:tc>
          <w:tcPr>
            <w:tcW w:w="8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(2,132)</w:t>
            </w:r>
          </w:p>
        </w:tc>
        <w:tc>
          <w:tcPr>
            <w:tcW w:w="280" w:type="dxa"/>
            <w:vAlign w:val="bottom"/>
            <w:tcBorders>
              <w:bottom w:val="single" w:sz="8" w:color="F4F4F4"/>
            </w:tcBorders>
            <w:shd w:val="clear" w:color="auto" w:fill="F4F4F4"/>
          </w:tcPr>
          <w:p>
            <w:pPr>
              <w:spacing w:after="0"/>
              <w:rPr>
                <w:sz w:val="23"/>
                <w:szCs w:val="23"/>
                <w:color w:val="auto"/>
              </w:rPr>
            </w:pP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2,511</w:t>
            </w:r>
          </w:p>
        </w:tc>
        <w:tc>
          <w:tcPr>
            <w:tcW w:w="20" w:type="dxa"/>
            <w:vAlign w:val="bottom"/>
          </w:tcPr>
          <w:p>
            <w:pPr>
              <w:spacing w:after="0"/>
              <w:rPr>
                <w:sz w:val="23"/>
                <w:szCs w:val="23"/>
                <w:color w:val="auto"/>
              </w:rPr>
            </w:pPr>
          </w:p>
        </w:tc>
      </w:tr>
      <w:tr>
        <w:trPr>
          <w:trHeight w:val="236"/>
        </w:trPr>
        <w:tc>
          <w:tcPr>
            <w:tcW w:w="8940" w:type="dxa"/>
            <w:vAlign w:val="bottom"/>
          </w:tcPr>
          <w:p>
            <w:pPr>
              <w:ind w:left="240"/>
              <w:spacing w:after="0"/>
              <w:rPr>
                <w:sz w:val="20"/>
                <w:szCs w:val="20"/>
                <w:color w:val="auto"/>
              </w:rPr>
            </w:pPr>
            <w:r>
              <w:rPr>
                <w:rFonts w:ascii="Arial" w:cs="Arial" w:eastAsia="Arial" w:hAnsi="Arial"/>
                <w:sz w:val="18"/>
                <w:szCs w:val="18"/>
                <w:color w:val="auto"/>
              </w:rPr>
              <w:t>Accumulated other comprehensive (loss) income balance, end of period</w:t>
            </w:r>
          </w:p>
        </w:tc>
        <w:tc>
          <w:tcPr>
            <w:tcW w:w="3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(867)</w:t>
            </w:r>
          </w:p>
        </w:tc>
        <w:tc>
          <w:tcPr>
            <w:tcW w:w="28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3,115</w:t>
            </w:r>
          </w:p>
        </w:tc>
        <w:tc>
          <w:tcPr>
            <w:tcW w:w="20" w:type="dxa"/>
            <w:vAlign w:val="bottom"/>
          </w:tcPr>
          <w:p>
            <w:pPr>
              <w:spacing w:after="0"/>
              <w:rPr>
                <w:sz w:val="20"/>
                <w:szCs w:val="20"/>
                <w:color w:val="auto"/>
              </w:rPr>
            </w:pPr>
          </w:p>
        </w:tc>
      </w:tr>
      <w:tr>
        <w:trPr>
          <w:trHeight w:val="27"/>
        </w:trPr>
        <w:tc>
          <w:tcPr>
            <w:tcW w:w="8940" w:type="dxa"/>
            <w:vAlign w:val="bottom"/>
            <w:tcBorders>
              <w:bottom w:val="single" w:sz="8" w:color="F4F4F4"/>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8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Accumulated other comprehensive income, end of period</w:t>
            </w:r>
          </w:p>
        </w:tc>
        <w:tc>
          <w:tcPr>
            <w:tcW w:w="320" w:type="dxa"/>
            <w:vAlign w:val="bottom"/>
            <w:tcBorders>
              <w:bottom w:val="single" w:sz="8" w:color="F4F4F4"/>
            </w:tcBorders>
            <w:shd w:val="clear" w:color="auto" w:fill="F4F4F4"/>
          </w:tcPr>
          <w:p>
            <w:pPr>
              <w:jc w:val="right"/>
              <w:ind w:right="1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15,295</w:t>
            </w:r>
          </w:p>
        </w:tc>
        <w:tc>
          <w:tcPr>
            <w:tcW w:w="280" w:type="dxa"/>
            <w:vAlign w:val="bottom"/>
            <w:tcBorders>
              <w:bottom w:val="single" w:sz="8" w:color="F4F4F4"/>
            </w:tcBorders>
            <w:shd w:val="clear" w:color="auto" w:fill="F4F4F4"/>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4,163</w:t>
            </w:r>
          </w:p>
        </w:tc>
        <w:tc>
          <w:tcPr>
            <w:tcW w:w="20" w:type="dxa"/>
            <w:vAlign w:val="bottom"/>
          </w:tcPr>
          <w:p>
            <w:pPr>
              <w:spacing w:after="0"/>
              <w:rPr>
                <w:sz w:val="22"/>
                <w:szCs w:val="22"/>
                <w:color w:val="auto"/>
              </w:rPr>
            </w:pPr>
          </w:p>
        </w:tc>
      </w:tr>
      <w:tr>
        <w:trPr>
          <w:trHeight w:val="684"/>
        </w:trPr>
        <w:tc>
          <w:tcPr>
            <w:tcW w:w="10100" w:type="dxa"/>
            <w:vAlign w:val="bottom"/>
            <w:tcBorders>
              <w:top w:val="single" w:sz="8" w:color="71BF43"/>
            </w:tcBorders>
            <w:gridSpan w:val="3"/>
          </w:tcPr>
          <w:p>
            <w:pPr>
              <w:ind w:left="7680"/>
              <w:spacing w:after="0"/>
              <w:rPr>
                <w:sz w:val="20"/>
                <w:szCs w:val="20"/>
                <w:color w:val="auto"/>
              </w:rPr>
            </w:pPr>
            <w:r>
              <w:rPr>
                <w:rFonts w:ascii="Arial" w:cs="Arial" w:eastAsia="Arial" w:hAnsi="Arial"/>
                <w:sz w:val="14"/>
                <w:szCs w:val="14"/>
                <w:color w:val="auto"/>
              </w:rPr>
              <w:t>First Quarter 2022 Form 10-Q</w:t>
            </w:r>
          </w:p>
        </w:tc>
        <w:tc>
          <w:tcPr>
            <w:tcW w:w="280" w:type="dxa"/>
            <w:vAlign w:val="bottom"/>
            <w:tcBorders>
              <w:top w:val="single" w:sz="8" w:color="71BF43"/>
            </w:tcBorders>
          </w:tcPr>
          <w:p>
            <w:pPr>
              <w:spacing w:after="0"/>
              <w:rPr>
                <w:sz w:val="24"/>
                <w:szCs w:val="24"/>
                <w:color w:val="auto"/>
              </w:rPr>
            </w:pPr>
          </w:p>
        </w:tc>
        <w:tc>
          <w:tcPr>
            <w:tcW w:w="860" w:type="dxa"/>
            <w:vAlign w:val="bottom"/>
            <w:tcBorders>
              <w:top w:val="single" w:sz="8" w:color="71BF43"/>
            </w:tcBorders>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24"/>
                <w:szCs w:val="24"/>
                <w:color w:val="auto"/>
              </w:rPr>
            </w:pPr>
          </w:p>
        </w:tc>
      </w:tr>
      <w:tr>
        <w:trPr>
          <w:trHeight w:val="329"/>
        </w:trPr>
        <w:tc>
          <w:tcPr>
            <w:tcW w:w="89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-3470910</wp:posOffset>
            </wp:positionV>
            <wp:extent cx="1465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465580" cy="889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-376555</wp:posOffset>
            </wp:positionV>
            <wp:extent cx="659765" cy="1714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13. Revenue Recognition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 price allocated to the remaining performance obligations</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As of March 31, 2022, approximately $984 million of revenue is expected to be recognized from remaining performance obligations. We expect to recognize revenue on approximately 60% of these remaining performance obligations over the next 12 months, with the remainder recognized thereafter.</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applied the practical expedient in ASC 606-10-50-14 and have excluded the value of unsatisfied performance obligations for (i) contracts with an original expected length of one year or less (one-time services); and (ii) contracts for which we recognize revenue at the amount to which we have the right to invoice for services performed (transactional revenue).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93" w:lineRule="exact"/>
        <w:rPr>
          <w:sz w:val="20"/>
          <w:szCs w:val="20"/>
          <w:color w:val="auto"/>
        </w:rPr>
      </w:pPr>
    </w:p>
    <w:p>
      <w:pPr>
        <w:jc w:val="both"/>
        <w:ind w:right="40"/>
        <w:spacing w:after="0" w:line="261" w:lineRule="auto"/>
        <w:rPr>
          <w:sz w:val="20"/>
          <w:szCs w:val="20"/>
          <w:color w:val="auto"/>
        </w:rPr>
      </w:pPr>
      <w:r>
        <w:rPr>
          <w:rFonts w:ascii="Arial" w:cs="Arial" w:eastAsia="Arial" w:hAnsi="Arial"/>
          <w:sz w:val="18"/>
          <w:szCs w:val="18"/>
          <w:color w:val="auto"/>
        </w:rPr>
        <w:t>Our contract assets as of March 31, 2022 and December 31, 2021 were insignificant. Our opening and closing balances of deferred revenue were as follows: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940" w:type="dxa"/>
            <w:vAlign w:val="bottom"/>
            <w:shd w:val="clear" w:color="auto" w:fill="ACACAC"/>
          </w:tcPr>
          <w:p>
            <w:pPr>
              <w:spacing w:after="0"/>
              <w:rPr>
                <w:sz w:val="16"/>
                <w:szCs w:val="16"/>
                <w:color w:val="auto"/>
              </w:rPr>
            </w:pPr>
          </w:p>
        </w:tc>
        <w:tc>
          <w:tcPr>
            <w:tcW w:w="52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400" w:type="dxa"/>
            <w:vAlign w:val="bottom"/>
            <w:shd w:val="clear" w:color="auto" w:fill="ACACAC"/>
          </w:tcPr>
          <w:p>
            <w:pPr>
              <w:spacing w:after="0"/>
              <w:rPr>
                <w:sz w:val="16"/>
                <w:szCs w:val="16"/>
                <w:color w:val="auto"/>
              </w:rPr>
            </w:pPr>
          </w:p>
        </w:tc>
        <w:tc>
          <w:tcPr>
            <w:tcW w:w="12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20" w:type="dxa"/>
            <w:vAlign w:val="bottom"/>
            <w:shd w:val="clear" w:color="auto" w:fill="ACACAC"/>
          </w:tcPr>
          <w:p>
            <w:pPr>
              <w:spacing w:after="0"/>
              <w:rPr>
                <w:sz w:val="16"/>
                <w:szCs w:val="16"/>
                <w:color w:val="auto"/>
              </w:rPr>
            </w:pPr>
          </w:p>
        </w:tc>
      </w:tr>
      <w:tr>
        <w:trPr>
          <w:trHeight w:val="196"/>
        </w:trPr>
        <w:tc>
          <w:tcPr>
            <w:tcW w:w="794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(in thousands)</w:t>
            </w:r>
          </w:p>
        </w:tc>
        <w:tc>
          <w:tcPr>
            <w:tcW w:w="520" w:type="dxa"/>
            <w:vAlign w:val="bottom"/>
            <w:tcBorders>
              <w:bottom w:val="single" w:sz="8" w:color="ACACAC"/>
            </w:tcBorders>
            <w:shd w:val="clear" w:color="auto" w:fill="ACACAC"/>
          </w:tcPr>
          <w:p>
            <w:pPr>
              <w:spacing w:after="0"/>
              <w:rPr>
                <w:sz w:val="17"/>
                <w:szCs w:val="17"/>
                <w:color w:val="auto"/>
              </w:rPr>
            </w:pP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00" w:type="dxa"/>
            <w:vAlign w:val="bottom"/>
            <w:tcBorders>
              <w:bottom w:val="single" w:sz="8" w:color="ACACAC"/>
            </w:tcBorders>
            <w:shd w:val="clear" w:color="auto" w:fill="ACACAC"/>
          </w:tcPr>
          <w:p>
            <w:pPr>
              <w:spacing w:after="0"/>
              <w:rPr>
                <w:sz w:val="17"/>
                <w:szCs w:val="17"/>
                <w:color w:val="auto"/>
              </w:rPr>
            </w:pPr>
          </w:p>
        </w:tc>
        <w:tc>
          <w:tcPr>
            <w:tcW w:w="12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79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Total deferred revenue</w:t>
            </w:r>
          </w:p>
        </w:tc>
        <w:tc>
          <w:tcPr>
            <w:tcW w:w="520" w:type="dxa"/>
            <w:vAlign w:val="bottom"/>
            <w:tcBorders>
              <w:bottom w:val="single" w:sz="8" w:color="F4F4F4"/>
            </w:tcBorders>
            <w:shd w:val="clear" w:color="auto" w:fill="F4F4F4"/>
          </w:tcPr>
          <w:p>
            <w:pPr>
              <w:jc w:val="right"/>
              <w:ind w:right="3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355,677</w:t>
            </w:r>
          </w:p>
        </w:tc>
        <w:tc>
          <w:tcPr>
            <w:tcW w:w="400" w:type="dxa"/>
            <w:vAlign w:val="bottom"/>
            <w:tcBorders>
              <w:bottom w:val="single" w:sz="8" w:color="F4F4F4"/>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378,746</w:t>
            </w:r>
          </w:p>
        </w:tc>
        <w:tc>
          <w:tcPr>
            <w:tcW w:w="20" w:type="dxa"/>
            <w:vAlign w:val="bottom"/>
          </w:tcPr>
          <w:p>
            <w:pPr>
              <w:spacing w:after="0"/>
              <w:rPr>
                <w:sz w:val="21"/>
                <w:szCs w:val="21"/>
                <w:color w:val="auto"/>
              </w:rPr>
            </w:pPr>
          </w:p>
        </w:tc>
      </w:tr>
      <w:tr>
        <w:trPr>
          <w:trHeight w:val="20"/>
        </w:trPr>
        <w:tc>
          <w:tcPr>
            <w:tcW w:w="7940" w:type="dxa"/>
            <w:vAlign w:val="bottom"/>
            <w:shd w:val="clear" w:color="auto" w:fill="71BF43"/>
          </w:tcPr>
          <w:p>
            <w:pPr>
              <w:spacing w:after="0" w:line="20" w:lineRule="exact"/>
              <w:rPr>
                <w:sz w:val="1"/>
                <w:szCs w:val="1"/>
                <w:color w:val="auto"/>
              </w:rPr>
            </w:pPr>
          </w:p>
        </w:tc>
        <w:tc>
          <w:tcPr>
            <w:tcW w:w="52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400" w:type="dxa"/>
            <w:vAlign w:val="bottom"/>
            <w:shd w:val="clear" w:color="auto" w:fill="71BF43"/>
          </w:tcPr>
          <w:p>
            <w:pPr>
              <w:spacing w:after="0" w:line="20" w:lineRule="exact"/>
              <w:rPr>
                <w:sz w:val="1"/>
                <w:szCs w:val="1"/>
                <w:color w:val="auto"/>
              </w:rPr>
            </w:pPr>
          </w:p>
        </w:tc>
        <w:tc>
          <w:tcPr>
            <w:tcW w:w="12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decrease in deferred revenue during the three months ended March 31, 2022 was primarily due to a seasonal decrease in customer contract renewals. Historically, due to the timing of customer budget cycles, we have an increase in customer contract renewals at or near the beginning of our third quarter. Generally, our lowest balance of deferred revenue during the year is at the end of our first quarter. The amount of revenue recognized during the three months ended March 31, 2022 that was included in the deferred revenue balance at the beginning of the period was approximately $152 million. The amount of revenue recognized during the three months ended March 31, 2022 from performance obligations satisfied in prior periods was insignificant.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sell our cloud solutions and related services in three primary geographical markets: to customers in the United States, to customers in the United Kingdom and to customers located in other countries. The following table presents our revenue by geographic area based on the address of our customers: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2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22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862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235"/>
        </w:trPr>
        <w:tc>
          <w:tcPr>
            <w:tcW w:w="86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6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40" w:type="dxa"/>
            <w:vAlign w:val="bottom"/>
            <w:tcBorders>
              <w:bottom w:val="single" w:sz="8" w:color="ACACAC"/>
            </w:tcBorders>
            <w:shd w:val="clear" w:color="auto" w:fill="ACACAC"/>
          </w:tcPr>
          <w:p>
            <w:pPr>
              <w:spacing w:after="0"/>
              <w:rPr>
                <w:sz w:val="20"/>
                <w:szCs w:val="20"/>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86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United States</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214,394</w:t>
            </w:r>
          </w:p>
        </w:tc>
        <w:tc>
          <w:tcPr>
            <w:tcW w:w="34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185,327</w:t>
            </w:r>
          </w:p>
        </w:tc>
        <w:tc>
          <w:tcPr>
            <w:tcW w:w="20" w:type="dxa"/>
            <w:vAlign w:val="bottom"/>
          </w:tcPr>
          <w:p>
            <w:pPr>
              <w:spacing w:after="0"/>
              <w:rPr>
                <w:sz w:val="21"/>
                <w:szCs w:val="21"/>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United Kingdom</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27,660</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22,305</w:t>
            </w:r>
          </w:p>
        </w:tc>
        <w:tc>
          <w:tcPr>
            <w:tcW w:w="20" w:type="dxa"/>
            <w:vAlign w:val="bottom"/>
          </w:tcPr>
          <w:p>
            <w:pPr>
              <w:spacing w:after="0"/>
              <w:rPr>
                <w:sz w:val="21"/>
                <w:szCs w:val="21"/>
                <w:color w:val="auto"/>
              </w:rPr>
            </w:pPr>
          </w:p>
        </w:tc>
      </w:tr>
      <w:tr>
        <w:trPr>
          <w:trHeight w:val="27"/>
        </w:trPr>
        <w:tc>
          <w:tcPr>
            <w:tcW w:w="8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86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Other countries</w:t>
            </w:r>
          </w:p>
        </w:tc>
        <w:tc>
          <w:tcPr>
            <w:tcW w:w="36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15,070</w:t>
            </w:r>
          </w:p>
        </w:tc>
        <w:tc>
          <w:tcPr>
            <w:tcW w:w="340" w:type="dxa"/>
            <w:vAlign w:val="bottom"/>
            <w:tcBorders>
              <w:bottom w:val="single" w:sz="8" w:color="F4F4F4"/>
            </w:tcBorders>
            <w:shd w:val="clear" w:color="auto" w:fill="F4F4F4"/>
          </w:tcPr>
          <w:p>
            <w:pPr>
              <w:spacing w:after="0"/>
              <w:rPr>
                <w:sz w:val="23"/>
                <w:szCs w:val="23"/>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11,559</w:t>
            </w:r>
          </w:p>
        </w:tc>
        <w:tc>
          <w:tcPr>
            <w:tcW w:w="20" w:type="dxa"/>
            <w:vAlign w:val="bottom"/>
          </w:tcPr>
          <w:p>
            <w:pPr>
              <w:spacing w:after="0"/>
              <w:rPr>
                <w:sz w:val="23"/>
                <w:szCs w:val="23"/>
                <w:color w:val="auto"/>
              </w:rPr>
            </w:pPr>
          </w:p>
        </w:tc>
      </w:tr>
      <w:tr>
        <w:trPr>
          <w:trHeight w:val="237"/>
        </w:trPr>
        <w:tc>
          <w:tcPr>
            <w:tcW w:w="8620" w:type="dxa"/>
            <w:vAlign w:val="bottom"/>
          </w:tcPr>
          <w:p>
            <w:pPr>
              <w:ind w:left="14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257,124</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219,191</w:t>
            </w:r>
          </w:p>
        </w:tc>
        <w:tc>
          <w:tcPr>
            <w:tcW w:w="20" w:type="dxa"/>
            <w:vAlign w:val="bottom"/>
          </w:tcPr>
          <w:p>
            <w:pPr>
              <w:spacing w:after="0"/>
              <w:rPr>
                <w:sz w:val="20"/>
                <w:szCs w:val="20"/>
                <w:color w:val="auto"/>
              </w:rPr>
            </w:pPr>
          </w:p>
        </w:tc>
      </w:tr>
      <w:tr>
        <w:trPr>
          <w:trHeight w:val="27"/>
        </w:trPr>
        <w:tc>
          <w:tcPr>
            <w:tcW w:w="8620" w:type="dxa"/>
            <w:vAlign w:val="bottom"/>
            <w:tcBorders>
              <w:bottom w:val="single" w:sz="8" w:color="71BF43"/>
            </w:tcBorders>
          </w:tcPr>
          <w:p>
            <w:pPr>
              <w:spacing w:after="0"/>
              <w:rPr>
                <w:sz w:val="2"/>
                <w:szCs w:val="2"/>
                <w:color w:val="auto"/>
              </w:rPr>
            </w:pPr>
          </w:p>
        </w:tc>
        <w:tc>
          <w:tcPr>
            <w:tcW w:w="36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340" w:type="dxa"/>
            <w:vAlign w:val="bottom"/>
            <w:tcBorders>
              <w:bottom w:val="single" w:sz="8" w:color="71BF43"/>
            </w:tcBorders>
          </w:tcPr>
          <w:p>
            <w:pPr>
              <w:spacing w:after="0"/>
              <w:rPr>
                <w:sz w:val="2"/>
                <w:szCs w:val="2"/>
                <w:color w:val="auto"/>
              </w:rPr>
            </w:pPr>
          </w:p>
        </w:tc>
        <w:tc>
          <w:tcPr>
            <w:tcW w:w="960" w:type="dxa"/>
            <w:vAlign w:val="bottom"/>
            <w:tcBorders>
              <w:bottom w:val="single" w:sz="8" w:color="71BF43"/>
            </w:tcBorders>
          </w:tcPr>
          <w:p>
            <w:pPr>
              <w:spacing w:after="0"/>
              <w:rPr>
                <w:sz w:val="2"/>
                <w:szCs w:val="2"/>
                <w:color w:val="auto"/>
              </w:rPr>
            </w:pPr>
          </w:p>
        </w:tc>
        <w:tc>
          <w:tcPr>
            <w:tcW w:w="2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-856615</wp:posOffset>
            </wp:positionV>
            <wp:extent cx="1671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236"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Beginning in the second quarter of 2021, we combined our General Markets Group ("GMG") and Enterprise Markets Group ("EMG") into a single U.S. Markets Group ("UMG") and moved our Corporations vertical under our International Markets Group ("IMG"). This change was made to better align our resources toward customer retention and growth, which are key objectives as we progress toward our long-term aspirational goals.</w:t>
      </w:r>
    </w:p>
    <w:p>
      <w:pPr>
        <w:spacing w:after="0" w:line="310"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20</w:t>
      </w:r>
      <w:r>
        <w:rPr>
          <w:sz w:val="20"/>
          <w:szCs w:val="20"/>
          <w:color w:val="auto"/>
        </w:rPr>
        <w:tab/>
      </w:r>
      <w:r>
        <w:rPr>
          <w:sz w:val="1"/>
          <w:szCs w:val="1"/>
          <w:color w:val="auto"/>
        </w:rPr>
        <w:drawing>
          <wp:inline distT="0" distB="0" distL="0" distR="0">
            <wp:extent cx="651510" cy="1714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The UMG, IMG and EVERFI comprised our go-to-market organizations as of March 31, 2022. The following is a description of each market group as of that date:</w:t>
      </w:r>
    </w:p>
    <w:p>
      <w:pPr>
        <w:spacing w:after="0" w:line="144" w:lineRule="exact"/>
        <w:rPr>
          <w:sz w:val="20"/>
          <w:szCs w:val="20"/>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UMG focuses on sales primarily to all prospects and customers inside of the U.S.;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IMG focuses on sales primarily to all prospects and customers outside of the U.S, as well as corporations.</w:t>
      </w:r>
    </w:p>
    <w:p>
      <w:pPr>
        <w:spacing w:after="0" w:line="171" w:lineRule="exact"/>
        <w:rPr>
          <w:rFonts w:ascii="Arial" w:cs="Arial" w:eastAsia="Arial" w:hAnsi="Arial"/>
          <w:sz w:val="18"/>
          <w:szCs w:val="18"/>
          <w:color w:val="auto"/>
        </w:rPr>
      </w:pPr>
    </w:p>
    <w:p>
      <w:pPr>
        <w:ind w:left="660" w:right="40" w:hanging="328"/>
        <w:spacing w:after="0" w:line="261" w:lineRule="auto"/>
        <w:tabs>
          <w:tab w:leader="none" w:pos="62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acquired EVERFI as of December 31, 2021 as discussed in Note 3 to these condensed consolidated financial statements. As we are working to integrate EVERFI into our business, it has not yet been included in one of our market groups.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revenue by market group:</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2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22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862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255"/>
        </w:trPr>
        <w:tc>
          <w:tcPr>
            <w:tcW w:w="862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60" w:type="dxa"/>
            <w:vAlign w:val="bottom"/>
            <w:shd w:val="clear" w:color="auto" w:fill="ACACAC"/>
          </w:tcPr>
          <w:p>
            <w:pPr>
              <w:spacing w:after="0"/>
              <w:rPr>
                <w:sz w:val="22"/>
                <w:szCs w:val="22"/>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40" w:type="dxa"/>
            <w:vAlign w:val="bottom"/>
            <w:shd w:val="clear" w:color="auto" w:fill="ACACAC"/>
          </w:tcPr>
          <w:p>
            <w:pPr>
              <w:spacing w:after="0"/>
              <w:rPr>
                <w:sz w:val="22"/>
                <w:szCs w:val="22"/>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r>
              <w:rPr>
                <w:rFonts w:ascii="Arial" w:cs="Arial" w:eastAsia="Arial" w:hAnsi="Arial"/>
                <w:sz w:val="18"/>
                <w:szCs w:val="18"/>
                <w:b w:val="1"/>
                <w:bCs w:val="1"/>
                <w:color w:val="FFFFFF"/>
                <w:vertAlign w:val="superscript"/>
              </w:rPr>
              <w:t>(1)</w:t>
            </w:r>
          </w:p>
        </w:tc>
        <w:tc>
          <w:tcPr>
            <w:tcW w:w="20" w:type="dxa"/>
            <w:vAlign w:val="bottom"/>
            <w:shd w:val="clear" w:color="auto" w:fill="ACACAC"/>
          </w:tcPr>
          <w:p>
            <w:pPr>
              <w:spacing w:after="0"/>
              <w:rPr>
                <w:sz w:val="22"/>
                <w:szCs w:val="22"/>
                <w:color w:val="auto"/>
              </w:rPr>
            </w:pPr>
          </w:p>
        </w:tc>
      </w:tr>
      <w:tr>
        <w:trPr>
          <w:trHeight w:val="250"/>
        </w:trPr>
        <w:tc>
          <w:tcPr>
            <w:tcW w:w="86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UMG</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182,489</w:t>
            </w:r>
          </w:p>
        </w:tc>
        <w:tc>
          <w:tcPr>
            <w:tcW w:w="34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173,467</w:t>
            </w:r>
          </w:p>
        </w:tc>
        <w:tc>
          <w:tcPr>
            <w:tcW w:w="20" w:type="dxa"/>
            <w:vAlign w:val="bottom"/>
          </w:tcPr>
          <w:p>
            <w:pPr>
              <w:spacing w:after="0"/>
              <w:rPr>
                <w:sz w:val="21"/>
                <w:szCs w:val="21"/>
                <w:color w:val="auto"/>
              </w:rPr>
            </w:pPr>
          </w:p>
        </w:tc>
      </w:tr>
      <w:tr>
        <w:trPr>
          <w:trHeight w:val="297"/>
        </w:trPr>
        <w:tc>
          <w:tcPr>
            <w:tcW w:w="8620" w:type="dxa"/>
            <w:vAlign w:val="bottom"/>
          </w:tcPr>
          <w:p>
            <w:pPr>
              <w:ind w:left="20"/>
              <w:spacing w:after="0"/>
              <w:rPr>
                <w:sz w:val="20"/>
                <w:szCs w:val="20"/>
                <w:color w:val="auto"/>
              </w:rPr>
            </w:pPr>
            <w:r>
              <w:rPr>
                <w:rFonts w:ascii="Arial" w:cs="Arial" w:eastAsia="Arial" w:hAnsi="Arial"/>
                <w:sz w:val="18"/>
                <w:szCs w:val="18"/>
                <w:color w:val="auto"/>
              </w:rPr>
              <w:t>IMG</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48,054</w:t>
            </w:r>
          </w:p>
        </w:tc>
        <w:tc>
          <w:tcPr>
            <w:tcW w:w="3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45,769</w:t>
            </w:r>
          </w:p>
        </w:tc>
        <w:tc>
          <w:tcPr>
            <w:tcW w:w="20" w:type="dxa"/>
            <w:vAlign w:val="bottom"/>
          </w:tcPr>
          <w:p>
            <w:pPr>
              <w:spacing w:after="0"/>
              <w:rPr>
                <w:sz w:val="24"/>
                <w:szCs w:val="24"/>
                <w:color w:val="auto"/>
              </w:rPr>
            </w:pPr>
          </w:p>
        </w:tc>
      </w:tr>
      <w:tr>
        <w:trPr>
          <w:trHeight w:val="27"/>
        </w:trPr>
        <w:tc>
          <w:tcPr>
            <w:tcW w:w="8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86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EVERFI</w:t>
            </w:r>
          </w:p>
        </w:tc>
        <w:tc>
          <w:tcPr>
            <w:tcW w:w="360" w:type="dxa"/>
            <w:vAlign w:val="bottom"/>
            <w:tcBorders>
              <w:bottom w:val="single" w:sz="8" w:color="F4F4F4"/>
            </w:tcBorders>
            <w:shd w:val="clear" w:color="auto" w:fill="F4F4F4"/>
          </w:tcPr>
          <w:p>
            <w:pPr>
              <w:spacing w:after="0"/>
              <w:rPr>
                <w:sz w:val="24"/>
                <w:szCs w:val="24"/>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26,975</w:t>
            </w:r>
          </w:p>
        </w:tc>
        <w:tc>
          <w:tcPr>
            <w:tcW w:w="340" w:type="dxa"/>
            <w:vAlign w:val="bottom"/>
            <w:tcBorders>
              <w:bottom w:val="single" w:sz="8" w:color="F4F4F4"/>
            </w:tcBorders>
            <w:shd w:val="clear" w:color="auto" w:fill="F4F4F4"/>
          </w:tcPr>
          <w:p>
            <w:pPr>
              <w:spacing w:after="0"/>
              <w:rPr>
                <w:sz w:val="24"/>
                <w:szCs w:val="24"/>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4"/>
                <w:szCs w:val="24"/>
                <w:color w:val="auto"/>
              </w:rPr>
            </w:pPr>
          </w:p>
        </w:tc>
      </w:tr>
      <w:tr>
        <w:trPr>
          <w:trHeight w:val="243"/>
        </w:trPr>
        <w:tc>
          <w:tcPr>
            <w:tcW w:w="8620" w:type="dxa"/>
            <w:vAlign w:val="bottom"/>
          </w:tcPr>
          <w:p>
            <w:pPr>
              <w:ind w:left="2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21"/>
                <w:szCs w:val="21"/>
                <w:color w:val="auto"/>
              </w:rPr>
            </w:pPr>
          </w:p>
        </w:tc>
      </w:tr>
      <w:tr>
        <w:trPr>
          <w:trHeight w:val="27"/>
        </w:trPr>
        <w:tc>
          <w:tcPr>
            <w:tcW w:w="8620" w:type="dxa"/>
            <w:vAlign w:val="bottom"/>
            <w:tcBorders>
              <w:bottom w:val="single" w:sz="8" w:color="F4F4F4"/>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862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revenue</w:t>
            </w:r>
          </w:p>
        </w:tc>
        <w:tc>
          <w:tcPr>
            <w:tcW w:w="36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257,124</w:t>
            </w:r>
          </w:p>
        </w:tc>
        <w:tc>
          <w:tcPr>
            <w:tcW w:w="34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219,191</w:t>
            </w:r>
          </w:p>
        </w:tc>
        <w:tc>
          <w:tcPr>
            <w:tcW w:w="20" w:type="dxa"/>
            <w:vAlign w:val="bottom"/>
          </w:tcPr>
          <w:p>
            <w:pPr>
              <w:spacing w:after="0"/>
              <w:rPr>
                <w:sz w:val="21"/>
                <w:szCs w:val="21"/>
                <w:color w:val="auto"/>
              </w:rPr>
            </w:pPr>
          </w:p>
        </w:tc>
      </w:tr>
      <w:tr>
        <w:trPr>
          <w:trHeight w:val="20"/>
        </w:trPr>
        <w:tc>
          <w:tcPr>
            <w:tcW w:w="8620" w:type="dxa"/>
            <w:vAlign w:val="bottom"/>
            <w:shd w:val="clear" w:color="auto" w:fill="71BF43"/>
          </w:tcPr>
          <w:p>
            <w:pPr>
              <w:spacing w:after="0" w:line="20" w:lineRule="exact"/>
              <w:rPr>
                <w:sz w:val="1"/>
                <w:szCs w:val="1"/>
                <w:color w:val="auto"/>
              </w:rPr>
            </w:pPr>
          </w:p>
        </w:tc>
        <w:tc>
          <w:tcPr>
            <w:tcW w:w="36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340" w:type="dxa"/>
            <w:vAlign w:val="bottom"/>
            <w:shd w:val="clear" w:color="auto" w:fill="71BF43"/>
          </w:tcPr>
          <w:p>
            <w:pPr>
              <w:spacing w:after="0" w:line="20" w:lineRule="exact"/>
              <w:rPr>
                <w:sz w:val="1"/>
                <w:szCs w:val="1"/>
                <w:color w:val="auto"/>
              </w:rPr>
            </w:pPr>
          </w:p>
        </w:tc>
        <w:tc>
          <w:tcPr>
            <w:tcW w:w="96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-1096645</wp:posOffset>
            </wp:positionV>
            <wp:extent cx="1671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pacing w:after="0" w:line="79" w:lineRule="exact"/>
        <w:rPr>
          <w:sz w:val="20"/>
          <w:szCs w:val="20"/>
          <w:color w:val="auto"/>
        </w:rPr>
      </w:pPr>
    </w:p>
    <w:p>
      <w:pPr>
        <w:ind w:left="340" w:right="40" w:hanging="332"/>
        <w:spacing w:after="0" w:line="258" w:lineRule="auto"/>
        <w:tabs>
          <w:tab w:leader="none" w:pos="354" w:val="left"/>
        </w:tabs>
        <w:numPr>
          <w:ilvl w:val="0"/>
          <w:numId w:val="15"/>
        </w:numPr>
        <w:rPr>
          <w:rFonts w:ascii="Arial" w:cs="Arial" w:eastAsia="Arial" w:hAnsi="Arial"/>
          <w:sz w:val="14"/>
          <w:szCs w:val="14"/>
          <w:color w:val="auto"/>
        </w:rPr>
      </w:pPr>
      <w:r>
        <w:rPr>
          <w:rFonts w:ascii="Arial" w:cs="Arial" w:eastAsia="Arial" w:hAnsi="Arial"/>
          <w:sz w:val="14"/>
          <w:szCs w:val="14"/>
          <w:color w:val="auto"/>
        </w:rPr>
        <w:t>Due to the market group change discussed above, we have recast our revenue by market group for the three months ended March 31, 2021 to present them on a consistent basis with the current year.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our recurring revenue by type:</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840" w:type="dxa"/>
            <w:vAlign w:val="bottom"/>
            <w:shd w:val="clear" w:color="auto" w:fill="ACACAC"/>
          </w:tcPr>
          <w:p>
            <w:pPr>
              <w:spacing w:after="0"/>
              <w:rPr>
                <w:sz w:val="16"/>
                <w:szCs w:val="16"/>
                <w:color w:val="auto"/>
              </w:rPr>
            </w:pPr>
          </w:p>
        </w:tc>
        <w:tc>
          <w:tcPr>
            <w:tcW w:w="378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22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4840" w:type="dxa"/>
            <w:vAlign w:val="bottom"/>
            <w:shd w:val="clear" w:color="auto" w:fill="ACACAC"/>
          </w:tcPr>
          <w:p>
            <w:pPr>
              <w:spacing w:after="0"/>
              <w:rPr>
                <w:sz w:val="16"/>
                <w:szCs w:val="16"/>
                <w:color w:val="auto"/>
              </w:rPr>
            </w:pPr>
          </w:p>
        </w:tc>
        <w:tc>
          <w:tcPr>
            <w:tcW w:w="3780" w:type="dxa"/>
            <w:vAlign w:val="bottom"/>
            <w:shd w:val="clear" w:color="auto" w:fill="ACACAC"/>
          </w:tcPr>
          <w:p>
            <w:pPr>
              <w:spacing w:after="0"/>
              <w:rPr>
                <w:sz w:val="16"/>
                <w:szCs w:val="16"/>
                <w:color w:val="auto"/>
              </w:rPr>
            </w:pPr>
          </w:p>
        </w:tc>
        <w:tc>
          <w:tcPr>
            <w:tcW w:w="360" w:type="dxa"/>
            <w:vAlign w:val="bottom"/>
            <w:shd w:val="clear" w:color="auto" w:fill="ACACAC"/>
          </w:tcPr>
          <w:p>
            <w:pPr>
              <w:spacing w:after="0"/>
              <w:rPr>
                <w:sz w:val="16"/>
                <w:szCs w:val="16"/>
                <w:color w:val="auto"/>
              </w:rPr>
            </w:pPr>
          </w:p>
        </w:tc>
        <w:tc>
          <w:tcPr>
            <w:tcW w:w="96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241"/>
        </w:trPr>
        <w:tc>
          <w:tcPr>
            <w:tcW w:w="4840" w:type="dxa"/>
            <w:vAlign w:val="bottom"/>
            <w:tcBorders>
              <w:bottom w:val="single" w:sz="8" w:color="F4F4F4"/>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thousands)</w:t>
            </w:r>
          </w:p>
        </w:tc>
        <w:tc>
          <w:tcPr>
            <w:tcW w:w="3780" w:type="dxa"/>
            <w:vAlign w:val="bottom"/>
            <w:tcBorders>
              <w:bottom w:val="single" w:sz="8" w:color="F4F4F4"/>
            </w:tcBorders>
            <w:shd w:val="clear" w:color="auto" w:fill="ACACAC"/>
          </w:tcPr>
          <w:p>
            <w:pPr>
              <w:spacing w:after="0"/>
              <w:rPr>
                <w:sz w:val="21"/>
                <w:szCs w:val="21"/>
                <w:color w:val="auto"/>
              </w:rPr>
            </w:pPr>
          </w:p>
        </w:tc>
        <w:tc>
          <w:tcPr>
            <w:tcW w:w="36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40" w:type="dxa"/>
            <w:vAlign w:val="bottom"/>
            <w:tcBorders>
              <w:bottom w:val="single" w:sz="8" w:color="ACACAC"/>
            </w:tcBorders>
            <w:shd w:val="clear" w:color="auto" w:fill="ACACAC"/>
          </w:tcPr>
          <w:p>
            <w:pPr>
              <w:spacing w:after="0"/>
              <w:rPr>
                <w:sz w:val="21"/>
                <w:szCs w:val="21"/>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1"/>
                <w:szCs w:val="21"/>
                <w:color w:val="auto"/>
              </w:rPr>
            </w:pPr>
          </w:p>
        </w:tc>
      </w:tr>
      <w:tr>
        <w:trPr>
          <w:trHeight w:val="244"/>
        </w:trPr>
        <w:tc>
          <w:tcPr>
            <w:tcW w:w="48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Contractual recurring</w:t>
            </w:r>
          </w:p>
        </w:tc>
        <w:tc>
          <w:tcPr>
            <w:tcW w:w="414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174,531</w:t>
            </w:r>
          </w:p>
        </w:tc>
        <w:tc>
          <w:tcPr>
            <w:tcW w:w="34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146,821</w:t>
            </w:r>
          </w:p>
        </w:tc>
        <w:tc>
          <w:tcPr>
            <w:tcW w:w="20" w:type="dxa"/>
            <w:vAlign w:val="bottom"/>
          </w:tcPr>
          <w:p>
            <w:pPr>
              <w:spacing w:after="0"/>
              <w:rPr>
                <w:sz w:val="21"/>
                <w:szCs w:val="21"/>
                <w:color w:val="auto"/>
              </w:rPr>
            </w:pPr>
          </w:p>
        </w:tc>
      </w:tr>
      <w:tr>
        <w:trPr>
          <w:trHeight w:val="243"/>
        </w:trPr>
        <w:tc>
          <w:tcPr>
            <w:tcW w:w="4840" w:type="dxa"/>
            <w:vAlign w:val="bottom"/>
          </w:tcPr>
          <w:p>
            <w:pPr>
              <w:ind w:left="20"/>
              <w:spacing w:after="0"/>
              <w:rPr>
                <w:sz w:val="20"/>
                <w:szCs w:val="20"/>
                <w:color w:val="auto"/>
              </w:rPr>
            </w:pPr>
            <w:r>
              <w:rPr>
                <w:rFonts w:ascii="Arial" w:cs="Arial" w:eastAsia="Arial" w:hAnsi="Arial"/>
                <w:sz w:val="18"/>
                <w:szCs w:val="18"/>
                <w:color w:val="auto"/>
              </w:rPr>
              <w:t>Transactional recurring</w:t>
            </w:r>
          </w:p>
        </w:tc>
        <w:tc>
          <w:tcPr>
            <w:tcW w:w="3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70,135</w:t>
            </w:r>
          </w:p>
        </w:tc>
        <w:tc>
          <w:tcPr>
            <w:tcW w:w="3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59,929</w:t>
            </w:r>
          </w:p>
        </w:tc>
        <w:tc>
          <w:tcPr>
            <w:tcW w:w="20" w:type="dxa"/>
            <w:vAlign w:val="bottom"/>
          </w:tcPr>
          <w:p>
            <w:pPr>
              <w:spacing w:after="0"/>
              <w:rPr>
                <w:sz w:val="21"/>
                <w:szCs w:val="21"/>
                <w:color w:val="auto"/>
              </w:rPr>
            </w:pPr>
          </w:p>
        </w:tc>
      </w:tr>
      <w:tr>
        <w:trPr>
          <w:trHeight w:val="27"/>
        </w:trPr>
        <w:tc>
          <w:tcPr>
            <w:tcW w:w="4840" w:type="dxa"/>
            <w:vAlign w:val="bottom"/>
            <w:tcBorders>
              <w:bottom w:val="single" w:sz="8" w:color="F4F4F4"/>
            </w:tcBorders>
          </w:tcPr>
          <w:p>
            <w:pPr>
              <w:spacing w:after="0"/>
              <w:rPr>
                <w:sz w:val="2"/>
                <w:szCs w:val="2"/>
                <w:color w:val="auto"/>
              </w:rPr>
            </w:pPr>
          </w:p>
        </w:tc>
        <w:tc>
          <w:tcPr>
            <w:tcW w:w="3780" w:type="dxa"/>
            <w:vAlign w:val="bottom"/>
            <w:tcBorders>
              <w:bottom w:val="single" w:sz="8" w:color="F4F4F4"/>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8"/>
        </w:trPr>
        <w:tc>
          <w:tcPr>
            <w:tcW w:w="48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Total recurring revenue</w:t>
            </w:r>
          </w:p>
        </w:tc>
        <w:tc>
          <w:tcPr>
            <w:tcW w:w="4140" w:type="dxa"/>
            <w:vAlign w:val="bottom"/>
            <w:tcBorders>
              <w:bottom w:val="single" w:sz="8" w:color="F4F4F4"/>
            </w:tcBorders>
            <w:gridSpan w:val="2"/>
            <w:shd w:val="clear" w:color="auto" w:fill="F4F4F4"/>
          </w:tcPr>
          <w:p>
            <w:pPr>
              <w:jc w:val="right"/>
              <w:ind w:right="24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244,666</w:t>
            </w:r>
          </w:p>
        </w:tc>
        <w:tc>
          <w:tcPr>
            <w:tcW w:w="340" w:type="dxa"/>
            <w:vAlign w:val="bottom"/>
            <w:tcBorders>
              <w:bottom w:val="single" w:sz="8" w:color="F4F4F4"/>
            </w:tcBorders>
            <w:shd w:val="clear" w:color="auto" w:fill="F4F4F4"/>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206,750</w:t>
            </w:r>
          </w:p>
        </w:tc>
        <w:tc>
          <w:tcPr>
            <w:tcW w:w="20" w:type="dxa"/>
            <w:vAlign w:val="bottom"/>
          </w:tcPr>
          <w:p>
            <w:pPr>
              <w:spacing w:after="0"/>
              <w:rPr>
                <w:sz w:val="22"/>
                <w:szCs w:val="22"/>
                <w:color w:val="auto"/>
              </w:rPr>
            </w:pPr>
          </w:p>
        </w:tc>
      </w:tr>
      <w:tr>
        <w:trPr>
          <w:trHeight w:val="684"/>
        </w:trPr>
        <w:tc>
          <w:tcPr>
            <w:tcW w:w="4840" w:type="dxa"/>
            <w:vAlign w:val="bottom"/>
            <w:tcBorders>
              <w:top w:val="single" w:sz="8" w:color="8CBE4F"/>
            </w:tcBorders>
          </w:tcPr>
          <w:p>
            <w:pPr>
              <w:spacing w:after="0"/>
              <w:rPr>
                <w:sz w:val="24"/>
                <w:szCs w:val="24"/>
                <w:color w:val="auto"/>
              </w:rPr>
            </w:pPr>
          </w:p>
        </w:tc>
        <w:tc>
          <w:tcPr>
            <w:tcW w:w="5100" w:type="dxa"/>
            <w:vAlign w:val="bottom"/>
            <w:tcBorders>
              <w:top w:val="single" w:sz="8" w:color="8CBE4F"/>
            </w:tcBorders>
            <w:gridSpan w:val="3"/>
          </w:tcPr>
          <w:p>
            <w:pPr>
              <w:jc w:val="right"/>
              <w:ind w:right="277"/>
              <w:spacing w:after="0"/>
              <w:rPr>
                <w:sz w:val="20"/>
                <w:szCs w:val="20"/>
                <w:color w:val="auto"/>
              </w:rPr>
            </w:pPr>
            <w:r>
              <w:rPr>
                <w:rFonts w:ascii="Arial" w:cs="Arial" w:eastAsia="Arial" w:hAnsi="Arial"/>
                <w:sz w:val="14"/>
                <w:szCs w:val="14"/>
                <w:color w:val="auto"/>
              </w:rPr>
              <w:t>First Quarter 2022 Form 10-Q</w:t>
            </w:r>
          </w:p>
        </w:tc>
        <w:tc>
          <w:tcPr>
            <w:tcW w:w="340" w:type="dxa"/>
            <w:vAlign w:val="bottom"/>
            <w:tcBorders>
              <w:top w:val="single" w:sz="8" w:color="8CBE4F"/>
            </w:tcBorders>
          </w:tcPr>
          <w:p>
            <w:pPr>
              <w:spacing w:after="0"/>
              <w:rPr>
                <w:sz w:val="24"/>
                <w:szCs w:val="24"/>
                <w:color w:val="auto"/>
              </w:rPr>
            </w:pPr>
          </w:p>
        </w:tc>
        <w:tc>
          <w:tcPr>
            <w:tcW w:w="960" w:type="dxa"/>
            <w:vAlign w:val="bottom"/>
            <w:tcBorders>
              <w:top w:val="single" w:sz="8" w:color="8CBE4F"/>
            </w:tcBorders>
          </w:tcPr>
          <w:p>
            <w:pPr>
              <w:jc w:val="right"/>
              <w:spacing w:after="0"/>
              <w:rPr>
                <w:sz w:val="20"/>
                <w:szCs w:val="20"/>
                <w:color w:val="auto"/>
              </w:rPr>
            </w:pPr>
            <w:r>
              <w:rPr>
                <w:rFonts w:ascii="Arial" w:cs="Arial" w:eastAsia="Arial" w:hAnsi="Arial"/>
                <w:sz w:val="14"/>
                <w:szCs w:val="14"/>
                <w:color w:val="auto"/>
              </w:rPr>
              <w:t>21</w:t>
            </w:r>
          </w:p>
        </w:tc>
        <w:tc>
          <w:tcPr>
            <w:tcW w:w="20" w:type="dxa"/>
            <w:vAlign w:val="bottom"/>
          </w:tcPr>
          <w:p>
            <w:pPr>
              <w:spacing w:after="0"/>
              <w:rPr>
                <w:sz w:val="24"/>
                <w:szCs w:val="24"/>
                <w:color w:val="auto"/>
              </w:rPr>
            </w:pPr>
          </w:p>
        </w:tc>
      </w:tr>
      <w:tr>
        <w:trPr>
          <w:trHeight w:val="316"/>
        </w:trPr>
        <w:tc>
          <w:tcPr>
            <w:tcW w:w="48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-1336675</wp:posOffset>
            </wp:positionV>
            <wp:extent cx="1671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7132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-368300</wp:posOffset>
            </wp:positionV>
            <wp:extent cx="65976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1600"/>
        <w:spacing w:after="0" w:line="278" w:lineRule="auto"/>
        <w:rPr>
          <w:sz w:val="20"/>
          <w:szCs w:val="20"/>
          <w:color w:val="auto"/>
        </w:rPr>
      </w:pPr>
      <w:r>
        <w:rPr>
          <w:rFonts w:ascii="Arial" w:cs="Arial" w:eastAsia="Arial" w:hAnsi="Arial"/>
          <w:sz w:val="29"/>
          <w:szCs w:val="29"/>
          <w:b w:val="1"/>
          <w:bCs w:val="1"/>
          <w:color w:val="71BF43"/>
        </w:rPr>
        <w:t>ITEM 2. MANAGEMENT'S DISCUSSION AND ANALYSIS OF FINANCIAL CONDITION AND RESULTS OF OPERATIONS</w:t>
      </w:r>
    </w:p>
    <w:p>
      <w:pPr>
        <w:spacing w:after="0" w:line="8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unaudited, condensed consolidated financial statements and related notes included elsewhere in this Quarterly Report on Form 10-Q. The following discussion and analysis presents financial information denominated in millions of dollars which can lead to differences from rounding when compared to similar information contained in the unaudited, condensed consolidated financial statements and related notes which are primarily denominated in thousands of dollars.</w:t>
      </w:r>
    </w:p>
    <w:p>
      <w:pPr>
        <w:spacing w:after="0" w:line="23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are the world’s leading cloud software company powering social good. Serving the entire social good community—nonprofits, higher education institutions, K–12 schools, healthcare organizations, faith communities, arts and cultural organizations, foundations, companies and individual change agents—we connect and empower organizations to increase their impact through cloud software, services, expertise and data intelligence. Our portfolio is tailored to the unique needs of vertical markets, with solutions for fundraising and CRM, marketing, advocacy, peer-to-peer fundraising, corporate social responsibility (CSR) and environmental, social and governance (ESG), school management, ticketing, grantmaking, financial management, payment processing and analytics. Serving the industry for more than four decades, we are a remote-first company headquartered in Charleston, South Carolina, with operations in the United States, Australia, Canada, Costa Rica and the United Kingdom.</w:t>
      </w:r>
    </w:p>
    <w:p>
      <w:pPr>
        <w:spacing w:after="0" w:line="15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revenue is primarily generated from the following sources: (i) charging for the use of our software solutions in cloud and hosted environments; (ii) providing payment and transactional services; (iii) providing software maintenance and support services; providing Impact-as-a-Service</w:t>
      </w:r>
      <w:r>
        <w:rPr>
          <w:rFonts w:ascii="Arial" w:cs="Arial" w:eastAsia="Arial" w:hAnsi="Arial"/>
          <w:sz w:val="18"/>
          <w:szCs w:val="18"/>
          <w:i w:val="1"/>
          <w:iCs w:val="1"/>
          <w:color w:val="auto"/>
        </w:rPr>
        <w:t>™</w:t>
      </w:r>
      <w:r>
        <w:rPr>
          <w:rFonts w:ascii="Arial" w:cs="Arial" w:eastAsia="Arial" w:hAnsi="Arial"/>
          <w:sz w:val="18"/>
          <w:szCs w:val="18"/>
          <w:color w:val="auto"/>
        </w:rPr>
        <w:t xml:space="preserve"> digital educational content; and (iv) providing professional services, including implementation, consulting, training, analytic and other services.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Impact</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economic impact of COVID-19 on the social good industry remains somewhat uncertain, although we are seeing signs of recovery in the industry. Our end markets continue to display resilience in the post-pandemic recovery with a digital-first mindset. In February, the Blackbaud Institute released its annual Charitable Giving Report, which reported that overall giving in 2021 grew 9% with the percent of giving done online up significantly from pre-pandemic levels and holding steady in the low-teens. Nearly 30% of those online donations are being made on a mobile device, which we see as a long-term positive as we equip organizations to process mobile donations and optimize mobile user interfaces. If our existing and prospective customers remain cautious in their purchase decisions, our operating environment may continue to be challenging. Notwithstanding these conditions, we remain focused on continuing to execute our four-point strategy and strengthening our leadership position.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Four-Point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140335</wp:posOffset>
            </wp:positionV>
            <wp:extent cx="265430" cy="1968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19" w:lineRule="exact"/>
        <w:rPr>
          <w:sz w:val="20"/>
          <w:szCs w:val="20"/>
          <w:color w:val="auto"/>
        </w:rPr>
      </w:pPr>
    </w:p>
    <w:p>
      <w:pPr>
        <w:ind w:left="1300" w:hanging="471"/>
        <w:spacing w:after="0"/>
        <w:tabs>
          <w:tab w:leader="none" w:pos="1300" w:val="left"/>
        </w:tabs>
        <w:numPr>
          <w:ilvl w:val="0"/>
          <w:numId w:val="16"/>
        </w:numPr>
        <w:rPr>
          <w:rFonts w:ascii="Arial" w:cs="Arial" w:eastAsia="Arial" w:hAnsi="Arial"/>
          <w:sz w:val="18"/>
          <w:szCs w:val="18"/>
          <w:b w:val="1"/>
          <w:bCs w:val="1"/>
          <w:color w:val="FFFFFF"/>
        </w:rPr>
      </w:pPr>
      <w:r>
        <w:rPr>
          <w:rFonts w:ascii="Arial" w:cs="Arial" w:eastAsia="Arial" w:hAnsi="Arial"/>
          <w:sz w:val="18"/>
          <w:szCs w:val="18"/>
          <w:b w:val="1"/>
          <w:bCs w:val="1"/>
          <w:color w:val="auto"/>
        </w:rPr>
        <w:t>Expand Total Addressable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68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0"/>
          <w:numId w:val="17"/>
        </w:numPr>
        <w:rPr>
          <w:rFonts w:ascii="Arial" w:cs="Arial" w:eastAsia="Arial" w:hAnsi="Arial"/>
          <w:sz w:val="18"/>
          <w:szCs w:val="18"/>
          <w:b w:val="1"/>
          <w:bCs w:val="1"/>
          <w:color w:val="FFFFFF"/>
        </w:rPr>
      </w:pPr>
      <w:r>
        <w:rPr>
          <w:rFonts w:ascii="Arial" w:cs="Arial" w:eastAsia="Arial" w:hAnsi="Arial"/>
          <w:sz w:val="18"/>
          <w:szCs w:val="18"/>
          <w:b w:val="1"/>
          <w:bCs w:val="1"/>
          <w:color w:val="auto"/>
        </w:rPr>
        <w:t>Lead with World Class Teams and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123190</wp:posOffset>
            </wp:positionV>
            <wp:extent cx="265430" cy="196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192" w:lineRule="exact"/>
        <w:rPr>
          <w:sz w:val="20"/>
          <w:szCs w:val="20"/>
          <w:color w:val="auto"/>
        </w:rPr>
      </w:pPr>
    </w:p>
    <w:p>
      <w:pPr>
        <w:ind w:left="1300" w:hanging="471"/>
        <w:spacing w:after="0"/>
        <w:tabs>
          <w:tab w:leader="none" w:pos="1300" w:val="left"/>
        </w:tabs>
        <w:numPr>
          <w:ilvl w:val="0"/>
          <w:numId w:val="18"/>
        </w:numPr>
        <w:rPr>
          <w:rFonts w:ascii="Arial" w:cs="Arial" w:eastAsia="Arial" w:hAnsi="Arial"/>
          <w:sz w:val="18"/>
          <w:szCs w:val="18"/>
          <w:b w:val="1"/>
          <w:bCs w:val="1"/>
          <w:color w:val="FFFFFF"/>
        </w:rPr>
      </w:pPr>
      <w:r>
        <w:rPr>
          <w:rFonts w:ascii="Arial" w:cs="Arial" w:eastAsia="Arial" w:hAnsi="Arial"/>
          <w:sz w:val="18"/>
          <w:szCs w:val="18"/>
          <w:b w:val="1"/>
          <w:bCs w:val="1"/>
          <w:color w:val="auto"/>
        </w:rPr>
        <w:t>Delight Customers with Innovative Cloud Solutions</w:t>
      </w:r>
    </w:p>
    <w:p>
      <w:pPr>
        <w:spacing w:after="0" w:line="211" w:lineRule="exact"/>
        <w:rPr>
          <w:rFonts w:ascii="Arial" w:cs="Arial" w:eastAsia="Arial" w:hAnsi="Arial"/>
          <w:sz w:val="18"/>
          <w:szCs w:val="18"/>
          <w:b w:val="1"/>
          <w:bCs w:val="1"/>
          <w:color w:val="FFFFFF"/>
        </w:rPr>
      </w:pPr>
    </w:p>
    <w:p>
      <w:pPr>
        <w:ind w:left="820"/>
        <w:spacing w:after="0"/>
        <w:rPr>
          <w:rFonts w:ascii="Arial" w:cs="Arial" w:eastAsia="Arial" w:hAnsi="Arial"/>
          <w:sz w:val="18"/>
          <w:szCs w:val="18"/>
          <w:b w:val="1"/>
          <w:bCs w:val="1"/>
          <w:color w:val="FFFFFF"/>
        </w:rPr>
      </w:pPr>
      <w:r>
        <w:rPr>
          <w:rFonts w:ascii="Arial" w:cs="Arial" w:eastAsia="Arial" w:hAnsi="Arial"/>
          <w:sz w:val="18"/>
          <w:szCs w:val="18"/>
          <w:b w:val="1"/>
          <w:bCs w:val="1"/>
          <w:color w:val="FFFFFF"/>
        </w:rPr>
        <w:t>4</w:t>
      </w:r>
      <w:r>
        <w:rPr>
          <w:rFonts w:ascii="Arial" w:cs="Arial" w:eastAsia="Arial" w:hAnsi="Arial"/>
          <w:sz w:val="17"/>
          <w:szCs w:val="17"/>
          <w:b w:val="1"/>
          <w:bCs w:val="1"/>
          <w:color w:val="auto"/>
        </w:rPr>
        <w:t>Focus on Employees, Culture and ESG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-142240</wp:posOffset>
            </wp:positionV>
            <wp:extent cx="265430" cy="1968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5430" cy="19685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22</w:t>
      </w:r>
      <w:r>
        <w:rPr>
          <w:sz w:val="20"/>
          <w:szCs w:val="20"/>
          <w:color w:val="auto"/>
        </w:rPr>
        <w:tab/>
      </w:r>
      <w:r>
        <w:rPr>
          <w:sz w:val="1"/>
          <w:szCs w:val="1"/>
          <w:color w:val="auto"/>
        </w:rPr>
        <w:drawing>
          <wp:inline distT="0" distB="0" distL="0" distR="0">
            <wp:extent cx="651510" cy="171450"/>
            <wp:effectExtent l="0" t="0" r="0"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167640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320" w:hanging="312"/>
        <w:spacing w:after="0"/>
        <w:tabs>
          <w:tab w:leader="none" w:pos="3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Expand Total Addressable Market ("TAM")</w:t>
      </w:r>
    </w:p>
    <w:p>
      <w:pPr>
        <w:spacing w:after="0" w:line="189" w:lineRule="exact"/>
        <w:rPr>
          <w:rFonts w:ascii="Arial" w:cs="Arial" w:eastAsia="Arial" w:hAnsi="Arial"/>
          <w:sz w:val="18"/>
          <w:szCs w:val="18"/>
          <w:i w:val="1"/>
          <w:iCs w:val="1"/>
          <w:color w:val="auto"/>
        </w:rPr>
      </w:pPr>
    </w:p>
    <w:p>
      <w:pPr>
        <w:jc w:val="both"/>
        <w:ind w:left="34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In December 2021, we doubled our TAM when we acquired EVERFI, an industry leader in global social impact technology. Adding EVERFI advances our position as a leader in the rapidly evolving ESG and CSR spaces and offers cross-selling and upselling opportunities through complementary product offerings with YourCause® solutions. Our TAM now stands at over $20 billion, and we remain active in the evaluation of opportunities to further expand our addressable market through acquisitions and internal product development.</w:t>
      </w:r>
    </w:p>
    <w:p>
      <w:pPr>
        <w:spacing w:after="0" w:line="133" w:lineRule="exact"/>
        <w:rPr>
          <w:rFonts w:ascii="Arial" w:cs="Arial" w:eastAsia="Arial" w:hAnsi="Arial"/>
          <w:sz w:val="18"/>
          <w:szCs w:val="18"/>
          <w:i w:val="1"/>
          <w:iCs w:val="1"/>
          <w:color w:val="auto"/>
        </w:rPr>
      </w:pPr>
    </w:p>
    <w:p>
      <w:pPr>
        <w:ind w:left="320" w:hanging="312"/>
        <w:spacing w:after="0"/>
        <w:tabs>
          <w:tab w:leader="none" w:pos="3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Lead with World Class Teams and Operations</w:t>
      </w:r>
    </w:p>
    <w:p>
      <w:pPr>
        <w:spacing w:after="0" w:line="189" w:lineRule="exact"/>
        <w:rPr>
          <w:rFonts w:ascii="Arial" w:cs="Arial" w:eastAsia="Arial" w:hAnsi="Arial"/>
          <w:sz w:val="18"/>
          <w:szCs w:val="18"/>
          <w:i w:val="1"/>
          <w:iCs w:val="1"/>
          <w:color w:val="auto"/>
        </w:rPr>
      </w:pPr>
    </w:p>
    <w:p>
      <w:pPr>
        <w:jc w:val="both"/>
        <w:ind w:left="340"/>
        <w:spacing w:after="0" w:line="253" w:lineRule="auto"/>
        <w:rPr>
          <w:rFonts w:ascii="Arial" w:cs="Arial" w:eastAsia="Arial" w:hAnsi="Arial"/>
          <w:sz w:val="18"/>
          <w:szCs w:val="18"/>
          <w:i w:val="1"/>
          <w:iCs w:val="1"/>
          <w:color w:val="auto"/>
        </w:rPr>
      </w:pPr>
      <w:r>
        <w:rPr>
          <w:rFonts w:ascii="Arial" w:cs="Arial" w:eastAsia="Arial" w:hAnsi="Arial"/>
          <w:sz w:val="18"/>
          <w:szCs w:val="18"/>
          <w:color w:val="auto"/>
        </w:rPr>
        <w:t>This strategy expands upon our previous strategies to drive sales effectiveness and improve operating efficiency to include improving overall company performance as measured by the Rule of 40 (see discussion of Non-GAAP Financial Measures below). We recently welcomed two accomplished leaders to our team as we look to drive future innovation and customer delight, a Chief Product Officer, to oversee our global product portfolio and a Chief Information Security Officer, to oversee our global trust and security program including all elements of cybersecurity.</w:t>
      </w:r>
    </w:p>
    <w:p>
      <w:pPr>
        <w:spacing w:after="0" w:line="133" w:lineRule="exact"/>
        <w:rPr>
          <w:rFonts w:ascii="Arial" w:cs="Arial" w:eastAsia="Arial" w:hAnsi="Arial"/>
          <w:sz w:val="18"/>
          <w:szCs w:val="18"/>
          <w:i w:val="1"/>
          <w:iCs w:val="1"/>
          <w:color w:val="auto"/>
        </w:rPr>
      </w:pPr>
    </w:p>
    <w:p>
      <w:pPr>
        <w:ind w:left="320" w:hanging="312"/>
        <w:spacing w:after="0"/>
        <w:tabs>
          <w:tab w:leader="none" w:pos="3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Delight Customers with Innovative Cloud Solutions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We are excited about the role Blackbaud is playing in developing innovative solutions for our customers to diversify the way they receive and process donations. Recently, we announced a new product integration in the U.S. between Blackbaud Merchant Services, our end-to-end payment processing solution, and PayPal allowing social good organizations to offer donors the option to checkout with PayPal or Venmo. Through this integration, Blackbaud customers will have access to a broader audience of donors with PayPal's more than 400 million active consumer accounts enabling a more satisfying giving experience to expand impact. We are also driving a differentiated giving experience through our partnership with Change, to provide Blackbaud's corporate customers an option to run charitable campaigns at point-of-sale like roundups after purchase, match customer donations and offer donation options in loyalty programs. Change is a good example of the ecosystem we are building through our Social Good Startup Program. Their platform is already making an impact in the mission-driven commerce space, including enabling a new frontier of giving with cryptocurrency. We also recently held our Product Update Briefings, a semi-annual event designed to share new product features and roadmaps. We provided updates on innovations in the pipeline for Raiser's Edge NXT, Financial Edge NXT, Grantmaking, Data Intelligence, Payment Services, Luminate Online and TeamRaiser, JustGiving, and SKY Developer, to name a few. New this year, we hosted an executive summary session that briefly highlighted our most important product enhancements and strategies, which can be accessed along with all the sessions by visiting our corporate website. Also, in just over a month, we are projecting our highest turnout ever at our developers' conference designed as a learning event that brings together all levels of developers and technology enthusiasts to share best practices, collaborate with Blackbaud product experts and build relationships with peers. We continue to drive significant growth in our non-Blackbaud developer ecosystem consisting of customers, consultants, partners and individual change agents.</w:t>
      </w:r>
    </w:p>
    <w:p>
      <w:pPr>
        <w:spacing w:after="0" w:line="135" w:lineRule="exact"/>
        <w:rPr>
          <w:rFonts w:ascii="Arial" w:cs="Arial" w:eastAsia="Arial" w:hAnsi="Arial"/>
          <w:sz w:val="18"/>
          <w:szCs w:val="18"/>
          <w:i w:val="1"/>
          <w:iCs w:val="1"/>
          <w:color w:val="auto"/>
        </w:rPr>
      </w:pPr>
    </w:p>
    <w:p>
      <w:pPr>
        <w:ind w:left="320" w:hanging="312"/>
        <w:spacing w:after="0"/>
        <w:tabs>
          <w:tab w:leader="none" w:pos="32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Focus on Employees, Culture and ESG Initiatives</w:t>
      </w:r>
    </w:p>
    <w:p>
      <w:pPr>
        <w:spacing w:after="0" w:line="189" w:lineRule="exact"/>
        <w:rPr>
          <w:rFonts w:ascii="Arial" w:cs="Arial" w:eastAsia="Arial" w:hAnsi="Arial"/>
          <w:sz w:val="18"/>
          <w:szCs w:val="18"/>
          <w:i w:val="1"/>
          <w:iCs w:val="1"/>
          <w:color w:val="auto"/>
        </w:rPr>
      </w:pPr>
    </w:p>
    <w:p>
      <w:pPr>
        <w:jc w:val="both"/>
        <w:ind w:left="340"/>
        <w:spacing w:after="0" w:line="251" w:lineRule="auto"/>
        <w:rPr>
          <w:rFonts w:ascii="Arial" w:cs="Arial" w:eastAsia="Arial" w:hAnsi="Arial"/>
          <w:sz w:val="18"/>
          <w:szCs w:val="18"/>
          <w:i w:val="1"/>
          <w:iCs w:val="1"/>
          <w:color w:val="auto"/>
        </w:rPr>
      </w:pPr>
      <w:r>
        <w:rPr>
          <w:rFonts w:ascii="Arial" w:cs="Arial" w:eastAsia="Arial" w:hAnsi="Arial"/>
          <w:sz w:val="18"/>
          <w:szCs w:val="18"/>
          <w:color w:val="auto"/>
        </w:rPr>
        <w:t>We recently announced that we achieved carbon neutrality for 2021. This is a goal we have been striving towards and our shift to a remote-first workforce enabled us to accelerate our timeline. Since 2019, Blackbaud has reduced its global real estate footprint by 50%, energy emissions to run office space by 63% and employee commute emissions by 75%. With a multi-pronged climate strategy, Blackbaud is focused on reducing emissions, using energy efficiently and investing in environmental projects for a more sustainable future. We will share more about our ESG strategy on our Corporate Social Responsibility website, which we expect to launch this quarter. Our mission driven culture has been in our DNA since inception and is very attractive in a competitive labor market. We continue to foster a diverse and inclusive environment focused on employee engagement and connectedness with our remote-first workforce strategy. For example, of our most recent hires, nearly 67% have come from historically under-represented groups. We have a significant role to play in driving advances in the social good space, and we are proud of the strong corporate culture we have built and continue to cultivate in today's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220345</wp:posOffset>
            </wp:positionV>
            <wp:extent cx="659765"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Summary</w:t>
      </w:r>
    </w:p>
    <w:p>
      <w:pPr>
        <w:spacing w:after="0" w:line="200" w:lineRule="exact"/>
        <w:rPr>
          <w:sz w:val="20"/>
          <w:szCs w:val="20"/>
          <w:color w:val="auto"/>
        </w:rPr>
      </w:pP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40" w:type="dxa"/>
            <w:vAlign w:val="bottom"/>
            <w:gridSpan w:val="2"/>
          </w:tcPr>
          <w:p>
            <w:pPr>
              <w:jc w:val="center"/>
              <w:ind w:right="640"/>
              <w:spacing w:after="0"/>
              <w:rPr>
                <w:sz w:val="20"/>
                <w:szCs w:val="20"/>
                <w:color w:val="auto"/>
              </w:rPr>
            </w:pPr>
            <w:r>
              <w:rPr>
                <w:rFonts w:ascii="Arial" w:cs="Arial" w:eastAsia="Arial" w:hAnsi="Arial"/>
                <w:sz w:val="18"/>
                <w:szCs w:val="18"/>
                <w:i w:val="1"/>
                <w:iCs w:val="1"/>
                <w:color w:val="auto"/>
                <w:w w:val="98"/>
              </w:rPr>
              <w:t>Total revenue ($M)</w:t>
            </w:r>
          </w:p>
        </w:tc>
        <w:tc>
          <w:tcPr>
            <w:tcW w:w="4300" w:type="dxa"/>
            <w:vAlign w:val="bottom"/>
          </w:tcPr>
          <w:p>
            <w:pPr>
              <w:jc w:val="center"/>
              <w:spacing w:after="0"/>
              <w:rPr>
                <w:sz w:val="20"/>
                <w:szCs w:val="20"/>
                <w:color w:val="auto"/>
              </w:rPr>
            </w:pPr>
            <w:r>
              <w:rPr>
                <w:rFonts w:ascii="Arial" w:cs="Arial" w:eastAsia="Arial" w:hAnsi="Arial"/>
                <w:sz w:val="18"/>
                <w:szCs w:val="18"/>
                <w:i w:val="1"/>
                <w:iCs w:val="1"/>
                <w:color w:val="auto"/>
                <w:w w:val="99"/>
              </w:rPr>
              <w:t>Income from operations ($M)</w:t>
            </w:r>
          </w:p>
        </w:tc>
      </w:tr>
      <w:tr>
        <w:trPr>
          <w:trHeight w:val="27"/>
        </w:trPr>
        <w:tc>
          <w:tcPr>
            <w:tcW w:w="4280" w:type="dxa"/>
            <w:vAlign w:val="bottom"/>
            <w:tcBorders>
              <w:bottom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r>
      <w:tr>
        <w:trPr>
          <w:trHeight w:val="221"/>
        </w:trPr>
        <w:tc>
          <w:tcPr>
            <w:tcW w:w="4940" w:type="dxa"/>
            <w:vAlign w:val="bottom"/>
            <w:gridSpan w:val="2"/>
          </w:tcPr>
          <w:p>
            <w:pPr>
              <w:jc w:val="center"/>
              <w:ind w:right="640"/>
              <w:spacing w:after="0"/>
              <w:rPr>
                <w:sz w:val="20"/>
                <w:szCs w:val="20"/>
                <w:color w:val="auto"/>
              </w:rPr>
            </w:pPr>
            <w:r>
              <w:rPr>
                <w:rFonts w:ascii="Arial" w:cs="Arial" w:eastAsia="Arial" w:hAnsi="Arial"/>
                <w:sz w:val="13"/>
                <w:szCs w:val="13"/>
                <w:i w:val="1"/>
                <w:iCs w:val="1"/>
                <w:color w:val="auto"/>
                <w:w w:val="95"/>
              </w:rPr>
              <w:t>YoY Growth (%)</w:t>
            </w:r>
          </w:p>
        </w:tc>
        <w:tc>
          <w:tcPr>
            <w:tcW w:w="4300" w:type="dxa"/>
            <w:vAlign w:val="bottom"/>
          </w:tcPr>
          <w:p>
            <w:pPr>
              <w:jc w:val="center"/>
              <w:spacing w:after="0"/>
              <w:rPr>
                <w:sz w:val="20"/>
                <w:szCs w:val="20"/>
                <w:color w:val="auto"/>
              </w:rPr>
            </w:pPr>
            <w:r>
              <w:rPr>
                <w:rFonts w:ascii="Arial" w:cs="Arial" w:eastAsia="Arial" w:hAnsi="Arial"/>
                <w:sz w:val="13"/>
                <w:szCs w:val="13"/>
                <w:i w:val="1"/>
                <w:iCs w:val="1"/>
                <w:color w:val="auto"/>
                <w:w w:val="95"/>
              </w:rPr>
              <w:t>YoY Growth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227965</wp:posOffset>
            </wp:positionH>
            <wp:positionV relativeFrom="paragraph">
              <wp:posOffset>181610</wp:posOffset>
            </wp:positionV>
            <wp:extent cx="5417820" cy="1423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417820"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Total revenue increased by $37.9 million during the three months ended March 31, 2022, when compared to the same period in 2021, driven largely by the following:</w:t>
      </w:r>
    </w:p>
    <w:p>
      <w:pPr>
        <w:ind w:left="700" w:hanging="373"/>
        <w:spacing w:after="0" w:line="209" w:lineRule="auto"/>
        <w:tabs>
          <w:tab w:leader="none" w:pos="70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Growth in recurring revenue primarily related to:</w:t>
      </w:r>
    </w:p>
    <w:p>
      <w:pPr>
        <w:spacing w:after="0" w:line="53" w:lineRule="exact"/>
        <w:rPr>
          <w:rFonts w:ascii="Arial" w:cs="Arial" w:eastAsia="Arial" w:hAnsi="Arial"/>
          <w:sz w:val="36"/>
          <w:szCs w:val="36"/>
          <w:color w:val="auto"/>
          <w:vertAlign w:val="superscript"/>
        </w:rPr>
      </w:pPr>
    </w:p>
    <w:p>
      <w:pPr>
        <w:jc w:val="both"/>
        <w:ind w:left="1340" w:right="20" w:hanging="315"/>
        <w:spacing w:after="0" w:line="256" w:lineRule="auto"/>
        <w:tabs>
          <w:tab w:leader="none" w:pos="13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 increase in contractual recurring revenue of $27.7 million related to the performance of our cloud solutions, $24.1 million of which was attributable to EVERFI; partially offset by a decrease in maintenance revenue as customers migrate to our cloud solutions; and</w:t>
      </w:r>
    </w:p>
    <w:p>
      <w:pPr>
        <w:spacing w:after="0" w:line="39" w:lineRule="exact"/>
        <w:rPr>
          <w:rFonts w:ascii="Arial" w:cs="Arial" w:eastAsia="Arial" w:hAnsi="Arial"/>
          <w:sz w:val="18"/>
          <w:szCs w:val="18"/>
          <w:color w:val="auto"/>
        </w:rPr>
      </w:pPr>
    </w:p>
    <w:p>
      <w:pPr>
        <w:jc w:val="both"/>
        <w:ind w:left="1340" w:right="20" w:hanging="315"/>
        <w:spacing w:after="0" w:line="256" w:lineRule="auto"/>
        <w:tabs>
          <w:tab w:leader="none" w:pos="1308"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 increase in transactional revenue of $10.2 million primarily due to an increase in online charitable giving, the continued shift toward virtual fundraising and, to a lesser extent, increased transactional volume as our customer's constituents have begun to return to in-person events.</w:t>
      </w:r>
    </w:p>
    <w:p>
      <w:pPr>
        <w:spacing w:after="0" w:line="93" w:lineRule="exact"/>
        <w:rPr>
          <w:rFonts w:ascii="Arial" w:cs="Arial" w:eastAsia="Arial" w:hAnsi="Arial"/>
          <w:sz w:val="18"/>
          <w:szCs w:val="18"/>
          <w:color w:val="auto"/>
        </w:rPr>
      </w:pPr>
    </w:p>
    <w:p>
      <w:pPr>
        <w:jc w:val="both"/>
        <w:ind w:left="700" w:right="20" w:hanging="373"/>
        <w:spacing w:after="0" w:line="200" w:lineRule="auto"/>
        <w:tabs>
          <w:tab w:leader="none" w:pos="700" w:val="left"/>
        </w:tabs>
        <w:numPr>
          <w:ilvl w:val="0"/>
          <w:numId w:val="20"/>
        </w:numPr>
        <w:rPr>
          <w:rFonts w:ascii="Arial" w:cs="Arial" w:eastAsia="Arial" w:hAnsi="Arial"/>
          <w:sz w:val="36"/>
          <w:szCs w:val="36"/>
          <w:color w:val="auto"/>
          <w:vertAlign w:val="superscript"/>
        </w:rPr>
      </w:pPr>
      <w:r>
        <w:rPr>
          <w:rFonts w:ascii="Arial" w:cs="Arial" w:eastAsia="Arial" w:hAnsi="Arial"/>
          <w:sz w:val="18"/>
          <w:szCs w:val="18"/>
          <w:color w:val="auto"/>
        </w:rPr>
        <w:t>Increase in one-time consulting revenue due primarily to our acquisition of EVERFI, largely offset by a decrease in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spacing w:after="0" w:line="56" w:lineRule="exact"/>
        <w:rPr>
          <w:sz w:val="20"/>
          <w:szCs w:val="20"/>
          <w:color w:val="auto"/>
        </w:rPr>
      </w:pPr>
    </w:p>
    <w:p>
      <w:pPr>
        <w:ind w:left="700" w:hanging="351"/>
        <w:spacing w:after="0"/>
        <w:tabs>
          <w:tab w:leader="none" w:pos="7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Decrease in one-time analytics revenue as analytics are generally integrated in our cloud solutions</w:t>
      </w:r>
    </w:p>
    <w:p>
      <w:pPr>
        <w:spacing w:after="0" w:line="200" w:lineRule="exact"/>
        <w:rPr>
          <w:sz w:val="20"/>
          <w:szCs w:val="20"/>
          <w:color w:val="auto"/>
        </w:rPr>
      </w:pPr>
    </w:p>
    <w:p>
      <w:pPr>
        <w:spacing w:after="0" w:line="25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24</w:t>
      </w:r>
      <w:r>
        <w:rPr>
          <w:sz w:val="20"/>
          <w:szCs w:val="20"/>
          <w:color w:val="auto"/>
        </w:rPr>
        <w:tab/>
      </w:r>
      <w:r>
        <w:rPr>
          <w:sz w:val="1"/>
          <w:szCs w:val="1"/>
          <w:color w:val="auto"/>
        </w:rPr>
        <w:drawing>
          <wp:inline distT="0" distB="0" distL="0" distR="0">
            <wp:extent cx="651510" cy="17145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Income from operations decreased by $12.6 million during the three months ended March 31, 2022, when compared to the same period in 2021, driven largely by the following:</w:t>
      </w:r>
    </w:p>
    <w:p>
      <w:pPr>
        <w:spacing w:after="0" w:line="55" w:lineRule="exact"/>
        <w:rPr>
          <w:sz w:val="20"/>
          <w:szCs w:val="20"/>
          <w:color w:val="auto"/>
        </w:rPr>
      </w:pPr>
    </w:p>
    <w:p>
      <w:pPr>
        <w:ind w:left="700" w:hanging="445"/>
        <w:spacing w:after="0"/>
        <w:tabs>
          <w:tab w:leader="none" w:pos="7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Increase in total revenue, as described above</w:t>
      </w:r>
    </w:p>
    <w:p>
      <w:pPr>
        <w:spacing w:after="0" w:line="107" w:lineRule="exact"/>
        <w:rPr>
          <w:rFonts w:ascii="Arial" w:cs="Arial" w:eastAsia="Arial" w:hAnsi="Arial"/>
          <w:sz w:val="36"/>
          <w:szCs w:val="36"/>
          <w:color w:val="auto"/>
          <w:vertAlign w:val="superscript"/>
        </w:rPr>
      </w:pPr>
    </w:p>
    <w:p>
      <w:pPr>
        <w:jc w:val="both"/>
        <w:ind w:left="700" w:right="20" w:hanging="445"/>
        <w:spacing w:after="0" w:line="188" w:lineRule="auto"/>
        <w:tabs>
          <w:tab w:leader="none" w:pos="700" w:val="left"/>
        </w:tabs>
        <w:numPr>
          <w:ilvl w:val="0"/>
          <w:numId w:val="22"/>
        </w:numPr>
        <w:rPr>
          <w:rFonts w:ascii="Arial" w:cs="Arial" w:eastAsia="Arial" w:hAnsi="Arial"/>
          <w:sz w:val="36"/>
          <w:szCs w:val="36"/>
          <w:color w:val="auto"/>
          <w:vertAlign w:val="superscript"/>
        </w:rPr>
      </w:pPr>
      <w:r>
        <w:rPr>
          <w:rFonts w:ascii="Arial" w:cs="Arial" w:eastAsia="Arial" w:hAnsi="Arial"/>
          <w:sz w:val="18"/>
          <w:szCs w:val="18"/>
          <w:color w:val="auto"/>
        </w:rPr>
        <w:t>Decrease in stock-based compensation expense of $2.1 million attributable to a change in the timing of our annual short-term incentive ("STI") equity award grants from the second quarter during 2020 to the first quarter beginning in 2021, which resulted in double-expense for STI awards during the first quarter of 2021</w:t>
      </w:r>
    </w:p>
    <w:p>
      <w:pPr>
        <w:spacing w:after="0" w:line="107" w:lineRule="exact"/>
        <w:rPr>
          <w:sz w:val="20"/>
          <w:szCs w:val="20"/>
          <w:color w:val="auto"/>
        </w:rPr>
      </w:pPr>
    </w:p>
    <w:p>
      <w:pPr>
        <w:ind w:left="700" w:right="20" w:hanging="445"/>
        <w:spacing w:after="0" w:line="180" w:lineRule="auto"/>
        <w:tabs>
          <w:tab w:leader="none" w:pos="700" w:val="left"/>
        </w:tabs>
        <w:numPr>
          <w:ilvl w:val="0"/>
          <w:numId w:val="23"/>
        </w:numPr>
        <w:rPr>
          <w:rFonts w:ascii="Arial" w:cs="Arial" w:eastAsia="Arial" w:hAnsi="Arial"/>
          <w:sz w:val="33"/>
          <w:szCs w:val="33"/>
          <w:color w:val="auto"/>
          <w:vertAlign w:val="superscript"/>
        </w:rPr>
      </w:pPr>
      <w:r>
        <w:rPr>
          <w:rFonts w:ascii="Arial" w:cs="Arial" w:eastAsia="Arial" w:hAnsi="Arial"/>
          <w:sz w:val="17"/>
          <w:szCs w:val="17"/>
          <w:color w:val="auto"/>
        </w:rPr>
        <w:t>Increase in compensation costs other than stock-based compensation of $23.7 million primarily due to increased employee headcount due to our acquisition of EVERFI</w:t>
      </w:r>
    </w:p>
    <w:p>
      <w:pPr>
        <w:spacing w:after="0" w:line="108" w:lineRule="exact"/>
        <w:rPr>
          <w:rFonts w:ascii="Arial" w:cs="Arial" w:eastAsia="Arial" w:hAnsi="Arial"/>
          <w:sz w:val="33"/>
          <w:szCs w:val="33"/>
          <w:color w:val="auto"/>
          <w:vertAlign w:val="superscript"/>
        </w:rPr>
      </w:pPr>
    </w:p>
    <w:p>
      <w:pPr>
        <w:jc w:val="both"/>
        <w:ind w:left="700" w:right="20" w:hanging="445"/>
        <w:spacing w:after="0" w:line="188" w:lineRule="auto"/>
        <w:tabs>
          <w:tab w:leader="none" w:pos="70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Increases in third-party contractor and hosting costs of $7.8 million and $2.7 million, respectively, primarily attributable to our acquisition of EVERFI and, to a lesser extent, our continued migration of our cloud infrastructure to leading public cloud service providers and investments in security</w:t>
      </w:r>
    </w:p>
    <w:p>
      <w:pPr>
        <w:ind w:left="700" w:hanging="445"/>
        <w:spacing w:after="0" w:line="187" w:lineRule="auto"/>
        <w:tabs>
          <w:tab w:leader="none" w:pos="700" w:val="left"/>
        </w:tabs>
        <w:numPr>
          <w:ilvl w:val="0"/>
          <w:numId w:val="23"/>
        </w:numPr>
        <w:rPr>
          <w:rFonts w:ascii="Arial" w:cs="Arial" w:eastAsia="Arial" w:hAnsi="Arial"/>
          <w:sz w:val="36"/>
          <w:szCs w:val="36"/>
          <w:color w:val="auto"/>
          <w:vertAlign w:val="superscript"/>
        </w:rPr>
      </w:pPr>
      <w:r>
        <w:rPr>
          <w:rFonts w:ascii="Arial" w:cs="Arial" w:eastAsia="Arial" w:hAnsi="Arial"/>
          <w:sz w:val="18"/>
          <w:szCs w:val="18"/>
          <w:color w:val="auto"/>
        </w:rPr>
        <w:t>Increase in Security Incident-related expenses, net of insurance, of $7.2 million. See "Security Incident update" below.</w:t>
      </w:r>
    </w:p>
    <w:p>
      <w:pPr>
        <w:spacing w:after="0" w:line="108" w:lineRule="exact"/>
        <w:rPr>
          <w:rFonts w:ascii="Arial" w:cs="Arial" w:eastAsia="Arial" w:hAnsi="Arial"/>
          <w:sz w:val="36"/>
          <w:szCs w:val="36"/>
          <w:color w:val="auto"/>
          <w:vertAlign w:val="superscript"/>
        </w:rPr>
      </w:pPr>
    </w:p>
    <w:p>
      <w:pPr>
        <w:ind w:left="700" w:hanging="445"/>
        <w:spacing w:after="0" w:line="181" w:lineRule="auto"/>
        <w:tabs>
          <w:tab w:leader="none" w:pos="700" w:val="left"/>
        </w:tabs>
        <w:numPr>
          <w:ilvl w:val="0"/>
          <w:numId w:val="23"/>
        </w:numPr>
        <w:rPr>
          <w:rFonts w:ascii="Arial" w:cs="Arial" w:eastAsia="Arial" w:hAnsi="Arial"/>
          <w:sz w:val="25"/>
          <w:szCs w:val="25"/>
          <w:color w:val="auto"/>
          <w:vertAlign w:val="superscript"/>
        </w:rPr>
      </w:pPr>
      <w:r>
        <w:rPr>
          <w:rFonts w:ascii="Arial" w:cs="Arial" w:eastAsia="Arial" w:hAnsi="Arial"/>
          <w:sz w:val="14"/>
          <w:szCs w:val="14"/>
          <w:color w:val="auto"/>
        </w:rPr>
        <w:t>Increase in transaction-based costs of $5.1 million related to payment services integrated in our cloud solutions</w:t>
      </w:r>
    </w:p>
    <w:p>
      <w:pPr>
        <w:spacing w:after="0" w:line="107" w:lineRule="exact"/>
        <w:rPr>
          <w:rFonts w:ascii="Arial" w:cs="Arial" w:eastAsia="Arial" w:hAnsi="Arial"/>
          <w:sz w:val="25"/>
          <w:szCs w:val="25"/>
          <w:color w:val="auto"/>
          <w:vertAlign w:val="superscript"/>
        </w:rPr>
      </w:pPr>
    </w:p>
    <w:p>
      <w:pPr>
        <w:ind w:left="700" w:hanging="445"/>
        <w:spacing w:after="0" w:line="181" w:lineRule="auto"/>
        <w:tabs>
          <w:tab w:leader="none" w:pos="700" w:val="left"/>
        </w:tabs>
        <w:numPr>
          <w:ilvl w:val="0"/>
          <w:numId w:val="23"/>
        </w:numPr>
        <w:rPr>
          <w:rFonts w:ascii="Arial" w:cs="Arial" w:eastAsia="Arial" w:hAnsi="Arial"/>
          <w:sz w:val="25"/>
          <w:szCs w:val="25"/>
          <w:color w:val="auto"/>
          <w:vertAlign w:val="superscript"/>
        </w:rPr>
      </w:pPr>
      <w:r>
        <w:rPr>
          <w:rFonts w:ascii="Arial" w:cs="Arial" w:eastAsia="Arial" w:hAnsi="Arial"/>
          <w:sz w:val="14"/>
          <w:szCs w:val="14"/>
          <w:color w:val="auto"/>
        </w:rPr>
        <w:t>Increase in amortization of intangible assets from business combinations of $3.6 million due to our acquisition of EVERFI</w:t>
      </w:r>
    </w:p>
    <w:p>
      <w:pPr>
        <w:spacing w:after="0" w:line="107" w:lineRule="exact"/>
        <w:rPr>
          <w:rFonts w:ascii="Arial" w:cs="Arial" w:eastAsia="Arial" w:hAnsi="Arial"/>
          <w:sz w:val="25"/>
          <w:szCs w:val="25"/>
          <w:color w:val="auto"/>
          <w:vertAlign w:val="superscript"/>
        </w:rPr>
      </w:pPr>
    </w:p>
    <w:p>
      <w:pPr>
        <w:ind w:left="700" w:hanging="445"/>
        <w:spacing w:after="0" w:line="181" w:lineRule="auto"/>
        <w:tabs>
          <w:tab w:leader="none" w:pos="700" w:val="left"/>
        </w:tabs>
        <w:numPr>
          <w:ilvl w:val="0"/>
          <w:numId w:val="23"/>
        </w:numPr>
        <w:rPr>
          <w:rFonts w:ascii="Arial" w:cs="Arial" w:eastAsia="Arial" w:hAnsi="Arial"/>
          <w:sz w:val="25"/>
          <w:szCs w:val="25"/>
          <w:color w:val="auto"/>
          <w:vertAlign w:val="superscript"/>
        </w:rPr>
      </w:pPr>
      <w:r>
        <w:rPr>
          <w:rFonts w:ascii="Arial" w:cs="Arial" w:eastAsia="Arial" w:hAnsi="Arial"/>
          <w:sz w:val="14"/>
          <w:szCs w:val="14"/>
          <w:color w:val="auto"/>
        </w:rPr>
        <w:t>Increase in marketing costs of $2.1 million primarily due to our acquisition of EVERFI</w:t>
      </w:r>
    </w:p>
    <w:p>
      <w:pPr>
        <w:spacing w:after="0" w:line="107" w:lineRule="exact"/>
        <w:rPr>
          <w:rFonts w:ascii="Arial" w:cs="Arial" w:eastAsia="Arial" w:hAnsi="Arial"/>
          <w:sz w:val="25"/>
          <w:szCs w:val="25"/>
          <w:color w:val="auto"/>
          <w:vertAlign w:val="superscript"/>
        </w:rPr>
      </w:pPr>
    </w:p>
    <w:p>
      <w:pPr>
        <w:ind w:left="700" w:hanging="445"/>
        <w:spacing w:after="0" w:line="181" w:lineRule="auto"/>
        <w:tabs>
          <w:tab w:leader="none" w:pos="700" w:val="left"/>
        </w:tabs>
        <w:numPr>
          <w:ilvl w:val="0"/>
          <w:numId w:val="23"/>
        </w:numPr>
        <w:rPr>
          <w:rFonts w:ascii="Arial" w:cs="Arial" w:eastAsia="Arial" w:hAnsi="Arial"/>
          <w:sz w:val="25"/>
          <w:szCs w:val="25"/>
          <w:color w:val="auto"/>
          <w:vertAlign w:val="superscript"/>
        </w:rPr>
      </w:pPr>
      <w:r>
        <w:rPr>
          <w:rFonts w:ascii="Arial" w:cs="Arial" w:eastAsia="Arial" w:hAnsi="Arial"/>
          <w:sz w:val="14"/>
          <w:szCs w:val="14"/>
          <w:color w:val="auto"/>
        </w:rPr>
        <w:t>Increase in corporate IT costs of $1.2 million primarily related to our acquisition of EVERFI and investments in security tools</w:t>
      </w:r>
    </w:p>
    <w:p>
      <w:pPr>
        <w:spacing w:after="0" w:line="28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continuing to make critical investments in the business in areas such as digital marketing, engineering, security, customer success and our continued shift of cloud infrastructure to leading public cloud service providers. Our profitability through the first quarter reflects the addition of EVERFI and some of these incremental investments that were pushed from 2021 into 2022, particularly in areas where we are increasing headcount.</w:t>
      </w:r>
    </w:p>
    <w:p>
      <w:pPr>
        <w:spacing w:after="0" w:line="186" w:lineRule="exact"/>
        <w:rPr>
          <w:sz w:val="20"/>
          <w:szCs w:val="20"/>
          <w:color w:val="auto"/>
        </w:rPr>
      </w:pPr>
    </w:p>
    <w:p>
      <w:pPr>
        <w:ind w:left="1380"/>
        <w:spacing w:after="0"/>
        <w:rPr>
          <w:sz w:val="20"/>
          <w:szCs w:val="20"/>
          <w:color w:val="auto"/>
        </w:rPr>
      </w:pPr>
      <w:r>
        <w:rPr>
          <w:rFonts w:ascii="Arial" w:cs="Arial" w:eastAsia="Arial" w:hAnsi="Arial"/>
          <w:sz w:val="18"/>
          <w:szCs w:val="18"/>
          <w:i w:val="1"/>
          <w:iCs w:val="1"/>
          <w:color w:val="auto"/>
        </w:rPr>
        <w:t>Customer retention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72605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726055" cy="8890"/>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197485</wp:posOffset>
            </wp:positionV>
            <wp:extent cx="2280285" cy="13112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280285" cy="131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recurring revenue contracts are generally for a term of three years at contract inception with one to three-year renewals thereafter. We anticipate a continued decrease in maintenance contract renewals as we transition our solution portfolio and maintenance customers from a perpetual license-based model to a cloud subscription delivery model. In the long term, we also anticipate an increase in recurring subscription contract renewals as we continue focusing on innovation, quality and the integration of our cloud solutions, which we believe will provide value-adding capabilities to better address our customers' needs. Due primarily to these factors, we believe a recurring revenue customer retention measure that combines recurring subscription, maintenance and service customer contracts provides a better representation of our customers' overall behavior. For the twelve months ended March 31, 2022, approximately 92% of our customers with recurring revenue contracts were retained. This customer retention rate is materially unchanged from our rate for the full year ended December 31, 2021 and reflects our efforts to rationalize our portfolio of solutions and migrate customers from legacy solutions towards our next generation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220345</wp:posOffset>
            </wp:positionV>
            <wp:extent cx="659765"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and cash flow</w:t>
      </w:r>
    </w:p>
    <w:p>
      <w:pPr>
        <w:spacing w:after="0" w:line="18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March 31, 2022, our cash and cash equivalents were $33.8 million and the carrying amount of our debt under the 2020 Credit Facility was $922.0 million. Our net leverage ratio was 3.57 to 1.00.</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months ended March 31, 2022, we generated $24.5 million in cash from operations, had a net increase in borrowings of $25.6 million and had aggregate cash outlays of $16.9 million for purchases of property and equipment and capitalized software development costs.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Security Incident update</w:t>
      </w:r>
    </w:p>
    <w:p>
      <w:pPr>
        <w:spacing w:after="0" w:line="189"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As discussed in Note 10 to our unaudited, condensed consolidated financial statements included in this report, total costs related to the Security Incident that we expect will be recoverable exceeded the limit of our insurance coverage during the first quarter of 2022. Accordingly, we expect that the Security Incident will continue to negatively impact our GAAP profitability and GAAP cash flow for the foreseeable future (see discussion regarding our non-GAAP financial measures beginning on page </w:t>
      </w:r>
      <w:hyperlink w:anchor="page33">
        <w:r>
          <w:rPr>
            <w:rFonts w:ascii="Arial" w:cs="Arial" w:eastAsia="Arial" w:hAnsi="Arial"/>
            <w:sz w:val="18"/>
            <w:szCs w:val="18"/>
            <w:color w:val="auto"/>
          </w:rPr>
          <w:t>32)</w:t>
        </w:r>
      </w:hyperlink>
      <w:r>
        <w:rPr>
          <w:rFonts w:ascii="Arial" w:cs="Arial" w:eastAsia="Arial" w:hAnsi="Arial"/>
          <w:sz w:val="18"/>
          <w:szCs w:val="18"/>
          <w:color w:val="auto"/>
        </w:rPr>
        <w:t>. For full year 2022, we currently expect net cash outlays of approximately $25 million to $35 million for ongoing legal fees related to the Security Incident. In line with our policy, legal fees, are expensed as incurred. We have not recorded a liability for a loss contingency related to the Security Incident as of March 31, 2022 because we are unable at this time to reasonably estimate the possible loss or range of loss.</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2022 and 2021</w:t>
      </w:r>
    </w:p>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included the results of operations of EVERFI in our consolidated results of operations from the date of acquisition. We determined that the EVERFI acquisition was not material to our consolidated financial statements; therefore, separate presentation of revenue and earnings since the acquisition date is not required.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of Revenue</w:t>
      </w:r>
    </w:p>
    <w:p>
      <w:pPr>
        <w:spacing w:after="0" w:line="364"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Recurring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900" w:type="dxa"/>
            <w:vAlign w:val="bottom"/>
          </w:tcPr>
          <w:p>
            <w:pPr>
              <w:jc w:val="center"/>
              <w:spacing w:after="0"/>
              <w:rPr>
                <w:sz w:val="20"/>
                <w:szCs w:val="20"/>
                <w:color w:val="auto"/>
              </w:rPr>
            </w:pPr>
            <w:r>
              <w:rPr>
                <w:rFonts w:ascii="Arial" w:cs="Arial" w:eastAsia="Arial" w:hAnsi="Arial"/>
                <w:sz w:val="18"/>
                <w:szCs w:val="18"/>
                <w:i w:val="1"/>
                <w:iCs w:val="1"/>
                <w:color w:val="auto"/>
                <w:w w:val="99"/>
              </w:rPr>
              <w:t>Gross profit ($M)</w:t>
            </w:r>
          </w:p>
        </w:tc>
      </w:tr>
      <w:tr>
        <w:trPr>
          <w:trHeight w:val="235"/>
        </w:trPr>
        <w:tc>
          <w:tcPr>
            <w:tcW w:w="320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9"/>
              </w:rPr>
              <w:t>Revenue ($M)</w:t>
            </w:r>
          </w:p>
        </w:tc>
        <w:tc>
          <w:tcPr>
            <w:tcW w:w="3140" w:type="dxa"/>
            <w:vAlign w:val="bottom"/>
            <w:gridSpan w:val="2"/>
          </w:tcPr>
          <w:p>
            <w:pPr>
              <w:jc w:val="center"/>
              <w:ind w:right="420"/>
              <w:spacing w:after="0"/>
              <w:rPr>
                <w:sz w:val="20"/>
                <w:szCs w:val="20"/>
                <w:color w:val="auto"/>
              </w:rPr>
            </w:pPr>
            <w:r>
              <w:rPr>
                <w:rFonts w:ascii="Arial" w:cs="Arial" w:eastAsia="Arial" w:hAnsi="Arial"/>
                <w:sz w:val="18"/>
                <w:szCs w:val="18"/>
                <w:i w:val="1"/>
                <w:iCs w:val="1"/>
                <w:color w:val="auto"/>
                <w:w w:val="99"/>
              </w:rPr>
              <w:t>Cost of revenue ($M)</w:t>
            </w:r>
          </w:p>
        </w:tc>
        <w:tc>
          <w:tcPr>
            <w:tcW w:w="2900" w:type="dxa"/>
            <w:vAlign w:val="bottom"/>
          </w:tcPr>
          <w:p>
            <w:pPr>
              <w:jc w:val="center"/>
              <w:spacing w:after="0"/>
              <w:rPr>
                <w:sz w:val="20"/>
                <w:szCs w:val="20"/>
                <w:color w:val="auto"/>
              </w:rPr>
            </w:pPr>
            <w:r>
              <w:rPr>
                <w:rFonts w:ascii="Arial" w:cs="Arial" w:eastAsia="Arial" w:hAnsi="Arial"/>
                <w:sz w:val="18"/>
                <w:szCs w:val="18"/>
                <w:i w:val="1"/>
                <w:iCs w:val="1"/>
                <w:color w:val="auto"/>
                <w:w w:val="99"/>
              </w:rPr>
              <w:t>and gross margin (%)</w:t>
            </w:r>
          </w:p>
        </w:tc>
      </w:tr>
      <w:tr>
        <w:trPr>
          <w:trHeight w:val="27"/>
        </w:trPr>
        <w:tc>
          <w:tcPr>
            <w:tcW w:w="278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r>
      <w:tr>
        <w:trPr>
          <w:trHeight w:val="220"/>
        </w:trPr>
        <w:tc>
          <w:tcPr>
            <w:tcW w:w="3200" w:type="dxa"/>
            <w:vAlign w:val="bottom"/>
            <w:gridSpan w:val="2"/>
          </w:tcPr>
          <w:p>
            <w:pPr>
              <w:jc w:val="center"/>
              <w:ind w:right="420"/>
              <w:spacing w:after="0"/>
              <w:rPr>
                <w:sz w:val="20"/>
                <w:szCs w:val="20"/>
                <w:color w:val="auto"/>
              </w:rPr>
            </w:pPr>
            <w:r>
              <w:rPr>
                <w:rFonts w:ascii="Arial" w:cs="Arial" w:eastAsia="Arial" w:hAnsi="Arial"/>
                <w:sz w:val="13"/>
                <w:szCs w:val="13"/>
                <w:i w:val="1"/>
                <w:iCs w:val="1"/>
                <w:color w:val="auto"/>
                <w:w w:val="95"/>
              </w:rPr>
              <w:t>YoY Growth (%)</w:t>
            </w:r>
          </w:p>
        </w:tc>
        <w:tc>
          <w:tcPr>
            <w:tcW w:w="3140" w:type="dxa"/>
            <w:vAlign w:val="bottom"/>
            <w:gridSpan w:val="2"/>
          </w:tcPr>
          <w:p>
            <w:pPr>
              <w:jc w:val="center"/>
              <w:ind w:right="400"/>
              <w:spacing w:after="0"/>
              <w:rPr>
                <w:sz w:val="20"/>
                <w:szCs w:val="20"/>
                <w:color w:val="auto"/>
              </w:rPr>
            </w:pPr>
            <w:r>
              <w:rPr>
                <w:rFonts w:ascii="Arial" w:cs="Arial" w:eastAsia="Arial" w:hAnsi="Arial"/>
                <w:sz w:val="13"/>
                <w:szCs w:val="13"/>
                <w:i w:val="1"/>
                <w:iCs w:val="1"/>
                <w:color w:val="auto"/>
                <w:w w:val="95"/>
              </w:rPr>
              <w:t>YoY Growth (%)</w:t>
            </w:r>
          </w:p>
        </w:tc>
        <w:tc>
          <w:tcPr>
            <w:tcW w:w="29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5812155" cy="14230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Recurring revenue is comprised of fees for the use of our subscription-based software solutions, which includes providing access to cloud solutions, hosting services, payment services, online training programs, subscription-based analytic services. Recurring revenue also includes fees from maintenance services for our on-premises solutions, services included in our renewable subscription contracts, retained and managed services contracts that we expect to have a term consistent with our cloud solution contracts, and variable transaction revenue associated with the use of our solutions.</w:t>
      </w:r>
    </w:p>
    <w:p>
      <w:pPr>
        <w:spacing w:after="0" w:line="31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26</w:t>
      </w:r>
      <w:r>
        <w:rPr>
          <w:sz w:val="20"/>
          <w:szCs w:val="20"/>
          <w:color w:val="auto"/>
        </w:rPr>
        <w:tab/>
      </w:r>
      <w:r>
        <w:rPr>
          <w:sz w:val="1"/>
          <w:szCs w:val="1"/>
          <w:color w:val="auto"/>
        </w:rPr>
        <w:drawing>
          <wp:inline distT="0" distB="0" distL="0" distR="0">
            <wp:extent cx="651510" cy="17145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Cost of recurring revenue is primarily comprised of compensation costs for customer support and production IT personnel, hosting and data center costs, third-party contractor expenses, third-party royalty and data expenses, allocated depreciation, facilities and IT support costs, amortization of intangible assets from business combinations, amortization of software development costs, transaction-based costs related to payments services including remittances of amounts due to third-parties and other costs incurred in providing support and recurring services to our customers.</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customers continue to prefer cloud subscription offerings with integrated analytics, training and payment services. Recurring subscription contracts are typically for a term of three years at contract inception with one to three-year renewals thereafter. We intend to continue focusing on innovation, quality and integration of our cloud solutions, which we believe will drive future revenue growth.</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Recurring revenue increased by $37.9 million, or 18.3%, during the three months ended March 31, 2022, when compared to the same period in 2021, driven primarily by the following:</w:t>
      </w:r>
    </w:p>
    <w:p>
      <w:pPr>
        <w:spacing w:after="0" w:line="144" w:lineRule="exact"/>
        <w:rPr>
          <w:sz w:val="20"/>
          <w:szCs w:val="20"/>
          <w:color w:val="auto"/>
        </w:rPr>
      </w:pPr>
    </w:p>
    <w:p>
      <w:pPr>
        <w:ind w:left="700" w:right="20" w:hanging="373"/>
        <w:spacing w:after="0" w:line="180" w:lineRule="auto"/>
        <w:tabs>
          <w:tab w:leader="none" w:pos="700" w:val="left"/>
        </w:tabs>
        <w:numPr>
          <w:ilvl w:val="0"/>
          <w:numId w:val="24"/>
        </w:numPr>
        <w:rPr>
          <w:rFonts w:ascii="Arial" w:cs="Arial" w:eastAsia="Arial" w:hAnsi="Arial"/>
          <w:sz w:val="33"/>
          <w:szCs w:val="33"/>
          <w:color w:val="auto"/>
          <w:vertAlign w:val="superscript"/>
        </w:rPr>
      </w:pPr>
      <w:r>
        <w:rPr>
          <w:rFonts w:ascii="Arial" w:cs="Arial" w:eastAsia="Arial" w:hAnsi="Arial"/>
          <w:sz w:val="17"/>
          <w:szCs w:val="17"/>
          <w:color w:val="auto"/>
        </w:rPr>
        <w:t>Increase in contractual recurring revenue of $27.7 million related to the performance of our cloud solutions, $24.1 million of which was attributable to EVERFI; partially offset by a decrease in maintenance revenue as customers migrate to our cloud solutions</w:t>
      </w:r>
    </w:p>
    <w:p>
      <w:pPr>
        <w:spacing w:after="0" w:line="108" w:lineRule="exact"/>
        <w:rPr>
          <w:rFonts w:ascii="Arial" w:cs="Arial" w:eastAsia="Arial" w:hAnsi="Arial"/>
          <w:sz w:val="33"/>
          <w:szCs w:val="33"/>
          <w:color w:val="auto"/>
          <w:vertAlign w:val="superscript"/>
        </w:rPr>
      </w:pPr>
    </w:p>
    <w:p>
      <w:pPr>
        <w:jc w:val="both"/>
        <w:ind w:left="700" w:right="20" w:hanging="373"/>
        <w:spacing w:after="0" w:line="188" w:lineRule="auto"/>
        <w:tabs>
          <w:tab w:leader="none" w:pos="700" w:val="left"/>
        </w:tabs>
        <w:numPr>
          <w:ilvl w:val="0"/>
          <w:numId w:val="24"/>
        </w:numPr>
        <w:rPr>
          <w:rFonts w:ascii="Arial" w:cs="Arial" w:eastAsia="Arial" w:hAnsi="Arial"/>
          <w:sz w:val="36"/>
          <w:szCs w:val="36"/>
          <w:color w:val="auto"/>
          <w:vertAlign w:val="superscript"/>
        </w:rPr>
      </w:pPr>
      <w:r>
        <w:rPr>
          <w:rFonts w:ascii="Arial" w:cs="Arial" w:eastAsia="Arial" w:hAnsi="Arial"/>
          <w:sz w:val="18"/>
          <w:szCs w:val="18"/>
          <w:color w:val="auto"/>
        </w:rPr>
        <w:t>Increase in transactional revenue of $10.2 million primarily due to an increase in online charitable giving, the continued shift toward virtual fundraising and, to a lesser extent, increased transactional volume as our customer's constituents have begun to return to in-person events.</w:t>
      </w:r>
    </w:p>
    <w:p>
      <w:pPr>
        <w:spacing w:after="0" w:line="28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recurring revenue increased by $23.3 million, or 26.2%, during the three months ended March 31, 2022, when compared to the same period in 2021, driven primarily by the following:</w:t>
      </w:r>
    </w:p>
    <w:p>
      <w:pPr>
        <w:spacing w:after="0" w:line="144" w:lineRule="exact"/>
        <w:rPr>
          <w:sz w:val="20"/>
          <w:szCs w:val="20"/>
          <w:color w:val="auto"/>
        </w:rPr>
      </w:pPr>
    </w:p>
    <w:p>
      <w:pPr>
        <w:ind w:left="700" w:right="60" w:hanging="373"/>
        <w:spacing w:after="0" w:line="180" w:lineRule="auto"/>
        <w:tabs>
          <w:tab w:leader="none" w:pos="700" w:val="left"/>
        </w:tabs>
        <w:numPr>
          <w:ilvl w:val="0"/>
          <w:numId w:val="25"/>
        </w:numPr>
        <w:rPr>
          <w:rFonts w:ascii="Arial" w:cs="Arial" w:eastAsia="Arial" w:hAnsi="Arial"/>
          <w:sz w:val="33"/>
          <w:szCs w:val="33"/>
          <w:color w:val="auto"/>
          <w:vertAlign w:val="superscript"/>
        </w:rPr>
      </w:pPr>
      <w:r>
        <w:rPr>
          <w:rFonts w:ascii="Arial" w:cs="Arial" w:eastAsia="Arial" w:hAnsi="Arial"/>
          <w:sz w:val="17"/>
          <w:szCs w:val="17"/>
          <w:color w:val="auto"/>
        </w:rPr>
        <w:t>Increase in compensation costs of $7.6 million primarily related to an increase in headcount due to our acquisition of EVERFI, and a continued shift in resources historically supporting one-time services and other towards recurring revenue</w:t>
      </w:r>
    </w:p>
    <w:p>
      <w:pPr>
        <w:spacing w:after="0" w:line="1" w:lineRule="exact"/>
        <w:rPr>
          <w:rFonts w:ascii="Arial" w:cs="Arial" w:eastAsia="Arial" w:hAnsi="Arial"/>
          <w:sz w:val="33"/>
          <w:szCs w:val="33"/>
          <w:color w:val="auto"/>
          <w:vertAlign w:val="superscript"/>
        </w:rPr>
      </w:pPr>
    </w:p>
    <w:p>
      <w:pPr>
        <w:ind w:left="700" w:hanging="373"/>
        <w:spacing w:after="0" w:line="187" w:lineRule="auto"/>
        <w:tabs>
          <w:tab w:leader="none" w:pos="700" w:val="left"/>
        </w:tabs>
        <w:numPr>
          <w:ilvl w:val="0"/>
          <w:numId w:val="25"/>
        </w:numPr>
        <w:rPr>
          <w:rFonts w:ascii="Arial" w:cs="Arial" w:eastAsia="Arial" w:hAnsi="Arial"/>
          <w:sz w:val="36"/>
          <w:szCs w:val="36"/>
          <w:color w:val="auto"/>
          <w:vertAlign w:val="superscript"/>
        </w:rPr>
      </w:pPr>
      <w:r>
        <w:rPr>
          <w:rFonts w:ascii="Arial" w:cs="Arial" w:eastAsia="Arial" w:hAnsi="Arial"/>
          <w:sz w:val="18"/>
          <w:szCs w:val="18"/>
          <w:color w:val="auto"/>
        </w:rPr>
        <w:t>Increase in transaction-based costs of $5.1 million related to payment services integrated in our cloud solutions</w:t>
      </w:r>
    </w:p>
    <w:p>
      <w:pPr>
        <w:spacing w:after="0" w:line="108" w:lineRule="exact"/>
        <w:rPr>
          <w:rFonts w:ascii="Arial" w:cs="Arial" w:eastAsia="Arial" w:hAnsi="Arial"/>
          <w:sz w:val="36"/>
          <w:szCs w:val="36"/>
          <w:color w:val="auto"/>
          <w:vertAlign w:val="superscript"/>
        </w:rPr>
      </w:pPr>
    </w:p>
    <w:p>
      <w:pPr>
        <w:ind w:left="700" w:hanging="373"/>
        <w:spacing w:after="0" w:line="181" w:lineRule="auto"/>
        <w:tabs>
          <w:tab w:leader="none" w:pos="700" w:val="left"/>
        </w:tabs>
        <w:numPr>
          <w:ilvl w:val="0"/>
          <w:numId w:val="25"/>
        </w:numPr>
        <w:rPr>
          <w:rFonts w:ascii="Arial" w:cs="Arial" w:eastAsia="Arial" w:hAnsi="Arial"/>
          <w:sz w:val="25"/>
          <w:szCs w:val="25"/>
          <w:color w:val="auto"/>
          <w:vertAlign w:val="superscript"/>
        </w:rPr>
      </w:pPr>
      <w:r>
        <w:rPr>
          <w:rFonts w:ascii="Arial" w:cs="Arial" w:eastAsia="Arial" w:hAnsi="Arial"/>
          <w:sz w:val="14"/>
          <w:szCs w:val="14"/>
          <w:color w:val="auto"/>
        </w:rPr>
        <w:t>Increase in amortization of intangible assets from business combinations of $3.5 million due to our acquisition of EVERFI</w:t>
      </w:r>
    </w:p>
    <w:p>
      <w:pPr>
        <w:spacing w:after="0" w:line="107" w:lineRule="exact"/>
        <w:rPr>
          <w:rFonts w:ascii="Arial" w:cs="Arial" w:eastAsia="Arial" w:hAnsi="Arial"/>
          <w:sz w:val="25"/>
          <w:szCs w:val="25"/>
          <w:color w:val="auto"/>
          <w:vertAlign w:val="superscript"/>
        </w:rPr>
      </w:pPr>
    </w:p>
    <w:p>
      <w:pPr>
        <w:ind w:left="700" w:right="60" w:hanging="373"/>
        <w:spacing w:after="0" w:line="180" w:lineRule="auto"/>
        <w:tabs>
          <w:tab w:leader="none" w:pos="700" w:val="left"/>
        </w:tabs>
        <w:numPr>
          <w:ilvl w:val="0"/>
          <w:numId w:val="25"/>
        </w:numPr>
        <w:rPr>
          <w:rFonts w:ascii="Arial" w:cs="Arial" w:eastAsia="Arial" w:hAnsi="Arial"/>
          <w:sz w:val="33"/>
          <w:szCs w:val="33"/>
          <w:color w:val="auto"/>
          <w:vertAlign w:val="superscript"/>
        </w:rPr>
      </w:pPr>
      <w:r>
        <w:rPr>
          <w:rFonts w:ascii="Arial" w:cs="Arial" w:eastAsia="Arial" w:hAnsi="Arial"/>
          <w:sz w:val="17"/>
          <w:szCs w:val="17"/>
          <w:color w:val="auto"/>
        </w:rPr>
        <w:t>Increase in third-party contractor and hosting costs of $3.9 million as we continue to migrate our cloud infrastructure to leading public cloud service providers and make investments in security</w:t>
      </w:r>
    </w:p>
    <w:p>
      <w:pPr>
        <w:spacing w:after="0" w:line="1" w:lineRule="exact"/>
        <w:rPr>
          <w:rFonts w:ascii="Arial" w:cs="Arial" w:eastAsia="Arial" w:hAnsi="Arial"/>
          <w:sz w:val="33"/>
          <w:szCs w:val="33"/>
          <w:color w:val="auto"/>
          <w:vertAlign w:val="superscript"/>
        </w:rPr>
      </w:pPr>
    </w:p>
    <w:p>
      <w:pPr>
        <w:ind w:left="700" w:hanging="373"/>
        <w:spacing w:after="0" w:line="187" w:lineRule="auto"/>
        <w:tabs>
          <w:tab w:leader="none" w:pos="700" w:val="left"/>
        </w:tabs>
        <w:numPr>
          <w:ilvl w:val="0"/>
          <w:numId w:val="25"/>
        </w:numPr>
        <w:rPr>
          <w:rFonts w:ascii="Arial" w:cs="Arial" w:eastAsia="Arial" w:hAnsi="Arial"/>
          <w:sz w:val="36"/>
          <w:szCs w:val="36"/>
          <w:color w:val="auto"/>
          <w:vertAlign w:val="superscript"/>
        </w:rPr>
      </w:pPr>
      <w:r>
        <w:rPr>
          <w:rFonts w:ascii="Arial" w:cs="Arial" w:eastAsia="Arial" w:hAnsi="Arial"/>
          <w:sz w:val="18"/>
          <w:szCs w:val="18"/>
          <w:color w:val="auto"/>
        </w:rPr>
        <w:t>Increase in overhead allocations of $1.6 million related to the increased headcount discussed above</w:t>
      </w:r>
    </w:p>
    <w:p>
      <w:pPr>
        <w:spacing w:after="0" w:line="108" w:lineRule="exact"/>
        <w:rPr>
          <w:rFonts w:ascii="Arial" w:cs="Arial" w:eastAsia="Arial" w:hAnsi="Arial"/>
          <w:sz w:val="36"/>
          <w:szCs w:val="36"/>
          <w:color w:val="auto"/>
          <w:vertAlign w:val="superscript"/>
        </w:rPr>
      </w:pPr>
    </w:p>
    <w:p>
      <w:pPr>
        <w:ind w:left="700" w:hanging="373"/>
        <w:spacing w:after="0" w:line="181" w:lineRule="auto"/>
        <w:tabs>
          <w:tab w:leader="none" w:pos="700" w:val="left"/>
        </w:tabs>
        <w:numPr>
          <w:ilvl w:val="0"/>
          <w:numId w:val="25"/>
        </w:numPr>
        <w:rPr>
          <w:rFonts w:ascii="Arial" w:cs="Arial" w:eastAsia="Arial" w:hAnsi="Arial"/>
          <w:sz w:val="25"/>
          <w:szCs w:val="25"/>
          <w:color w:val="auto"/>
          <w:vertAlign w:val="superscript"/>
        </w:rPr>
      </w:pPr>
      <w:r>
        <w:rPr>
          <w:rFonts w:ascii="Arial" w:cs="Arial" w:eastAsia="Arial" w:hAnsi="Arial"/>
          <w:sz w:val="14"/>
          <w:szCs w:val="14"/>
          <w:color w:val="auto"/>
        </w:rPr>
        <w:t>Increase in amortization of software development costs of $1.1 million</w:t>
      </w:r>
    </w:p>
    <w:p>
      <w:pPr>
        <w:spacing w:after="0" w:line="269"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Recurring gross margin decreased by 2.9% for the three months ended March 31, 2022, when compared to the same period in 2021, primarily due to the increase in cost of recurring revenue outpacing the increase in recurring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220345</wp:posOffset>
            </wp:positionV>
            <wp:extent cx="659765"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27</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200" w:type="dxa"/>
            <w:vAlign w:val="bottom"/>
            <w:gridSpan w:val="2"/>
          </w:tcPr>
          <w:p>
            <w:pPr>
              <w:ind w:left="20"/>
              <w:spacing w:after="0"/>
              <w:rPr>
                <w:sz w:val="20"/>
                <w:szCs w:val="20"/>
                <w:color w:val="auto"/>
              </w:rPr>
            </w:pPr>
            <w:r>
              <w:rPr>
                <w:rFonts w:ascii="Arial" w:cs="Arial" w:eastAsia="Arial" w:hAnsi="Arial"/>
                <w:sz w:val="18"/>
                <w:szCs w:val="18"/>
                <w:i w:val="1"/>
                <w:iCs w:val="1"/>
                <w:color w:val="auto"/>
              </w:rPr>
              <w:t>One-time services and other</w:t>
            </w:r>
          </w:p>
        </w:tc>
        <w:tc>
          <w:tcPr>
            <w:tcW w:w="2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332"/>
        </w:trPr>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rPr>
              <w:t>Gross profit ($M)</w:t>
            </w:r>
          </w:p>
        </w:tc>
      </w:tr>
      <w:tr>
        <w:trPr>
          <w:trHeight w:val="235"/>
        </w:trPr>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w w:val="99"/>
              </w:rPr>
              <w:t>Revenue ($M)</w:t>
            </w:r>
          </w:p>
        </w:tc>
        <w:tc>
          <w:tcPr>
            <w:tcW w:w="3200" w:type="dxa"/>
            <w:vAlign w:val="bottom"/>
            <w:gridSpan w:val="2"/>
          </w:tcPr>
          <w:p>
            <w:pPr>
              <w:jc w:val="center"/>
              <w:ind w:right="500"/>
              <w:spacing w:after="0"/>
              <w:rPr>
                <w:sz w:val="20"/>
                <w:szCs w:val="20"/>
                <w:color w:val="auto"/>
              </w:rPr>
            </w:pPr>
            <w:r>
              <w:rPr>
                <w:rFonts w:ascii="Arial" w:cs="Arial" w:eastAsia="Arial" w:hAnsi="Arial"/>
                <w:sz w:val="18"/>
                <w:szCs w:val="18"/>
                <w:i w:val="1"/>
                <w:iCs w:val="1"/>
                <w:color w:val="auto"/>
              </w:rPr>
              <w:t>Cost of revenue ($M)</w:t>
            </w:r>
          </w:p>
        </w:tc>
        <w:tc>
          <w:tcPr>
            <w:tcW w:w="2840" w:type="dxa"/>
            <w:vAlign w:val="bottom"/>
          </w:tcPr>
          <w:p>
            <w:pPr>
              <w:jc w:val="center"/>
              <w:spacing w:after="0"/>
              <w:rPr>
                <w:sz w:val="20"/>
                <w:szCs w:val="20"/>
                <w:color w:val="auto"/>
              </w:rPr>
            </w:pPr>
            <w:r>
              <w:rPr>
                <w:rFonts w:ascii="Arial" w:cs="Arial" w:eastAsia="Arial" w:hAnsi="Arial"/>
                <w:sz w:val="18"/>
                <w:szCs w:val="18"/>
                <w:i w:val="1"/>
                <w:iCs w:val="1"/>
                <w:color w:val="auto"/>
                <w:w w:val="99"/>
              </w:rPr>
              <w:t>and gross margin (%)</w:t>
            </w:r>
          </w:p>
        </w:tc>
      </w:tr>
      <w:tr>
        <w:trPr>
          <w:trHeight w:val="27"/>
        </w:trPr>
        <w:tc>
          <w:tcPr>
            <w:tcW w:w="27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21"/>
        </w:trPr>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5"/>
              </w:rPr>
              <w:t>YoY Growth (%)</w:t>
            </w:r>
          </w:p>
        </w:tc>
        <w:tc>
          <w:tcPr>
            <w:tcW w:w="3200" w:type="dxa"/>
            <w:vAlign w:val="bottom"/>
            <w:gridSpan w:val="2"/>
          </w:tcPr>
          <w:p>
            <w:pPr>
              <w:jc w:val="center"/>
              <w:ind w:right="500"/>
              <w:spacing w:after="0"/>
              <w:rPr>
                <w:sz w:val="20"/>
                <w:szCs w:val="20"/>
                <w:color w:val="auto"/>
              </w:rPr>
            </w:pPr>
            <w:r>
              <w:rPr>
                <w:rFonts w:ascii="Arial" w:cs="Arial" w:eastAsia="Arial" w:hAnsi="Arial"/>
                <w:sz w:val="13"/>
                <w:szCs w:val="13"/>
                <w:i w:val="1"/>
                <w:iCs w:val="1"/>
                <w:color w:val="auto"/>
                <w:w w:val="95"/>
              </w:rPr>
              <w:t>YoY Growth (%)</w:t>
            </w:r>
          </w:p>
        </w:tc>
        <w:tc>
          <w:tcPr>
            <w:tcW w:w="28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1423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One-time services and other revenue is comprised of fees for one-time consulting, analytic and onsite training services, fees for retained and managed services contracts that we do not expect to have a term consistent with our cloud solution contracts, revenue from the sale of our software sold under perpetual license arrangements, and third-party software referral fees.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Cost of one-time services and other is primarily comprised of compensation costs for professional services and onsite training personnel, other costs incurred in providing onsite customer training, third-party contractor expenses, data expense incurred to perform one-time analytic services, third-party software royalties, allocated depreciation, facilities and IT support costs and amortization of intangible assets from business combinations.</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One-time services and other revenue during the three months ended March 31, 2022 remained relatively consistent with the same period in 2021, and included the following activity:</w:t>
      </w:r>
    </w:p>
    <w:p>
      <w:pPr>
        <w:spacing w:after="0" w:line="144" w:lineRule="exact"/>
        <w:rPr>
          <w:sz w:val="20"/>
          <w:szCs w:val="20"/>
          <w:color w:val="auto"/>
        </w:rPr>
      </w:pPr>
    </w:p>
    <w:p>
      <w:pPr>
        <w:jc w:val="both"/>
        <w:ind w:left="700" w:right="60" w:hanging="373"/>
        <w:spacing w:after="0" w:line="200" w:lineRule="auto"/>
        <w:tabs>
          <w:tab w:leader="none" w:pos="700" w:val="left"/>
        </w:tabs>
        <w:numPr>
          <w:ilvl w:val="0"/>
          <w:numId w:val="26"/>
        </w:numPr>
        <w:rPr>
          <w:rFonts w:ascii="Arial" w:cs="Arial" w:eastAsia="Arial" w:hAnsi="Arial"/>
          <w:sz w:val="36"/>
          <w:szCs w:val="36"/>
          <w:color w:val="auto"/>
          <w:vertAlign w:val="superscript"/>
        </w:rPr>
      </w:pPr>
      <w:r>
        <w:rPr>
          <w:rFonts w:ascii="Arial" w:cs="Arial" w:eastAsia="Arial" w:hAnsi="Arial"/>
          <w:sz w:val="18"/>
          <w:szCs w:val="18"/>
          <w:color w:val="auto"/>
        </w:rPr>
        <w:t>Increase in one-time consulting revenue of $1.0 million primarily attributable to EVERFI, largely offset by less revenue from implementation and customization services, in line with our multi-year strategic shift from a license-based and one-time services business model to a cloud subscription business model. Our cloud subscription offerings generally require less implementation and customization services.</w:t>
      </w:r>
    </w:p>
    <w:p>
      <w:pPr>
        <w:ind w:left="700" w:hanging="351"/>
        <w:spacing w:after="0" w:line="189" w:lineRule="auto"/>
        <w:tabs>
          <w:tab w:leader="none" w:pos="700" w:val="left"/>
        </w:tabs>
        <w:numPr>
          <w:ilvl w:val="0"/>
          <w:numId w:val="27"/>
        </w:numPr>
        <w:rPr>
          <w:rFonts w:ascii="Arial" w:cs="Arial" w:eastAsia="Arial" w:hAnsi="Arial"/>
          <w:sz w:val="36"/>
          <w:szCs w:val="36"/>
          <w:color w:val="auto"/>
          <w:vertAlign w:val="superscript"/>
        </w:rPr>
      </w:pPr>
      <w:r>
        <w:rPr>
          <w:rFonts w:ascii="Arial" w:cs="Arial" w:eastAsia="Arial" w:hAnsi="Arial"/>
          <w:sz w:val="18"/>
          <w:szCs w:val="18"/>
          <w:color w:val="auto"/>
        </w:rPr>
        <w:t>Decrease in one-time analytics revenue of $0.8 million as analytics are generally integrated in our cloud solutions</w:t>
      </w:r>
    </w:p>
    <w:p>
      <w:pPr>
        <w:spacing w:after="0" w:line="28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Cost of one-time services and other decreased by $3.3 million, or 22.9%, during the three months ended March 31, 2022, when compared to the same period in 2021, driven primarily by the following:</w:t>
      </w:r>
    </w:p>
    <w:p>
      <w:pPr>
        <w:spacing w:after="0" w:line="144" w:lineRule="exact"/>
        <w:rPr>
          <w:sz w:val="20"/>
          <w:szCs w:val="20"/>
          <w:color w:val="auto"/>
        </w:rPr>
      </w:pPr>
    </w:p>
    <w:p>
      <w:pPr>
        <w:ind w:left="700" w:right="20" w:hanging="351"/>
        <w:spacing w:after="0" w:line="180" w:lineRule="auto"/>
        <w:tabs>
          <w:tab w:leader="none" w:pos="700" w:val="left"/>
        </w:tabs>
        <w:numPr>
          <w:ilvl w:val="0"/>
          <w:numId w:val="28"/>
        </w:numPr>
        <w:rPr>
          <w:rFonts w:ascii="Arial" w:cs="Arial" w:eastAsia="Arial" w:hAnsi="Arial"/>
          <w:sz w:val="33"/>
          <w:szCs w:val="33"/>
          <w:color w:val="auto"/>
          <w:vertAlign w:val="superscript"/>
        </w:rPr>
      </w:pPr>
      <w:r>
        <w:rPr>
          <w:rFonts w:ascii="Arial" w:cs="Arial" w:eastAsia="Arial" w:hAnsi="Arial"/>
          <w:sz w:val="17"/>
          <w:szCs w:val="17"/>
          <w:color w:val="auto"/>
        </w:rPr>
        <w:t>Decrease in compensation costs of $2.7 million largely due to a continued shift in resources historically supporting one-time services and other towards recurring revenue</w:t>
      </w:r>
    </w:p>
    <w:p>
      <w:pPr>
        <w:spacing w:after="0" w:line="284"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One-time services and other gross margin increased by 26.9% during the three months ended March 31, 2022, when compared to the same period in 2021, primarily due to the significant reductions in compensation costs discussed above.</w:t>
      </w:r>
    </w:p>
    <w:p>
      <w:pPr>
        <w:spacing w:after="0" w:line="30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28</w:t>
      </w:r>
      <w:r>
        <w:rPr>
          <w:sz w:val="20"/>
          <w:szCs w:val="20"/>
          <w:color w:val="auto"/>
        </w:rPr>
        <w:tab/>
      </w:r>
      <w:r>
        <w:rPr>
          <w:sz w:val="1"/>
          <w:szCs w:val="1"/>
          <w:color w:val="auto"/>
        </w:rPr>
        <w:drawing>
          <wp:inline distT="0" distB="0" distL="0" distR="0">
            <wp:extent cx="651510" cy="1714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540" w:type="dxa"/>
            <w:vAlign w:val="bottom"/>
          </w:tcPr>
          <w:p>
            <w:pPr>
              <w:spacing w:after="0"/>
              <w:rPr>
                <w:sz w:val="18"/>
                <w:szCs w:val="18"/>
                <w:color w:val="auto"/>
              </w:rPr>
            </w:pPr>
          </w:p>
        </w:tc>
        <w:tc>
          <w:tcPr>
            <w:tcW w:w="4200" w:type="dxa"/>
            <w:vAlign w:val="bottom"/>
          </w:tcPr>
          <w:p>
            <w:pPr>
              <w:jc w:val="center"/>
              <w:ind w:left="1875"/>
              <w:spacing w:after="0"/>
              <w:rPr>
                <w:sz w:val="20"/>
                <w:szCs w:val="20"/>
                <w:color w:val="auto"/>
              </w:rPr>
            </w:pPr>
            <w:r>
              <w:rPr>
                <w:rFonts w:ascii="Arial" w:cs="Arial" w:eastAsia="Arial" w:hAnsi="Arial"/>
                <w:sz w:val="18"/>
                <w:szCs w:val="18"/>
                <w:b w:val="1"/>
                <w:bCs w:val="1"/>
                <w:color w:val="auto"/>
                <w:w w:val="99"/>
              </w:rPr>
              <w:t>Blackbaud, Inc.</w:t>
            </w:r>
          </w:p>
        </w:tc>
        <w:tc>
          <w:tcPr>
            <w:tcW w:w="2480" w:type="dxa"/>
            <w:vAlign w:val="bottom"/>
          </w:tcPr>
          <w:p>
            <w:pPr>
              <w:spacing w:after="0"/>
              <w:rPr>
                <w:sz w:val="18"/>
                <w:szCs w:val="18"/>
                <w:color w:val="auto"/>
              </w:rPr>
            </w:pPr>
          </w:p>
        </w:tc>
      </w:tr>
      <w:tr>
        <w:trPr>
          <w:trHeight w:val="239"/>
        </w:trPr>
        <w:tc>
          <w:tcPr>
            <w:tcW w:w="2540" w:type="dxa"/>
            <w:vAlign w:val="bottom"/>
          </w:tcPr>
          <w:p>
            <w:pPr>
              <w:spacing w:after="0"/>
              <w:rPr>
                <w:sz w:val="20"/>
                <w:szCs w:val="20"/>
                <w:color w:val="auto"/>
              </w:rPr>
            </w:pPr>
          </w:p>
        </w:tc>
        <w:tc>
          <w:tcPr>
            <w:tcW w:w="4200" w:type="dxa"/>
            <w:vAlign w:val="bottom"/>
          </w:tcPr>
          <w:p>
            <w:pPr>
              <w:jc w:val="center"/>
              <w:ind w:left="1875"/>
              <w:spacing w:after="0"/>
              <w:rPr>
                <w:sz w:val="20"/>
                <w:szCs w:val="20"/>
                <w:color w:val="auto"/>
              </w:rPr>
            </w:pPr>
            <w:r>
              <w:rPr>
                <w:rFonts w:ascii="Arial" w:cs="Arial" w:eastAsia="Arial" w:hAnsi="Arial"/>
                <w:sz w:val="18"/>
                <w:szCs w:val="18"/>
                <w:b w:val="1"/>
                <w:bCs w:val="1"/>
                <w:color w:val="auto"/>
                <w:w w:val="99"/>
              </w:rPr>
              <w:t>(Unaudited)</w:t>
            </w:r>
          </w:p>
        </w:tc>
        <w:tc>
          <w:tcPr>
            <w:tcW w:w="2480" w:type="dxa"/>
            <w:vAlign w:val="bottom"/>
          </w:tcPr>
          <w:p>
            <w:pPr>
              <w:spacing w:after="0"/>
              <w:rPr>
                <w:sz w:val="20"/>
                <w:szCs w:val="20"/>
                <w:color w:val="auto"/>
              </w:rPr>
            </w:pPr>
          </w:p>
        </w:tc>
      </w:tr>
      <w:tr>
        <w:trPr>
          <w:trHeight w:val="945"/>
        </w:trPr>
        <w:tc>
          <w:tcPr>
            <w:tcW w:w="25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420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521"/>
        </w:trPr>
        <w:tc>
          <w:tcPr>
            <w:tcW w:w="2540" w:type="dxa"/>
            <w:vAlign w:val="bottom"/>
          </w:tcPr>
          <w:p>
            <w:pPr>
              <w:jc w:val="center"/>
              <w:ind w:left="50"/>
              <w:spacing w:after="0"/>
              <w:rPr>
                <w:sz w:val="20"/>
                <w:szCs w:val="20"/>
                <w:color w:val="auto"/>
              </w:rPr>
            </w:pPr>
            <w:r>
              <w:rPr>
                <w:rFonts w:ascii="Arial" w:cs="Arial" w:eastAsia="Arial" w:hAnsi="Arial"/>
                <w:sz w:val="18"/>
                <w:szCs w:val="18"/>
                <w:i w:val="1"/>
                <w:iCs w:val="1"/>
                <w:color w:val="auto"/>
                <w:w w:val="99"/>
              </w:rPr>
              <w:t>Sales, marketing and</w:t>
            </w:r>
          </w:p>
        </w:tc>
        <w:tc>
          <w:tcPr>
            <w:tcW w:w="4200" w:type="dxa"/>
            <w:vAlign w:val="bottom"/>
          </w:tcPr>
          <w:p>
            <w:pPr>
              <w:jc w:val="center"/>
              <w:ind w:right="115"/>
              <w:spacing w:after="0"/>
              <w:rPr>
                <w:sz w:val="20"/>
                <w:szCs w:val="20"/>
                <w:color w:val="auto"/>
              </w:rPr>
            </w:pPr>
            <w:r>
              <w:rPr>
                <w:rFonts w:ascii="Arial" w:cs="Arial" w:eastAsia="Arial" w:hAnsi="Arial"/>
                <w:sz w:val="18"/>
                <w:szCs w:val="18"/>
                <w:i w:val="1"/>
                <w:iCs w:val="1"/>
                <w:color w:val="auto"/>
                <w:w w:val="99"/>
              </w:rPr>
              <w:t>Research and</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auto"/>
                <w:w w:val="98"/>
              </w:rPr>
              <w:t>General and</w:t>
            </w:r>
          </w:p>
        </w:tc>
      </w:tr>
      <w:tr>
        <w:trPr>
          <w:trHeight w:val="235"/>
        </w:trPr>
        <w:tc>
          <w:tcPr>
            <w:tcW w:w="2540" w:type="dxa"/>
            <w:vAlign w:val="bottom"/>
          </w:tcPr>
          <w:p>
            <w:pPr>
              <w:jc w:val="center"/>
              <w:ind w:left="70"/>
              <w:spacing w:after="0"/>
              <w:rPr>
                <w:sz w:val="20"/>
                <w:szCs w:val="20"/>
                <w:color w:val="auto"/>
              </w:rPr>
            </w:pPr>
            <w:r>
              <w:rPr>
                <w:rFonts w:ascii="Arial" w:cs="Arial" w:eastAsia="Arial" w:hAnsi="Arial"/>
                <w:sz w:val="18"/>
                <w:szCs w:val="18"/>
                <w:i w:val="1"/>
                <w:iCs w:val="1"/>
                <w:color w:val="auto"/>
                <w:w w:val="99"/>
              </w:rPr>
              <w:t>customer success ($M)</w:t>
            </w:r>
          </w:p>
        </w:tc>
        <w:tc>
          <w:tcPr>
            <w:tcW w:w="4200" w:type="dxa"/>
            <w:vAlign w:val="bottom"/>
          </w:tcPr>
          <w:p>
            <w:pPr>
              <w:jc w:val="center"/>
              <w:ind w:right="115"/>
              <w:spacing w:after="0"/>
              <w:rPr>
                <w:sz w:val="20"/>
                <w:szCs w:val="20"/>
                <w:color w:val="auto"/>
              </w:rPr>
            </w:pPr>
            <w:r>
              <w:rPr>
                <w:rFonts w:ascii="Arial" w:cs="Arial" w:eastAsia="Arial" w:hAnsi="Arial"/>
                <w:sz w:val="18"/>
                <w:szCs w:val="18"/>
                <w:i w:val="1"/>
                <w:iCs w:val="1"/>
                <w:color w:val="auto"/>
                <w:w w:val="99"/>
              </w:rPr>
              <w:t>development ($M)</w:t>
            </w:r>
          </w:p>
        </w:tc>
        <w:tc>
          <w:tcPr>
            <w:tcW w:w="2480" w:type="dxa"/>
            <w:vAlign w:val="bottom"/>
          </w:tcPr>
          <w:p>
            <w:pPr>
              <w:jc w:val="center"/>
              <w:ind w:right="250"/>
              <w:spacing w:after="0"/>
              <w:rPr>
                <w:sz w:val="20"/>
                <w:szCs w:val="20"/>
                <w:color w:val="auto"/>
              </w:rPr>
            </w:pPr>
            <w:r>
              <w:rPr>
                <w:rFonts w:ascii="Arial" w:cs="Arial" w:eastAsia="Arial" w:hAnsi="Arial"/>
                <w:sz w:val="18"/>
                <w:szCs w:val="18"/>
                <w:i w:val="1"/>
                <w:iCs w:val="1"/>
                <w:color w:val="auto"/>
              </w:rPr>
              <w:t>administrative ($M)</w:t>
            </w:r>
          </w:p>
        </w:tc>
      </w:tr>
      <w:tr>
        <w:trPr>
          <w:trHeight w:val="27"/>
        </w:trPr>
        <w:tc>
          <w:tcPr>
            <w:tcW w:w="254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c>
          <w:tcPr>
            <w:tcW w:w="2480" w:type="dxa"/>
            <w:vAlign w:val="bottom"/>
            <w:tcBorders>
              <w:bottom w:val="single" w:sz="8" w:color="auto"/>
            </w:tcBorders>
          </w:tcPr>
          <w:p>
            <w:pPr>
              <w:spacing w:after="0"/>
              <w:rPr>
                <w:sz w:val="2"/>
                <w:szCs w:val="2"/>
                <w:color w:val="auto"/>
              </w:rPr>
            </w:pPr>
          </w:p>
        </w:tc>
      </w:tr>
      <w:tr>
        <w:trPr>
          <w:trHeight w:val="221"/>
        </w:trPr>
        <w:tc>
          <w:tcPr>
            <w:tcW w:w="2540" w:type="dxa"/>
            <w:vAlign w:val="bottom"/>
          </w:tcPr>
          <w:p>
            <w:pPr>
              <w:spacing w:after="0"/>
              <w:rPr>
                <w:sz w:val="19"/>
                <w:szCs w:val="19"/>
                <w:color w:val="auto"/>
              </w:rPr>
            </w:pPr>
          </w:p>
        </w:tc>
        <w:tc>
          <w:tcPr>
            <w:tcW w:w="4200" w:type="dxa"/>
            <w:vAlign w:val="bottom"/>
          </w:tcPr>
          <w:p>
            <w:pPr>
              <w:ind w:left="280"/>
              <w:spacing w:after="0"/>
              <w:rPr>
                <w:sz w:val="20"/>
                <w:szCs w:val="20"/>
                <w:color w:val="auto"/>
              </w:rPr>
            </w:pPr>
            <w:r>
              <w:rPr>
                <w:rFonts w:ascii="Arial" w:cs="Arial" w:eastAsia="Arial" w:hAnsi="Arial"/>
                <w:sz w:val="13"/>
                <w:szCs w:val="13"/>
                <w:i w:val="1"/>
                <w:iCs w:val="1"/>
                <w:color w:val="auto"/>
              </w:rPr>
              <w:t>Percentages indicate expenses as a percentage of total revenue</w:t>
            </w:r>
          </w:p>
        </w:tc>
        <w:tc>
          <w:tcPr>
            <w:tcW w:w="24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181610</wp:posOffset>
            </wp:positionV>
            <wp:extent cx="5812155" cy="1423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81215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marketing and customer success</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Sales, marketing and customer success expense includes compensation costs, variable sales commissions, travel-related expenses, advertising and marketing materials, public relations costs, variable reseller commissions and allocated depreciation, facilities and IT support costs.</w:t>
      </w:r>
    </w:p>
    <w:p>
      <w:pPr>
        <w:spacing w:after="0" w:line="14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see a large market opportunity in the long-term and will continue to make investments to drive sales effectiveness. We have also implemented software tools to enhance our digital footprint and drive lead generation. The enhancements we are making in our go-to-market approach are expected to significantly reduce our average customer acquisition cost as well as the related payback period while increasing sales velocity.</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Sales, marketing and customer success expense increased by $6.4 million, or 13.2%, during the three months ended March 31, 2022, when compared to the same period in 2021, primarily driven by the following:</w:t>
      </w:r>
    </w:p>
    <w:p>
      <w:pPr>
        <w:ind w:left="700" w:hanging="373"/>
        <w:spacing w:after="0" w:line="209" w:lineRule="auto"/>
        <w:tabs>
          <w:tab w:leader="none" w:pos="700" w:val="left"/>
        </w:tabs>
        <w:numPr>
          <w:ilvl w:val="0"/>
          <w:numId w:val="29"/>
        </w:numPr>
        <w:rPr>
          <w:rFonts w:ascii="Arial" w:cs="Arial" w:eastAsia="Arial" w:hAnsi="Arial"/>
          <w:sz w:val="36"/>
          <w:szCs w:val="36"/>
          <w:color w:val="auto"/>
          <w:vertAlign w:val="superscript"/>
        </w:rPr>
      </w:pPr>
      <w:r>
        <w:rPr>
          <w:rFonts w:ascii="Arial" w:cs="Arial" w:eastAsia="Arial" w:hAnsi="Arial"/>
          <w:sz w:val="18"/>
          <w:szCs w:val="18"/>
          <w:color w:val="auto"/>
        </w:rPr>
        <w:t>Increase in compensation costs of $3.7 million primarily related to increased employee headcount due to our acquisition of EVERFI</w:t>
      </w:r>
    </w:p>
    <w:p>
      <w:pPr>
        <w:spacing w:after="0" w:line="107" w:lineRule="exact"/>
        <w:rPr>
          <w:rFonts w:ascii="Arial" w:cs="Arial" w:eastAsia="Arial" w:hAnsi="Arial"/>
          <w:sz w:val="36"/>
          <w:szCs w:val="36"/>
          <w:color w:val="auto"/>
          <w:vertAlign w:val="superscript"/>
        </w:rPr>
      </w:pPr>
    </w:p>
    <w:p>
      <w:pPr>
        <w:ind w:left="700" w:hanging="373"/>
        <w:spacing w:after="0" w:line="181" w:lineRule="auto"/>
        <w:tabs>
          <w:tab w:leader="none" w:pos="700" w:val="left"/>
        </w:tabs>
        <w:numPr>
          <w:ilvl w:val="0"/>
          <w:numId w:val="29"/>
        </w:numPr>
        <w:rPr>
          <w:rFonts w:ascii="Arial" w:cs="Arial" w:eastAsia="Arial" w:hAnsi="Arial"/>
          <w:sz w:val="25"/>
          <w:szCs w:val="25"/>
          <w:color w:val="auto"/>
          <w:vertAlign w:val="superscript"/>
        </w:rPr>
      </w:pPr>
      <w:r>
        <w:rPr>
          <w:rFonts w:ascii="Arial" w:cs="Arial" w:eastAsia="Arial" w:hAnsi="Arial"/>
          <w:sz w:val="14"/>
          <w:szCs w:val="14"/>
          <w:color w:val="auto"/>
        </w:rPr>
        <w:t>Increase in advertising costs of $2.1 million primarily due to our acquisition of EVERFI</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Research and development expense includes compensation costs for engineering and product management personnel, third-party contractor expenses, software development tools and other expenses related to developing new solutions or upgrading and enhancing existing solutions that do not qualify for capitalization, and allocated depreciation, facilities and IT support costs.</w:t>
      </w:r>
    </w:p>
    <w:p>
      <w:pPr>
        <w:spacing w:after="0" w:line="1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continue to make investments to delight our customers with innovative cloud solutions. Research and development expenses increased by $10.8 million or 36.9%, during the three months ended March 31, 2022, when compared to the same period in 2021, primarily driven by the following:</w:t>
      </w:r>
    </w:p>
    <w:p>
      <w:pPr>
        <w:spacing w:after="0" w:line="148" w:lineRule="exact"/>
        <w:rPr>
          <w:sz w:val="20"/>
          <w:szCs w:val="20"/>
          <w:color w:val="auto"/>
        </w:rPr>
      </w:pPr>
    </w:p>
    <w:p>
      <w:pPr>
        <w:ind w:left="720" w:right="40" w:hanging="373"/>
        <w:spacing w:after="0" w:line="180" w:lineRule="auto"/>
        <w:tabs>
          <w:tab w:leader="none" w:pos="720" w:val="left"/>
        </w:tabs>
        <w:numPr>
          <w:ilvl w:val="0"/>
          <w:numId w:val="30"/>
        </w:numPr>
        <w:rPr>
          <w:rFonts w:ascii="Arial" w:cs="Arial" w:eastAsia="Arial" w:hAnsi="Arial"/>
          <w:sz w:val="33"/>
          <w:szCs w:val="33"/>
          <w:color w:val="auto"/>
          <w:vertAlign w:val="superscript"/>
        </w:rPr>
      </w:pPr>
      <w:r>
        <w:rPr>
          <w:rFonts w:ascii="Arial" w:cs="Arial" w:eastAsia="Arial" w:hAnsi="Arial"/>
          <w:sz w:val="17"/>
          <w:szCs w:val="17"/>
          <w:color w:val="auto"/>
        </w:rPr>
        <w:t>Increase in compensation costs of $8.4 million primarily related to increased employee headcount due to our acquisition of EVERFI, and to a lesser extent, our increased hiring of engineers</w:t>
      </w:r>
    </w:p>
    <w:p>
      <w:pPr>
        <w:spacing w:after="0" w:line="108" w:lineRule="exact"/>
        <w:rPr>
          <w:rFonts w:ascii="Arial" w:cs="Arial" w:eastAsia="Arial" w:hAnsi="Arial"/>
          <w:sz w:val="33"/>
          <w:szCs w:val="33"/>
          <w:color w:val="auto"/>
          <w:vertAlign w:val="superscript"/>
        </w:rPr>
      </w:pPr>
    </w:p>
    <w:p>
      <w:pPr>
        <w:ind w:left="720" w:right="40" w:hanging="373"/>
        <w:spacing w:after="0" w:line="180" w:lineRule="auto"/>
        <w:tabs>
          <w:tab w:leader="none" w:pos="720" w:val="left"/>
        </w:tabs>
        <w:numPr>
          <w:ilvl w:val="0"/>
          <w:numId w:val="30"/>
        </w:numPr>
        <w:rPr>
          <w:rFonts w:ascii="Arial" w:cs="Arial" w:eastAsia="Arial" w:hAnsi="Arial"/>
          <w:sz w:val="33"/>
          <w:szCs w:val="33"/>
          <w:color w:val="auto"/>
          <w:vertAlign w:val="superscript"/>
        </w:rPr>
      </w:pPr>
      <w:r>
        <w:rPr>
          <w:rFonts w:ascii="Arial" w:cs="Arial" w:eastAsia="Arial" w:hAnsi="Arial"/>
          <w:sz w:val="17"/>
          <w:szCs w:val="17"/>
          <w:color w:val="auto"/>
        </w:rPr>
        <w:t>Increase in third-party contractor costs of $5.5 million, primarily due to our acquisition of EVERFI and, to a lesser extent, an increase in our use of third-party software developers</w:t>
      </w:r>
    </w:p>
    <w:p>
      <w:pPr>
        <w:spacing w:after="0" w:line="1" w:lineRule="exact"/>
        <w:rPr>
          <w:rFonts w:ascii="Arial" w:cs="Arial" w:eastAsia="Arial" w:hAnsi="Arial"/>
          <w:sz w:val="33"/>
          <w:szCs w:val="33"/>
          <w:color w:val="auto"/>
          <w:vertAlign w:val="superscript"/>
        </w:rPr>
      </w:pPr>
    </w:p>
    <w:p>
      <w:pPr>
        <w:ind w:left="720" w:hanging="373"/>
        <w:spacing w:after="0" w:line="187" w:lineRule="auto"/>
        <w:tabs>
          <w:tab w:leader="none" w:pos="720" w:val="left"/>
        </w:tabs>
        <w:numPr>
          <w:ilvl w:val="0"/>
          <w:numId w:val="30"/>
        </w:numPr>
        <w:rPr>
          <w:rFonts w:ascii="Arial" w:cs="Arial" w:eastAsia="Arial" w:hAnsi="Arial"/>
          <w:sz w:val="36"/>
          <w:szCs w:val="36"/>
          <w:color w:val="auto"/>
          <w:vertAlign w:val="superscript"/>
        </w:rPr>
      </w:pPr>
      <w:r>
        <w:rPr>
          <w:rFonts w:ascii="Arial" w:cs="Arial" w:eastAsia="Arial" w:hAnsi="Arial"/>
          <w:sz w:val="18"/>
          <w:szCs w:val="18"/>
          <w:color w:val="auto"/>
        </w:rPr>
        <w:t>Increase in overhead allocation costs of $1.0 million primarily related to increased headcount discussed above</w:t>
      </w:r>
    </w:p>
    <w:p>
      <w:pPr>
        <w:spacing w:after="0" w:line="109" w:lineRule="exact"/>
        <w:rPr>
          <w:sz w:val="20"/>
          <w:szCs w:val="20"/>
          <w:color w:val="auto"/>
        </w:rPr>
      </w:pPr>
    </w:p>
    <w:p>
      <w:pPr>
        <w:ind w:left="720" w:right="40" w:hanging="350"/>
        <w:spacing w:after="0" w:line="180" w:lineRule="auto"/>
        <w:tabs>
          <w:tab w:leader="none" w:pos="720" w:val="left"/>
        </w:tabs>
        <w:numPr>
          <w:ilvl w:val="0"/>
          <w:numId w:val="31"/>
        </w:numPr>
        <w:rPr>
          <w:rFonts w:ascii="Arial" w:cs="Arial" w:eastAsia="Arial" w:hAnsi="Arial"/>
          <w:sz w:val="33"/>
          <w:szCs w:val="33"/>
          <w:color w:val="auto"/>
          <w:vertAlign w:val="superscript"/>
        </w:rPr>
      </w:pPr>
      <w:r>
        <w:rPr>
          <w:rFonts w:ascii="Arial" w:cs="Arial" w:eastAsia="Arial" w:hAnsi="Arial"/>
          <w:sz w:val="17"/>
          <w:szCs w:val="17"/>
          <w:color w:val="auto"/>
        </w:rPr>
        <w:t>Increase in development costs of $4.7 million that were required to be capitalized under GAAP, of which $3.5 million was attributable to EVERFI software and content</w:t>
      </w:r>
    </w:p>
    <w:p>
      <w:pPr>
        <w:spacing w:after="0" w:line="284"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Not included in research and development expense for the three months ended March 31, 2022 and 2021 were $13.8 million and $9.1 million, respectively, of qualifying costs associated with software and content development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212090</wp:posOffset>
            </wp:positionV>
            <wp:extent cx="659765"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that are required to be capitalized under GAAP, such as those for our cloud solutions, as well as development costs associated with acquired companies. Qualifying capitalized development costs associated with our cloud solutions are subsequently amortized to cost of subscriptions revenue over the related assets' estimated useful life, which generally range from three to seven years.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General and administrative expense consists primarily of compensation costs for general corporate functions, including senior management, finance, accounting, legal, human resources and corporate development, third-party professional fees, insurance, allocated depreciation, facilities and IT support costs, acquisition-related expenses and other administrative expenses.</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General and administrative expense increased by $13.2 million, or 43.1%, during the three months ended March 31, 2022, when compared to the same period in 2021, primarily driven by the following:</w:t>
      </w:r>
    </w:p>
    <w:p>
      <w:pPr>
        <w:spacing w:after="0" w:line="144" w:lineRule="exact"/>
        <w:rPr>
          <w:sz w:val="20"/>
          <w:szCs w:val="20"/>
          <w:color w:val="auto"/>
        </w:rPr>
      </w:pPr>
    </w:p>
    <w:p>
      <w:pPr>
        <w:jc w:val="both"/>
        <w:ind w:left="700" w:right="20" w:hanging="373"/>
        <w:spacing w:after="0" w:line="188" w:lineRule="auto"/>
        <w:tabs>
          <w:tab w:leader="none" w:pos="700" w:val="left"/>
        </w:tabs>
        <w:numPr>
          <w:ilvl w:val="0"/>
          <w:numId w:val="32"/>
        </w:numPr>
        <w:rPr>
          <w:rFonts w:ascii="Arial" w:cs="Arial" w:eastAsia="Arial" w:hAnsi="Arial"/>
          <w:sz w:val="36"/>
          <w:szCs w:val="36"/>
          <w:color w:val="auto"/>
          <w:vertAlign w:val="superscript"/>
        </w:rPr>
      </w:pPr>
      <w:r>
        <w:rPr>
          <w:rFonts w:ascii="Arial" w:cs="Arial" w:eastAsia="Arial" w:hAnsi="Arial"/>
          <w:sz w:val="18"/>
          <w:szCs w:val="18"/>
          <w:color w:val="auto"/>
        </w:rPr>
        <w:t>Increase in Security Incident-related expenses, net of insurance, of $7.2 million, consisting primarily of legal fees, as total costs related to the Security Incident that we expect will be recoverable exceeded the limit of our insurance coverage during the first quarter of 2022.</w:t>
      </w:r>
    </w:p>
    <w:p>
      <w:pPr>
        <w:ind w:left="700" w:hanging="373"/>
        <w:spacing w:after="0" w:line="187" w:lineRule="auto"/>
        <w:tabs>
          <w:tab w:leader="none" w:pos="700" w:val="left"/>
        </w:tabs>
        <w:numPr>
          <w:ilvl w:val="0"/>
          <w:numId w:val="32"/>
        </w:numPr>
        <w:rPr>
          <w:rFonts w:ascii="Arial" w:cs="Arial" w:eastAsia="Arial" w:hAnsi="Arial"/>
          <w:sz w:val="36"/>
          <w:szCs w:val="36"/>
          <w:color w:val="auto"/>
          <w:vertAlign w:val="superscript"/>
        </w:rPr>
      </w:pPr>
      <w:r>
        <w:rPr>
          <w:rFonts w:ascii="Arial" w:cs="Arial" w:eastAsia="Arial" w:hAnsi="Arial"/>
          <w:sz w:val="18"/>
          <w:szCs w:val="18"/>
          <w:color w:val="auto"/>
        </w:rPr>
        <w:t>Increase in compensation costs of $4.6 million primarily related to increased employee headcount due to our acquisition of EVERFI</w:t>
      </w:r>
    </w:p>
    <w:p>
      <w:pPr>
        <w:spacing w:after="0" w:line="108" w:lineRule="exact"/>
        <w:rPr>
          <w:rFonts w:ascii="Arial" w:cs="Arial" w:eastAsia="Arial" w:hAnsi="Arial"/>
          <w:sz w:val="36"/>
          <w:szCs w:val="36"/>
          <w:color w:val="auto"/>
          <w:vertAlign w:val="superscript"/>
        </w:rPr>
      </w:pPr>
    </w:p>
    <w:p>
      <w:pPr>
        <w:ind w:left="700" w:hanging="373"/>
        <w:spacing w:after="0" w:line="181" w:lineRule="auto"/>
        <w:tabs>
          <w:tab w:leader="none" w:pos="700" w:val="left"/>
        </w:tabs>
        <w:numPr>
          <w:ilvl w:val="0"/>
          <w:numId w:val="32"/>
        </w:numPr>
        <w:rPr>
          <w:rFonts w:ascii="Arial" w:cs="Arial" w:eastAsia="Arial" w:hAnsi="Arial"/>
          <w:sz w:val="25"/>
          <w:szCs w:val="25"/>
          <w:color w:val="auto"/>
          <w:vertAlign w:val="superscript"/>
        </w:rPr>
      </w:pPr>
      <w:r>
        <w:rPr>
          <w:rFonts w:ascii="Arial" w:cs="Arial" w:eastAsia="Arial" w:hAnsi="Arial"/>
          <w:sz w:val="14"/>
          <w:szCs w:val="14"/>
          <w:color w:val="auto"/>
        </w:rPr>
        <w:t>Increase in third-party contractor costs of $1.2 million</w:t>
      </w:r>
    </w:p>
    <w:p>
      <w:pPr>
        <w:spacing w:after="0" w:line="107" w:lineRule="exact"/>
        <w:rPr>
          <w:rFonts w:ascii="Arial" w:cs="Arial" w:eastAsia="Arial" w:hAnsi="Arial"/>
          <w:sz w:val="25"/>
          <w:szCs w:val="25"/>
          <w:color w:val="auto"/>
          <w:vertAlign w:val="superscript"/>
        </w:rPr>
      </w:pPr>
    </w:p>
    <w:p>
      <w:pPr>
        <w:ind w:left="700" w:hanging="373"/>
        <w:spacing w:after="0" w:line="181" w:lineRule="auto"/>
        <w:tabs>
          <w:tab w:leader="none" w:pos="700" w:val="left"/>
        </w:tabs>
        <w:numPr>
          <w:ilvl w:val="0"/>
          <w:numId w:val="32"/>
        </w:numPr>
        <w:rPr>
          <w:rFonts w:ascii="Arial" w:cs="Arial" w:eastAsia="Arial" w:hAnsi="Arial"/>
          <w:sz w:val="25"/>
          <w:szCs w:val="25"/>
          <w:color w:val="auto"/>
          <w:vertAlign w:val="superscript"/>
        </w:rPr>
      </w:pPr>
      <w:r>
        <w:rPr>
          <w:rFonts w:ascii="Arial" w:cs="Arial" w:eastAsia="Arial" w:hAnsi="Arial"/>
          <w:sz w:val="14"/>
          <w:szCs w:val="14"/>
          <w:color w:val="auto"/>
        </w:rPr>
        <w:t>Increase in acquisition-related expenses and integration costs of $1.0 million due to our acquisition of EVERFI</w:t>
      </w:r>
    </w:p>
    <w:p>
      <w:pPr>
        <w:spacing w:after="0" w:line="107" w:lineRule="exact"/>
        <w:rPr>
          <w:sz w:val="20"/>
          <w:szCs w:val="20"/>
          <w:color w:val="auto"/>
        </w:rPr>
      </w:pPr>
    </w:p>
    <w:p>
      <w:pPr>
        <w:jc w:val="both"/>
        <w:ind w:left="700" w:right="20" w:hanging="351"/>
        <w:spacing w:after="0" w:line="188" w:lineRule="auto"/>
        <w:tabs>
          <w:tab w:leader="none" w:pos="700" w:val="left"/>
        </w:tabs>
        <w:numPr>
          <w:ilvl w:val="0"/>
          <w:numId w:val="33"/>
        </w:numPr>
        <w:rPr>
          <w:rFonts w:ascii="Arial" w:cs="Arial" w:eastAsia="Arial" w:hAnsi="Arial"/>
          <w:sz w:val="36"/>
          <w:szCs w:val="36"/>
          <w:color w:val="auto"/>
          <w:vertAlign w:val="superscript"/>
        </w:rPr>
      </w:pPr>
      <w:r>
        <w:rPr>
          <w:rFonts w:ascii="Arial" w:cs="Arial" w:eastAsia="Arial" w:hAnsi="Arial"/>
          <w:sz w:val="18"/>
          <w:szCs w:val="18"/>
          <w:color w:val="auto"/>
        </w:rPr>
        <w:t>Increase in allocated corporate IT costs of $1.8 million primarily related to investments in security tools. Depreciation, facilities and IT support costs are pooled and recorded to general and administrative expense and allocated to other lines of our statements of comprehensive income based on headcount.</w:t>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30</w:t>
      </w:r>
      <w:r>
        <w:rPr>
          <w:sz w:val="20"/>
          <w:szCs w:val="20"/>
          <w:color w:val="auto"/>
        </w:rPr>
        <w:tab/>
      </w:r>
      <w:r>
        <w:rPr>
          <w:sz w:val="1"/>
          <w:szCs w:val="1"/>
          <w:color w:val="auto"/>
        </w:rPr>
        <w:drawing>
          <wp:inline distT="0" distB="0" distL="0" distR="0">
            <wp:extent cx="651510" cy="171450"/>
            <wp:effectExtent l="0" t="0" r="0" b="0"/>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1" w:name="page32"/>
    <w:bookmarkEnd w:id="3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283" w:lineRule="exact"/>
        <w:rPr>
          <w:sz w:val="20"/>
          <w:szCs w:val="20"/>
          <w:color w:val="auto"/>
        </w:rPr>
      </w:pPr>
    </w:p>
    <w:p>
      <w:pPr>
        <w:jc w:val="center"/>
        <w:ind w:right="7120"/>
        <w:spacing w:after="0"/>
        <w:rPr>
          <w:sz w:val="20"/>
          <w:szCs w:val="20"/>
          <w:color w:val="auto"/>
        </w:rPr>
      </w:pPr>
      <w:r>
        <w:rPr>
          <w:rFonts w:ascii="Arial" w:cs="Arial" w:eastAsia="Arial" w:hAnsi="Arial"/>
          <w:sz w:val="18"/>
          <w:szCs w:val="18"/>
          <w:i w:val="1"/>
          <w:iCs w:val="1"/>
          <w:color w:val="auto"/>
        </w:rPr>
        <w:t>Interest expense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62318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11" w:lineRule="exact"/>
        <w:rPr>
          <w:sz w:val="20"/>
          <w:szCs w:val="20"/>
          <w:color w:val="auto"/>
        </w:rPr>
      </w:pPr>
    </w:p>
    <w:p>
      <w:pPr>
        <w:ind w:left="280"/>
        <w:spacing w:after="0"/>
        <w:rPr>
          <w:sz w:val="20"/>
          <w:szCs w:val="20"/>
          <w:color w:val="auto"/>
        </w:rPr>
      </w:pPr>
      <w:r>
        <w:rPr>
          <w:rFonts w:ascii="Arial" w:cs="Arial" w:eastAsia="Arial" w:hAnsi="Arial"/>
          <w:sz w:val="13"/>
          <w:szCs w:val="13"/>
          <w:i w:val="1"/>
          <w:iCs w:val="1"/>
          <w:color w:val="auto"/>
        </w:rPr>
        <w:t>Percentages indicate expenses as a percentage of total 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190500</wp:posOffset>
            </wp:positionV>
            <wp:extent cx="1937385" cy="1423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The increase in interest expense in dollars and as a percentage of total revenue during the three months ended March 31, 2022, when compared to the same period in 2021, was primarily due to the new borrowings used to finance our acquisition of EVERFI. We currently expect interest expense for the full year 2022 to be approximately $ 30 million to $33 million although our interest expense in connection with the variable rate portion of our outstanding debt could increase in a rising interest rate environment. See Note 9 to our condensed consolidated financial statements in this report for more information regarding our derivative instruments, which we use to manage our variable interest rate risk.</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compares the components of deferred revenue from our consolidated balance sheets: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360" w:type="dxa"/>
            <w:vAlign w:val="bottom"/>
            <w:shd w:val="clear" w:color="auto" w:fill="ACACAC"/>
          </w:tcPr>
          <w:p>
            <w:pPr>
              <w:spacing w:after="0"/>
              <w:rPr>
                <w:sz w:val="16"/>
                <w:szCs w:val="16"/>
                <w:color w:val="auto"/>
              </w:rPr>
            </w:pPr>
          </w:p>
        </w:tc>
        <w:tc>
          <w:tcPr>
            <w:tcW w:w="40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60" w:type="dxa"/>
            <w:vAlign w:val="bottom"/>
            <w:shd w:val="clear" w:color="auto" w:fill="ACACAC"/>
          </w:tcPr>
          <w:p>
            <w:pPr>
              <w:spacing w:after="0"/>
              <w:rPr>
                <w:sz w:val="16"/>
                <w:szCs w:val="16"/>
                <w:color w:val="auto"/>
              </w:rPr>
            </w:pPr>
          </w:p>
        </w:tc>
        <w:tc>
          <w:tcPr>
            <w:tcW w:w="11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14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r>
      <w:tr>
        <w:trPr>
          <w:trHeight w:val="196"/>
        </w:trPr>
        <w:tc>
          <w:tcPr>
            <w:tcW w:w="73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00" w:type="dxa"/>
            <w:vAlign w:val="bottom"/>
            <w:tcBorders>
              <w:bottom w:val="single" w:sz="8" w:color="ACACAC"/>
            </w:tcBorders>
            <w:shd w:val="clear" w:color="auto" w:fill="ACACAC"/>
          </w:tcPr>
          <w:p>
            <w:pPr>
              <w:spacing w:after="0"/>
              <w:rPr>
                <w:sz w:val="17"/>
                <w:szCs w:val="17"/>
                <w:color w:val="auto"/>
              </w:rPr>
            </w:pPr>
          </w:p>
        </w:tc>
        <w:tc>
          <w:tcPr>
            <w:tcW w:w="9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60" w:type="dxa"/>
            <w:vAlign w:val="bottom"/>
            <w:tcBorders>
              <w:bottom w:val="single" w:sz="8" w:color="ACACAC"/>
            </w:tcBorders>
            <w:shd w:val="clear" w:color="auto" w:fill="ACACAC"/>
          </w:tcPr>
          <w:p>
            <w:pPr>
              <w:spacing w:after="0"/>
              <w:rPr>
                <w:sz w:val="17"/>
                <w:szCs w:val="17"/>
                <w:color w:val="auto"/>
              </w:rPr>
            </w:pPr>
          </w:p>
        </w:tc>
        <w:tc>
          <w:tcPr>
            <w:tcW w:w="11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1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324"/>
        </w:trPr>
        <w:tc>
          <w:tcPr>
            <w:tcW w:w="7360" w:type="dxa"/>
            <w:vAlign w:val="bottom"/>
            <w:shd w:val="clear" w:color="auto" w:fill="F4F4F4"/>
          </w:tcPr>
          <w:p>
            <w:pPr>
              <w:ind w:left="20"/>
              <w:spacing w:after="0"/>
              <w:rPr>
                <w:sz w:val="20"/>
                <w:szCs w:val="20"/>
                <w:color w:val="auto"/>
              </w:rPr>
            </w:pPr>
            <w:r>
              <w:rPr>
                <w:rFonts w:ascii="Arial" w:cs="Arial" w:eastAsia="Arial" w:hAnsi="Arial"/>
                <w:sz w:val="18"/>
                <w:szCs w:val="18"/>
                <w:color w:val="auto"/>
              </w:rPr>
              <w:t>Deferred revenue</w:t>
            </w:r>
            <w:r>
              <w:rPr>
                <w:rFonts w:ascii="Arial" w:cs="Arial" w:eastAsia="Arial" w:hAnsi="Arial"/>
                <w:sz w:val="23"/>
                <w:szCs w:val="23"/>
                <w:color w:val="auto"/>
                <w:vertAlign w:val="superscript"/>
              </w:rPr>
              <w:t>(1)</w:t>
            </w:r>
          </w:p>
        </w:tc>
        <w:tc>
          <w:tcPr>
            <w:tcW w:w="400" w:type="dxa"/>
            <w:vAlign w:val="bottom"/>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355.7</w:t>
            </w:r>
          </w:p>
        </w:tc>
        <w:tc>
          <w:tcPr>
            <w:tcW w:w="260" w:type="dxa"/>
            <w:vAlign w:val="bottom"/>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F4F4F4"/>
          </w:tcPr>
          <w:p>
            <w:pPr>
              <w:jc w:val="right"/>
              <w:spacing w:after="0"/>
              <w:rPr>
                <w:sz w:val="20"/>
                <w:szCs w:val="20"/>
                <w:color w:val="auto"/>
              </w:rPr>
            </w:pPr>
            <w:r>
              <w:rPr>
                <w:rFonts w:ascii="Arial" w:cs="Arial" w:eastAsia="Arial" w:hAnsi="Arial"/>
                <w:sz w:val="18"/>
                <w:szCs w:val="18"/>
                <w:color w:val="auto"/>
              </w:rPr>
              <w:t>378.7</w:t>
            </w:r>
          </w:p>
        </w:tc>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24"/>
                <w:szCs w:val="24"/>
                <w:color w:val="auto"/>
              </w:rPr>
            </w:pPr>
          </w:p>
        </w:tc>
      </w:tr>
      <w:tr>
        <w:trPr>
          <w:trHeight w:val="243"/>
        </w:trPr>
        <w:tc>
          <w:tcPr>
            <w:tcW w:w="7360" w:type="dxa"/>
            <w:vAlign w:val="bottom"/>
          </w:tcPr>
          <w:p>
            <w:pPr>
              <w:ind w:left="140"/>
              <w:spacing w:after="0"/>
              <w:rPr>
                <w:sz w:val="20"/>
                <w:szCs w:val="20"/>
                <w:color w:val="auto"/>
              </w:rPr>
            </w:pPr>
            <w:r>
              <w:rPr>
                <w:rFonts w:ascii="Arial" w:cs="Arial" w:eastAsia="Arial" w:hAnsi="Arial"/>
                <w:sz w:val="18"/>
                <w:szCs w:val="18"/>
                <w:color w:val="auto"/>
              </w:rPr>
              <w:t>Less: Long-term portion</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w:t>
            </w:r>
          </w:p>
        </w:tc>
        <w:tc>
          <w:tcPr>
            <w:tcW w:w="1140" w:type="dxa"/>
            <w:vAlign w:val="bottom"/>
          </w:tcPr>
          <w:p>
            <w:pPr>
              <w:jc w:val="right"/>
              <w:spacing w:after="0"/>
              <w:rPr>
                <w:sz w:val="20"/>
                <w:szCs w:val="20"/>
                <w:color w:val="auto"/>
              </w:rPr>
            </w:pPr>
            <w:r>
              <w:rPr>
                <w:rFonts w:ascii="Arial" w:cs="Arial" w:eastAsia="Arial" w:hAnsi="Arial"/>
                <w:sz w:val="18"/>
                <w:szCs w:val="18"/>
                <w:color w:val="auto"/>
              </w:rPr>
              <w:t>11.3 %</w:t>
            </w:r>
          </w:p>
        </w:tc>
        <w:tc>
          <w:tcPr>
            <w:tcW w:w="20" w:type="dxa"/>
            <w:vAlign w:val="bottom"/>
          </w:tcPr>
          <w:p>
            <w:pPr>
              <w:spacing w:after="0"/>
              <w:rPr>
                <w:sz w:val="21"/>
                <w:szCs w:val="21"/>
                <w:color w:val="auto"/>
              </w:rPr>
            </w:pPr>
          </w:p>
        </w:tc>
      </w:tr>
      <w:tr>
        <w:trPr>
          <w:trHeight w:val="27"/>
        </w:trPr>
        <w:tc>
          <w:tcPr>
            <w:tcW w:w="7360" w:type="dxa"/>
            <w:vAlign w:val="bottom"/>
            <w:tcBorders>
              <w:bottom w:val="single" w:sz="8" w:color="F4F4F4"/>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140" w:type="dxa"/>
            <w:vAlign w:val="bottom"/>
            <w:tcBorders>
              <w:bottom w:val="single" w:sz="8" w:color="F4F4F4"/>
            </w:tcBorders>
          </w:tcPr>
          <w:p>
            <w:pPr>
              <w:spacing w:after="0"/>
              <w:rPr>
                <w:sz w:val="2"/>
                <w:szCs w:val="2"/>
                <w:color w:val="auto"/>
              </w:rPr>
            </w:pPr>
          </w:p>
        </w:tc>
        <w:tc>
          <w:tcPr>
            <w:tcW w:w="20" w:type="dxa"/>
            <w:vAlign w:val="bottom"/>
          </w:tcPr>
          <w:p>
            <w:pPr>
              <w:spacing w:after="0"/>
              <w:rPr>
                <w:sz w:val="2"/>
                <w:szCs w:val="2"/>
                <w:color w:val="auto"/>
              </w:rPr>
            </w:pPr>
          </w:p>
        </w:tc>
      </w:tr>
      <w:tr>
        <w:trPr>
          <w:trHeight w:val="304"/>
        </w:trPr>
        <w:tc>
          <w:tcPr>
            <w:tcW w:w="7360" w:type="dxa"/>
            <w:vAlign w:val="bottom"/>
            <w:tcBorders>
              <w:bottom w:val="single" w:sz="8" w:color="71BF43"/>
            </w:tcBorders>
            <w:shd w:val="clear" w:color="auto" w:fill="F4F4F4"/>
          </w:tcPr>
          <w:p>
            <w:pPr>
              <w:ind w:left="140"/>
              <w:spacing w:after="0"/>
              <w:rPr>
                <w:sz w:val="20"/>
                <w:szCs w:val="20"/>
                <w:color w:val="auto"/>
              </w:rPr>
            </w:pPr>
            <w:r>
              <w:rPr>
                <w:rFonts w:ascii="Arial" w:cs="Arial" w:eastAsia="Arial" w:hAnsi="Arial"/>
                <w:sz w:val="18"/>
                <w:szCs w:val="18"/>
                <w:color w:val="auto"/>
              </w:rPr>
              <w:t>Current portion</w:t>
            </w:r>
            <w:r>
              <w:rPr>
                <w:rFonts w:ascii="Arial" w:cs="Arial" w:eastAsia="Arial" w:hAnsi="Arial"/>
                <w:sz w:val="23"/>
                <w:szCs w:val="23"/>
                <w:color w:val="auto"/>
                <w:vertAlign w:val="superscript"/>
              </w:rPr>
              <w:t>(1)</w:t>
            </w:r>
          </w:p>
        </w:tc>
        <w:tc>
          <w:tcPr>
            <w:tcW w:w="40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351.0</w:t>
            </w:r>
          </w:p>
        </w:tc>
        <w:tc>
          <w:tcPr>
            <w:tcW w:w="260" w:type="dxa"/>
            <w:vAlign w:val="bottom"/>
            <w:tcBorders>
              <w:bottom w:val="single" w:sz="8" w:color="71BF43"/>
            </w:tcBorders>
            <w:shd w:val="clear" w:color="auto" w:fill="F4F4F4"/>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374.5</w:t>
            </w:r>
          </w:p>
        </w:tc>
        <w:tc>
          <w:tcPr>
            <w:tcW w:w="114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(6.3)%</w:t>
            </w:r>
          </w:p>
        </w:tc>
        <w:tc>
          <w:tcPr>
            <w:tcW w:w="20" w:type="dxa"/>
            <w:vAlign w:val="bottom"/>
          </w:tcPr>
          <w:p>
            <w:pPr>
              <w:spacing w:after="0"/>
              <w:rPr>
                <w:sz w:val="24"/>
                <w:szCs w:val="24"/>
                <w:color w:val="auto"/>
              </w:rPr>
            </w:pPr>
          </w:p>
        </w:tc>
      </w:tr>
    </w:tbl>
    <w:p>
      <w:pPr>
        <w:spacing w:after="0" w:line="9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deferred revenue or current portion of deferred revenue due to rounding.</w:t>
      </w:r>
    </w:p>
    <w:p>
      <w:pPr>
        <w:spacing w:after="0" w:line="157" w:lineRule="exact"/>
        <w:rPr>
          <w:sz w:val="20"/>
          <w:szCs w:val="20"/>
          <w:color w:val="auto"/>
        </w:rPr>
      </w:pPr>
    </w:p>
    <w:p>
      <w:pPr>
        <w:jc w:val="both"/>
        <w:ind w:right="20"/>
        <w:spacing w:after="0" w:line="253" w:lineRule="auto"/>
        <w:rPr>
          <w:sz w:val="20"/>
          <w:szCs w:val="20"/>
          <w:color w:val="auto"/>
        </w:rPr>
      </w:pPr>
      <w:r>
        <w:rPr>
          <w:rFonts w:ascii="Arial" w:cs="Arial" w:eastAsia="Arial" w:hAnsi="Arial"/>
          <w:sz w:val="18"/>
          <w:szCs w:val="18"/>
          <w:color w:val="auto"/>
        </w:rPr>
        <w:t>To the extent that our customers are billed for our solutions and services in advance of delivery, we record such amounts in deferred revenue. Our recurring revenue contracts are generally for a term of three years at contract inception, billed annually in advance, and non-cancelable. We have been for several years successfully shifting our legacy customer base away from annual renewals and moving them onto multi-year renewal contracts. We generally invoice our customers with recurring revenue contracts in annual cycles 30 days prior to the end of each one-year period.</w:t>
      </w:r>
    </w:p>
    <w:p>
      <w:pPr>
        <w:spacing w:after="0" w:line="151"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decrease in deferred revenue during the three months ended March 31, 2022 was primarily due to a seasonal decrease in customer contract renewals. Historically, due to the timing of customer budget cycles, we have an increase in customer contract renewals at or near the beginning of our third quarter. Generally, our lowest balance of deferred revenue during the year is at the end of our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31</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2" w:name="page33"/>
    <w:bookmarkEnd w:id="3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0" w:lineRule="exact"/>
        <w:rPr>
          <w:sz w:val="20"/>
          <w:szCs w:val="20"/>
          <w:color w:val="auto"/>
        </w:rPr>
      </w:pPr>
    </w:p>
    <w:p>
      <w:pPr>
        <w:spacing w:after="0" w:line="299"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Income tax (benefit) provision ($M)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262318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623185" cy="8255"/>
                    </a:xfrm>
                    <a:prstGeom prst="rect">
                      <a:avLst/>
                    </a:prstGeom>
                    <a:noFill/>
                  </pic:spPr>
                </pic:pic>
              </a:graphicData>
            </a:graphic>
          </wp:anchor>
        </w:drawing>
      </w:r>
    </w:p>
    <w:p>
      <w:pPr>
        <w:spacing w:after="0" w:line="111" w:lineRule="exact"/>
        <w:rPr>
          <w:sz w:val="20"/>
          <w:szCs w:val="20"/>
          <w:color w:val="auto"/>
        </w:rPr>
      </w:pPr>
    </w:p>
    <w:p>
      <w:pPr>
        <w:ind w:left="760"/>
        <w:spacing w:after="0"/>
        <w:rPr>
          <w:sz w:val="20"/>
          <w:szCs w:val="20"/>
          <w:color w:val="auto"/>
        </w:rPr>
      </w:pPr>
      <w:r>
        <w:rPr>
          <w:rFonts w:ascii="Arial" w:cs="Arial" w:eastAsia="Arial" w:hAnsi="Arial"/>
          <w:sz w:val="13"/>
          <w:szCs w:val="13"/>
          <w:i w:val="1"/>
          <w:iCs w:val="1"/>
          <w:color w:val="auto"/>
        </w:rPr>
        <w:t>Percentages indicate effective income tax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wp:posOffset>
            </wp:positionH>
            <wp:positionV relativeFrom="paragraph">
              <wp:posOffset>190500</wp:posOffset>
            </wp:positionV>
            <wp:extent cx="1937385" cy="1423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937385" cy="1423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For the three months ended March 31, 2022, we have utilized the discrete effective tax rate method, as allowed by ASC 740-270-30-18, </w:t>
      </w:r>
      <w:r>
        <w:rPr>
          <w:rFonts w:ascii="Arial" w:cs="Arial" w:eastAsia="Arial" w:hAnsi="Arial"/>
          <w:sz w:val="18"/>
          <w:szCs w:val="18"/>
          <w:i w:val="1"/>
          <w:iCs w:val="1"/>
          <w:color w:val="auto"/>
        </w:rPr>
        <w:t>Income Taxes—Interim Reporting</w:t>
      </w:r>
      <w:r>
        <w:rPr>
          <w:rFonts w:ascii="Arial" w:cs="Arial" w:eastAsia="Arial" w:hAnsi="Arial"/>
          <w:sz w:val="18"/>
          <w:szCs w:val="18"/>
          <w:color w:val="auto"/>
        </w:rPr>
        <w:t>, to calculate its interim income tax provision. The discrete method is applied when the application of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annual effective tax rate is impractical because it is not possible to reliably estimate the annual effective tax rate. The discrete method treats the year-to-date period as if it was the annual period and determines the income tax expense or benefit on that basis. We believe that, at this time, the use of this discrete method is more appropriate than the annual effective tax rate method as our as our full-year forecasted pre-tax income, relative to our forecasted permanent differences, has the potential to distort our estimated annual effective tax rate.</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decrease in our effective income tax rate for the three months ended March 31, 2022 when compared to the same period in 2021 was primarily attributable to the impact of stock based compensation. The 2022 effective tax rate was negatively impacted by increased tax expense attributable to stock based compensation against pre-tax loss for the period.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operating results analyzed below are presented on a non-GAAP basis. We use non-GAAP financial measures internally in analyzing our operational performance. Accordingly, we believe these non-GAAP measures are useful to investors, as a supplement to GAAP measures, in evaluating our ongoing operational performance. While we believe these non-GAAP measures provide useful supplemental information, non-GAAP financial measures should not be considered in isolation from, or as a substitute for, financial information prepared in accordance with GAAP. In addition, these non-GAAP financial measures may not be completely comparable to similarly titled measures of other companies due to potential differences in the exact method of calculation between companies.</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non-GAAP financial measures discussed below exclude the impact of certain transactions because we believe they are not directly related to our operating performance in any particular period, but are for our long-term benefit over multiple periods. We believe that these non-GAAP financial measures reflect our ongoing business in a manner that allows for meaningful period-to-period comparisons and analysis of trends in our business.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32</w:t>
      </w:r>
      <w:r>
        <w:rPr>
          <w:sz w:val="20"/>
          <w:szCs w:val="20"/>
          <w:color w:val="auto"/>
        </w:rPr>
        <w:tab/>
      </w:r>
      <w:r>
        <w:rPr>
          <w:sz w:val="1"/>
          <w:szCs w:val="1"/>
          <w:color w:val="auto"/>
        </w:rPr>
        <w:drawing>
          <wp:inline distT="0" distB="0" distL="0" distR="0">
            <wp:extent cx="651510" cy="171450"/>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167005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3" w:name="page34"/>
    <w:bookmarkEnd w:id="3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56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214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7560" w:type="dxa"/>
            <w:vAlign w:val="bottom"/>
            <w:shd w:val="clear" w:color="auto" w:fill="ACACAC"/>
          </w:tcPr>
          <w:p>
            <w:pPr>
              <w:spacing w:after="0"/>
              <w:rPr>
                <w:sz w:val="16"/>
                <w:szCs w:val="16"/>
                <w:color w:val="auto"/>
              </w:rPr>
            </w:pPr>
          </w:p>
        </w:tc>
        <w:tc>
          <w:tcPr>
            <w:tcW w:w="260" w:type="dxa"/>
            <w:vAlign w:val="bottom"/>
            <w:shd w:val="clear" w:color="auto" w:fill="ACACAC"/>
          </w:tcPr>
          <w:p>
            <w:pPr>
              <w:spacing w:after="0"/>
              <w:rPr>
                <w:sz w:val="16"/>
                <w:szCs w:val="16"/>
                <w:color w:val="auto"/>
              </w:rPr>
            </w:pPr>
          </w:p>
        </w:tc>
        <w:tc>
          <w:tcPr>
            <w:tcW w:w="104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06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235"/>
        </w:trPr>
        <w:tc>
          <w:tcPr>
            <w:tcW w:w="756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 except per share amounts)</w:t>
            </w:r>
          </w:p>
        </w:tc>
        <w:tc>
          <w:tcPr>
            <w:tcW w:w="260" w:type="dxa"/>
            <w:vAlign w:val="bottom"/>
            <w:tcBorders>
              <w:bottom w:val="single" w:sz="8" w:color="ACACAC"/>
            </w:tcBorders>
            <w:shd w:val="clear" w:color="auto" w:fill="ACACAC"/>
          </w:tcPr>
          <w:p>
            <w:pPr>
              <w:spacing w:after="0"/>
              <w:rPr>
                <w:sz w:val="20"/>
                <w:szCs w:val="20"/>
                <w:color w:val="auto"/>
              </w:rPr>
            </w:pPr>
          </w:p>
        </w:tc>
        <w:tc>
          <w:tcPr>
            <w:tcW w:w="10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40" w:type="dxa"/>
            <w:vAlign w:val="bottom"/>
            <w:tcBorders>
              <w:bottom w:val="single" w:sz="8" w:color="ACACAC"/>
            </w:tcBorders>
            <w:shd w:val="clear" w:color="auto" w:fill="ACACAC"/>
          </w:tcPr>
          <w:p>
            <w:pPr>
              <w:spacing w:after="0"/>
              <w:rPr>
                <w:sz w:val="20"/>
                <w:szCs w:val="20"/>
                <w:color w:val="auto"/>
              </w:rPr>
            </w:pPr>
          </w:p>
        </w:tc>
        <w:tc>
          <w:tcPr>
            <w:tcW w:w="10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10"/>
        </w:trPr>
        <w:tc>
          <w:tcPr>
            <w:tcW w:w="75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Revenue</w:t>
            </w:r>
          </w:p>
        </w:tc>
        <w:tc>
          <w:tcPr>
            <w:tcW w:w="260" w:type="dxa"/>
            <w:vAlign w:val="bottom"/>
            <w:tcBorders>
              <w:bottom w:val="single" w:sz="8" w:color="auto"/>
            </w:tcBorders>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257.1</w:t>
            </w:r>
          </w:p>
        </w:tc>
        <w:tc>
          <w:tcPr>
            <w:tcW w:w="24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219.2</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17.3 %</w:t>
            </w:r>
          </w:p>
        </w:tc>
        <w:tc>
          <w:tcPr>
            <w:tcW w:w="20" w:type="dxa"/>
            <w:vAlign w:val="bottom"/>
          </w:tcPr>
          <w:p>
            <w:pPr>
              <w:spacing w:after="0"/>
              <w:rPr>
                <w:sz w:val="18"/>
                <w:szCs w:val="18"/>
                <w:color w:val="auto"/>
              </w:rPr>
            </w:pPr>
          </w:p>
        </w:tc>
      </w:tr>
      <w:tr>
        <w:trPr>
          <w:trHeight w:val="135"/>
        </w:trPr>
        <w:tc>
          <w:tcPr>
            <w:tcW w:w="7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75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gross profit</w:t>
            </w:r>
          </w:p>
        </w:tc>
        <w:tc>
          <w:tcPr>
            <w:tcW w:w="2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133.8</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115.8</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15.5 %</w:t>
            </w:r>
          </w:p>
        </w:tc>
        <w:tc>
          <w:tcPr>
            <w:tcW w:w="20" w:type="dxa"/>
            <w:vAlign w:val="bottom"/>
          </w:tcPr>
          <w:p>
            <w:pPr>
              <w:spacing w:after="0"/>
              <w:rPr>
                <w:sz w:val="18"/>
                <w:szCs w:val="18"/>
                <w:color w:val="auto"/>
              </w:rPr>
            </w:pPr>
          </w:p>
        </w:tc>
      </w:tr>
      <w:tr>
        <w:trPr>
          <w:trHeight w:val="210"/>
        </w:trPr>
        <w:tc>
          <w:tcPr>
            <w:tcW w:w="7560" w:type="dxa"/>
            <w:vAlign w:val="bottom"/>
          </w:tcPr>
          <w:p>
            <w:pPr>
              <w:ind w:left="140"/>
              <w:spacing w:after="0"/>
              <w:rPr>
                <w:sz w:val="20"/>
                <w:szCs w:val="20"/>
                <w:color w:val="auto"/>
              </w:rPr>
            </w:pPr>
            <w:r>
              <w:rPr>
                <w:rFonts w:ascii="Arial" w:cs="Arial" w:eastAsia="Arial" w:hAnsi="Arial"/>
                <w:sz w:val="14"/>
                <w:szCs w:val="14"/>
                <w:b w:val="1"/>
                <w:bCs w:val="1"/>
                <w:color w:val="auto"/>
              </w:rPr>
              <w:t>GAAP gross margin</w:t>
            </w: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52.0 %</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52.8 %</w:t>
            </w: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75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spacing w:after="0"/>
              <w:rPr>
                <w:sz w:val="19"/>
                <w:szCs w:val="19"/>
                <w:color w:val="auto"/>
              </w:rPr>
            </w:pPr>
          </w:p>
        </w:tc>
        <w:tc>
          <w:tcPr>
            <w:tcW w:w="240" w:type="dxa"/>
            <w:vAlign w:val="bottom"/>
            <w:shd w:val="clear" w:color="auto" w:fill="F4F4F4"/>
          </w:tcPr>
          <w:p>
            <w:pPr>
              <w:spacing w:after="0"/>
              <w:rPr>
                <w:sz w:val="19"/>
                <w:szCs w:val="19"/>
                <w:color w:val="auto"/>
              </w:rPr>
            </w:pPr>
          </w:p>
        </w:tc>
        <w:tc>
          <w:tcPr>
            <w:tcW w:w="1060" w:type="dxa"/>
            <w:vAlign w:val="bottom"/>
            <w:shd w:val="clear" w:color="auto" w:fill="F4F4F4"/>
          </w:tcPr>
          <w:p>
            <w:pPr>
              <w:spacing w:after="0"/>
              <w:rPr>
                <w:sz w:val="19"/>
                <w:szCs w:val="19"/>
                <w:color w:val="auto"/>
              </w:rPr>
            </w:pPr>
          </w:p>
        </w:tc>
        <w:tc>
          <w:tcPr>
            <w:tcW w:w="10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7560" w:type="dxa"/>
            <w:vAlign w:val="bottom"/>
          </w:tcPr>
          <w:p>
            <w:pPr>
              <w:ind w:left="140"/>
              <w:spacing w:after="0"/>
              <w:rPr>
                <w:sz w:val="20"/>
                <w:szCs w:val="20"/>
                <w:color w:val="auto"/>
              </w:rPr>
            </w:pPr>
            <w:r>
              <w:rPr>
                <w:rFonts w:ascii="Arial" w:cs="Arial" w:eastAsia="Arial" w:hAnsi="Arial"/>
                <w:sz w:val="14"/>
                <w:szCs w:val="14"/>
                <w:color w:val="auto"/>
              </w:rPr>
              <w:t>Add: Stock-based compensation expense</w:t>
            </w:r>
          </w:p>
        </w:tc>
        <w:tc>
          <w:tcPr>
            <w:tcW w:w="26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4.1</w:t>
            </w:r>
          </w:p>
        </w:tc>
        <w:tc>
          <w:tcPr>
            <w:tcW w:w="2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5.4</w:t>
            </w:r>
          </w:p>
        </w:tc>
        <w:tc>
          <w:tcPr>
            <w:tcW w:w="1080" w:type="dxa"/>
            <w:vAlign w:val="bottom"/>
          </w:tcPr>
          <w:p>
            <w:pPr>
              <w:jc w:val="right"/>
              <w:spacing w:after="0"/>
              <w:rPr>
                <w:sz w:val="20"/>
                <w:szCs w:val="20"/>
                <w:color w:val="auto"/>
              </w:rPr>
            </w:pPr>
            <w:r>
              <w:rPr>
                <w:rFonts w:ascii="Arial" w:cs="Arial" w:eastAsia="Arial" w:hAnsi="Arial"/>
                <w:sz w:val="14"/>
                <w:szCs w:val="14"/>
                <w:color w:val="auto"/>
              </w:rPr>
              <w:t>(22.6)%</w:t>
            </w:r>
          </w:p>
        </w:tc>
        <w:tc>
          <w:tcPr>
            <w:tcW w:w="20" w:type="dxa"/>
            <w:vAlign w:val="bottom"/>
          </w:tcPr>
          <w:p>
            <w:pPr>
              <w:spacing w:after="0"/>
              <w:rPr>
                <w:sz w:val="18"/>
                <w:szCs w:val="18"/>
                <w:color w:val="auto"/>
              </w:rPr>
            </w:pPr>
          </w:p>
        </w:tc>
      </w:tr>
      <w:tr>
        <w:trPr>
          <w:trHeight w:val="222"/>
        </w:trPr>
        <w:tc>
          <w:tcPr>
            <w:tcW w:w="75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12.5</w:t>
            </w:r>
          </w:p>
        </w:tc>
        <w:tc>
          <w:tcPr>
            <w:tcW w:w="240" w:type="dxa"/>
            <w:vAlign w:val="bottom"/>
            <w:tcBorders>
              <w:bottom w:val="single" w:sz="8" w:color="auto"/>
            </w:tcBorders>
            <w:shd w:val="clear" w:color="auto" w:fill="F4F4F4"/>
          </w:tcPr>
          <w:p>
            <w:pPr>
              <w:spacing w:after="0"/>
              <w:rPr>
                <w:sz w:val="19"/>
                <w:szCs w:val="19"/>
                <w:color w:val="auto"/>
              </w:rPr>
            </w:pPr>
          </w:p>
        </w:tc>
        <w:tc>
          <w:tcPr>
            <w:tcW w:w="106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9.1</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36.8 %</w:t>
            </w:r>
          </w:p>
        </w:tc>
        <w:tc>
          <w:tcPr>
            <w:tcW w:w="20" w:type="dxa"/>
            <w:vAlign w:val="bottom"/>
          </w:tcPr>
          <w:p>
            <w:pPr>
              <w:spacing w:after="0"/>
              <w:rPr>
                <w:sz w:val="19"/>
                <w:szCs w:val="19"/>
                <w:color w:val="auto"/>
              </w:rPr>
            </w:pPr>
          </w:p>
        </w:tc>
      </w:tr>
      <w:tr>
        <w:trPr>
          <w:trHeight w:val="209"/>
        </w:trPr>
        <w:tc>
          <w:tcPr>
            <w:tcW w:w="7560" w:type="dxa"/>
            <w:vAlign w:val="bottom"/>
            <w:tcBorders>
              <w:bottom w:val="single" w:sz="8" w:color="F4F4F4"/>
            </w:tcBorders>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16.6</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14.5</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14.9 %</w:t>
            </w:r>
          </w:p>
        </w:tc>
        <w:tc>
          <w:tcPr>
            <w:tcW w:w="20" w:type="dxa"/>
            <w:vAlign w:val="bottom"/>
          </w:tcPr>
          <w:p>
            <w:pPr>
              <w:spacing w:after="0"/>
              <w:rPr>
                <w:sz w:val="18"/>
                <w:szCs w:val="18"/>
                <w:color w:val="auto"/>
              </w:rPr>
            </w:pPr>
          </w:p>
        </w:tc>
      </w:tr>
      <w:tr>
        <w:trPr>
          <w:trHeight w:val="210"/>
        </w:trPr>
        <w:tc>
          <w:tcPr>
            <w:tcW w:w="75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gross profit</w:t>
            </w:r>
            <w:r>
              <w:rPr>
                <w:rFonts w:ascii="Arial" w:cs="Arial" w:eastAsia="Arial" w:hAnsi="Arial"/>
                <w:sz w:val="18"/>
                <w:szCs w:val="18"/>
                <w:b w:val="1"/>
                <w:bCs w:val="1"/>
                <w:color w:val="auto"/>
                <w:vertAlign w:val="superscript"/>
              </w:rPr>
              <w:t>(1)</w:t>
            </w:r>
          </w:p>
        </w:tc>
        <w:tc>
          <w:tcPr>
            <w:tcW w:w="260" w:type="dxa"/>
            <w:vAlign w:val="bottom"/>
            <w:tcBorders>
              <w:bottom w:val="single" w:sz="8" w:color="auto"/>
            </w:tcBorders>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150.4</w:t>
            </w:r>
          </w:p>
        </w:tc>
        <w:tc>
          <w:tcPr>
            <w:tcW w:w="24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130.3</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15.4 %</w:t>
            </w:r>
          </w:p>
        </w:tc>
        <w:tc>
          <w:tcPr>
            <w:tcW w:w="20" w:type="dxa"/>
            <w:vAlign w:val="bottom"/>
          </w:tcPr>
          <w:p>
            <w:pPr>
              <w:spacing w:after="0"/>
              <w:rPr>
                <w:sz w:val="18"/>
                <w:szCs w:val="18"/>
                <w:color w:val="auto"/>
              </w:rPr>
            </w:pPr>
          </w:p>
        </w:tc>
      </w:tr>
      <w:tr>
        <w:trPr>
          <w:trHeight w:val="203"/>
        </w:trPr>
        <w:tc>
          <w:tcPr>
            <w:tcW w:w="7560" w:type="dxa"/>
            <w:vAlign w:val="bottom"/>
          </w:tcPr>
          <w:p>
            <w:pPr>
              <w:ind w:left="140"/>
              <w:spacing w:after="0"/>
              <w:rPr>
                <w:sz w:val="20"/>
                <w:szCs w:val="20"/>
                <w:color w:val="auto"/>
              </w:rPr>
            </w:pPr>
            <w:r>
              <w:rPr>
                <w:rFonts w:ascii="Arial" w:cs="Arial" w:eastAsia="Arial" w:hAnsi="Arial"/>
                <w:sz w:val="14"/>
                <w:szCs w:val="14"/>
                <w:b w:val="1"/>
                <w:bCs w:val="1"/>
                <w:color w:val="auto"/>
              </w:rPr>
              <w:t>Non-GAAP gross margin</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58.5 %</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59.4 %</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7560" w:type="dxa"/>
            <w:vAlign w:val="bottom"/>
            <w:shd w:val="clear" w:color="auto" w:fill="F4F4F4"/>
          </w:tcPr>
          <w:p>
            <w:pPr>
              <w:spacing w:after="0"/>
              <w:rPr>
                <w:sz w:val="13"/>
                <w:szCs w:val="13"/>
                <w:color w:val="auto"/>
              </w:rPr>
            </w:pPr>
          </w:p>
        </w:tc>
        <w:tc>
          <w:tcPr>
            <w:tcW w:w="260" w:type="dxa"/>
            <w:vAlign w:val="bottom"/>
            <w:shd w:val="clear" w:color="auto" w:fill="F4F4F4"/>
          </w:tcPr>
          <w:p>
            <w:pPr>
              <w:spacing w:after="0"/>
              <w:rPr>
                <w:sz w:val="13"/>
                <w:szCs w:val="13"/>
                <w:color w:val="auto"/>
              </w:rPr>
            </w:pPr>
          </w:p>
        </w:tc>
        <w:tc>
          <w:tcPr>
            <w:tcW w:w="1040" w:type="dxa"/>
            <w:vAlign w:val="bottom"/>
            <w:shd w:val="clear" w:color="auto" w:fill="F4F4F4"/>
          </w:tcPr>
          <w:p>
            <w:pPr>
              <w:spacing w:after="0"/>
              <w:rPr>
                <w:sz w:val="13"/>
                <w:szCs w:val="13"/>
                <w:color w:val="auto"/>
              </w:rPr>
            </w:pPr>
          </w:p>
        </w:tc>
        <w:tc>
          <w:tcPr>
            <w:tcW w:w="240" w:type="dxa"/>
            <w:vAlign w:val="bottom"/>
            <w:shd w:val="clear" w:color="auto" w:fill="F4F4F4"/>
          </w:tcPr>
          <w:p>
            <w:pPr>
              <w:spacing w:after="0"/>
              <w:rPr>
                <w:sz w:val="13"/>
                <w:szCs w:val="13"/>
                <w:color w:val="auto"/>
              </w:rPr>
            </w:pPr>
          </w:p>
        </w:tc>
        <w:tc>
          <w:tcPr>
            <w:tcW w:w="1060" w:type="dxa"/>
            <w:vAlign w:val="bottom"/>
            <w:shd w:val="clear" w:color="auto" w:fill="F4F4F4"/>
          </w:tcPr>
          <w:p>
            <w:pPr>
              <w:spacing w:after="0"/>
              <w:rPr>
                <w:sz w:val="13"/>
                <w:szCs w:val="13"/>
                <w:color w:val="auto"/>
              </w:rPr>
            </w:pPr>
          </w:p>
        </w:tc>
        <w:tc>
          <w:tcPr>
            <w:tcW w:w="1080" w:type="dxa"/>
            <w:vAlign w:val="bottom"/>
            <w:shd w:val="clear" w:color="auto" w:fill="F4F4F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GAAP (loss) income from operations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(6.0)</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6.6</w:t>
            </w:r>
          </w:p>
        </w:tc>
        <w:tc>
          <w:tcPr>
            <w:tcW w:w="1080" w:type="dxa"/>
            <w:vAlign w:val="bottom"/>
          </w:tcPr>
          <w:p>
            <w:pPr>
              <w:jc w:val="right"/>
              <w:spacing w:after="0"/>
              <w:rPr>
                <w:sz w:val="20"/>
                <w:szCs w:val="20"/>
                <w:color w:val="auto"/>
              </w:rPr>
            </w:pPr>
            <w:r>
              <w:rPr>
                <w:rFonts w:ascii="Arial" w:cs="Arial" w:eastAsia="Arial" w:hAnsi="Arial"/>
                <w:sz w:val="14"/>
                <w:szCs w:val="14"/>
                <w:color w:val="auto"/>
              </w:rPr>
              <w:t>(190.0)%</w:t>
            </w:r>
          </w:p>
        </w:tc>
        <w:tc>
          <w:tcPr>
            <w:tcW w:w="20" w:type="dxa"/>
            <w:vAlign w:val="bottom"/>
          </w:tcPr>
          <w:p>
            <w:pPr>
              <w:spacing w:after="0"/>
              <w:rPr>
                <w:sz w:val="18"/>
                <w:szCs w:val="18"/>
                <w:color w:val="auto"/>
              </w:rPr>
            </w:pPr>
          </w:p>
        </w:tc>
      </w:tr>
      <w:tr>
        <w:trPr>
          <w:trHeight w:val="222"/>
        </w:trPr>
        <w:tc>
          <w:tcPr>
            <w:tcW w:w="7560" w:type="dxa"/>
            <w:vAlign w:val="bottom"/>
            <w:shd w:val="clear" w:color="auto" w:fill="F4F4F4"/>
          </w:tcPr>
          <w:p>
            <w:pPr>
              <w:ind w:left="140"/>
              <w:spacing w:after="0"/>
              <w:rPr>
                <w:sz w:val="20"/>
                <w:szCs w:val="20"/>
                <w:color w:val="auto"/>
              </w:rPr>
            </w:pPr>
            <w:r>
              <w:rPr>
                <w:rFonts w:ascii="Arial" w:cs="Arial" w:eastAsia="Arial" w:hAnsi="Arial"/>
                <w:sz w:val="14"/>
                <w:szCs w:val="14"/>
                <w:b w:val="1"/>
                <w:bCs w:val="1"/>
                <w:color w:val="auto"/>
              </w:rPr>
              <w:t>GAAP operating margin</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(2.3)%</w:t>
            </w:r>
          </w:p>
        </w:tc>
        <w:tc>
          <w:tcPr>
            <w:tcW w:w="240" w:type="dxa"/>
            <w:vAlign w:val="bottom"/>
            <w:shd w:val="clear" w:color="auto" w:fill="F4F4F4"/>
          </w:tcPr>
          <w:p>
            <w:pPr>
              <w:spacing w:after="0"/>
              <w:rPr>
                <w:sz w:val="19"/>
                <w:szCs w:val="19"/>
                <w:color w:val="auto"/>
              </w:rPr>
            </w:pPr>
          </w:p>
        </w:tc>
        <w:tc>
          <w:tcPr>
            <w:tcW w:w="10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3.0 %</w:t>
            </w:r>
          </w:p>
        </w:tc>
        <w:tc>
          <w:tcPr>
            <w:tcW w:w="108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0"/>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75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Stock-based compensation expense</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27.9</w:t>
            </w:r>
          </w:p>
        </w:tc>
        <w:tc>
          <w:tcPr>
            <w:tcW w:w="24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30.0</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(7.1)%</w:t>
            </w:r>
          </w:p>
        </w:tc>
        <w:tc>
          <w:tcPr>
            <w:tcW w:w="20" w:type="dxa"/>
            <w:vAlign w:val="bottom"/>
          </w:tcPr>
          <w:p>
            <w:pPr>
              <w:spacing w:after="0"/>
              <w:rPr>
                <w:sz w:val="19"/>
                <w:szCs w:val="19"/>
                <w:color w:val="auto"/>
              </w:rPr>
            </w:pPr>
          </w:p>
        </w:tc>
      </w:tr>
      <w:tr>
        <w:trPr>
          <w:trHeight w:val="210"/>
        </w:trPr>
        <w:tc>
          <w:tcPr>
            <w:tcW w:w="7560" w:type="dxa"/>
            <w:vAlign w:val="bottom"/>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26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13.3</w:t>
            </w:r>
          </w:p>
        </w:tc>
        <w:tc>
          <w:tcPr>
            <w:tcW w:w="2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9.7</w:t>
            </w:r>
          </w:p>
        </w:tc>
        <w:tc>
          <w:tcPr>
            <w:tcW w:w="1080" w:type="dxa"/>
            <w:vAlign w:val="bottom"/>
          </w:tcPr>
          <w:p>
            <w:pPr>
              <w:jc w:val="right"/>
              <w:spacing w:after="0"/>
              <w:rPr>
                <w:sz w:val="20"/>
                <w:szCs w:val="20"/>
                <w:color w:val="auto"/>
              </w:rPr>
            </w:pPr>
            <w:r>
              <w:rPr>
                <w:rFonts w:ascii="Arial" w:cs="Arial" w:eastAsia="Arial" w:hAnsi="Arial"/>
                <w:sz w:val="14"/>
                <w:szCs w:val="14"/>
                <w:color w:val="auto"/>
              </w:rPr>
              <w:t>37.4 %</w:t>
            </w:r>
          </w:p>
        </w:tc>
        <w:tc>
          <w:tcPr>
            <w:tcW w:w="20" w:type="dxa"/>
            <w:vAlign w:val="bottom"/>
          </w:tcPr>
          <w:p>
            <w:pPr>
              <w:spacing w:after="0"/>
              <w:rPr>
                <w:sz w:val="18"/>
                <w:szCs w:val="18"/>
                <w:color w:val="auto"/>
              </w:rPr>
            </w:pPr>
          </w:p>
        </w:tc>
      </w:tr>
      <w:tr>
        <w:trPr>
          <w:trHeight w:val="222"/>
        </w:trPr>
        <w:tc>
          <w:tcPr>
            <w:tcW w:w="75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Employee severance</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24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1.0</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9"/>
                <w:szCs w:val="19"/>
                <w:color w:val="auto"/>
              </w:rPr>
            </w:pPr>
          </w:p>
        </w:tc>
      </w:tr>
      <w:tr>
        <w:trPr>
          <w:trHeight w:val="210"/>
        </w:trPr>
        <w:tc>
          <w:tcPr>
            <w:tcW w:w="7560" w:type="dxa"/>
            <w:vAlign w:val="bottom"/>
          </w:tcPr>
          <w:p>
            <w:pPr>
              <w:ind w:left="140"/>
              <w:spacing w:after="0"/>
              <w:rPr>
                <w:sz w:val="20"/>
                <w:szCs w:val="20"/>
                <w:color w:val="auto"/>
              </w:rPr>
            </w:pPr>
            <w:r>
              <w:rPr>
                <w:rFonts w:ascii="Arial" w:cs="Arial" w:eastAsia="Arial" w:hAnsi="Arial"/>
                <w:sz w:val="14"/>
                <w:szCs w:val="14"/>
                <w:color w:val="auto"/>
              </w:rPr>
              <w:t>Add: Acquisition-related integration costs</w:t>
            </w:r>
          </w:p>
        </w:tc>
        <w:tc>
          <w:tcPr>
            <w:tcW w:w="26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0.6</w:t>
            </w:r>
          </w:p>
        </w:tc>
        <w:tc>
          <w:tcPr>
            <w:tcW w:w="2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080" w:type="dxa"/>
            <w:vAlign w:val="bottom"/>
          </w:tcPr>
          <w:p>
            <w:pPr>
              <w:jc w:val="right"/>
              <w:spacing w:after="0"/>
              <w:rPr>
                <w:sz w:val="20"/>
                <w:szCs w:val="20"/>
                <w:color w:val="auto"/>
              </w:rPr>
            </w:pPr>
            <w:r>
              <w:rPr>
                <w:rFonts w:ascii="Arial" w:cs="Arial" w:eastAsia="Arial" w:hAnsi="Arial"/>
                <w:sz w:val="14"/>
                <w:szCs w:val="14"/>
                <w:color w:val="auto"/>
              </w:rPr>
              <w:t>(756.1)%</w:t>
            </w:r>
          </w:p>
        </w:tc>
        <w:tc>
          <w:tcPr>
            <w:tcW w:w="20" w:type="dxa"/>
            <w:vAlign w:val="bottom"/>
          </w:tcPr>
          <w:p>
            <w:pPr>
              <w:spacing w:after="0"/>
              <w:rPr>
                <w:sz w:val="18"/>
                <w:szCs w:val="18"/>
                <w:color w:val="auto"/>
              </w:rPr>
            </w:pPr>
          </w:p>
        </w:tc>
      </w:tr>
      <w:tr>
        <w:trPr>
          <w:trHeight w:val="222"/>
        </w:trPr>
        <w:tc>
          <w:tcPr>
            <w:tcW w:w="75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Acquisition-related expenses</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0.3</w:t>
            </w:r>
          </w:p>
        </w:tc>
        <w:tc>
          <w:tcPr>
            <w:tcW w:w="24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0.1</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383.1 %</w:t>
            </w:r>
          </w:p>
        </w:tc>
        <w:tc>
          <w:tcPr>
            <w:tcW w:w="20" w:type="dxa"/>
            <w:vAlign w:val="bottom"/>
          </w:tcPr>
          <w:p>
            <w:pPr>
              <w:spacing w:after="0"/>
              <w:rPr>
                <w:sz w:val="19"/>
                <w:szCs w:val="19"/>
                <w:color w:val="auto"/>
              </w:rPr>
            </w:pPr>
          </w:p>
        </w:tc>
      </w:tr>
      <w:tr>
        <w:trPr>
          <w:trHeight w:val="210"/>
        </w:trPr>
        <w:tc>
          <w:tcPr>
            <w:tcW w:w="7560" w:type="dxa"/>
            <w:vAlign w:val="bottom"/>
          </w:tcPr>
          <w:p>
            <w:pPr>
              <w:ind w:left="140"/>
              <w:spacing w:after="0"/>
              <w:rPr>
                <w:sz w:val="20"/>
                <w:szCs w:val="20"/>
                <w:color w:val="auto"/>
              </w:rPr>
            </w:pPr>
            <w:r>
              <w:rPr>
                <w:rFonts w:ascii="Arial" w:cs="Arial" w:eastAsia="Arial" w:hAnsi="Arial"/>
                <w:sz w:val="14"/>
                <w:szCs w:val="14"/>
                <w:color w:val="auto"/>
              </w:rPr>
              <w:t>Add: Restructuring and other real estate activities</w:t>
            </w:r>
          </w:p>
        </w:tc>
        <w:tc>
          <w:tcPr>
            <w:tcW w:w="26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0.1</w:t>
            </w:r>
          </w:p>
        </w:tc>
        <w:tc>
          <w:tcPr>
            <w:tcW w:w="240" w:type="dxa"/>
            <w:vAlign w:val="bottom"/>
          </w:tcPr>
          <w:p>
            <w:pPr>
              <w:spacing w:after="0"/>
              <w:rPr>
                <w:sz w:val="18"/>
                <w:szCs w:val="18"/>
                <w:color w:val="auto"/>
              </w:rPr>
            </w:pPr>
          </w:p>
        </w:tc>
        <w:tc>
          <w:tcPr>
            <w:tcW w:w="1060" w:type="dxa"/>
            <w:vAlign w:val="bottom"/>
          </w:tcPr>
          <w:p>
            <w:pPr>
              <w:jc w:val="right"/>
              <w:ind w:right="68"/>
              <w:spacing w:after="0"/>
              <w:rPr>
                <w:sz w:val="20"/>
                <w:szCs w:val="20"/>
                <w:color w:val="auto"/>
              </w:rPr>
            </w:pPr>
            <w:r>
              <w:rPr>
                <w:rFonts w:ascii="Arial" w:cs="Arial" w:eastAsia="Arial" w:hAnsi="Arial"/>
                <w:sz w:val="14"/>
                <w:szCs w:val="14"/>
                <w:color w:val="auto"/>
              </w:rPr>
              <w:t>(0.1)</w:t>
            </w:r>
          </w:p>
        </w:tc>
        <w:tc>
          <w:tcPr>
            <w:tcW w:w="1080" w:type="dxa"/>
            <w:vAlign w:val="bottom"/>
          </w:tcPr>
          <w:p>
            <w:pPr>
              <w:jc w:val="right"/>
              <w:spacing w:after="0"/>
              <w:rPr>
                <w:sz w:val="20"/>
                <w:szCs w:val="20"/>
                <w:color w:val="auto"/>
              </w:rPr>
            </w:pPr>
            <w:r>
              <w:rPr>
                <w:rFonts w:ascii="Arial" w:cs="Arial" w:eastAsia="Arial" w:hAnsi="Arial"/>
                <w:sz w:val="14"/>
                <w:szCs w:val="14"/>
                <w:color w:val="auto"/>
              </w:rPr>
              <w:t>(164.0)%</w:t>
            </w:r>
          </w:p>
        </w:tc>
        <w:tc>
          <w:tcPr>
            <w:tcW w:w="20" w:type="dxa"/>
            <w:vAlign w:val="bottom"/>
          </w:tcPr>
          <w:p>
            <w:pPr>
              <w:spacing w:after="0"/>
              <w:rPr>
                <w:sz w:val="18"/>
                <w:szCs w:val="18"/>
                <w:color w:val="auto"/>
              </w:rPr>
            </w:pPr>
          </w:p>
        </w:tc>
      </w:tr>
      <w:tr>
        <w:trPr>
          <w:trHeight w:val="222"/>
        </w:trPr>
        <w:tc>
          <w:tcPr>
            <w:tcW w:w="75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Security Incident-related costs, net of insurance</w:t>
            </w:r>
            <w:r>
              <w:rPr>
                <w:rFonts w:ascii="Arial" w:cs="Arial" w:eastAsia="Arial" w:hAnsi="Arial"/>
                <w:sz w:val="18"/>
                <w:szCs w:val="18"/>
                <w:color w:val="auto"/>
                <w:vertAlign w:val="superscript"/>
              </w:rPr>
              <w:t>(2)</w:t>
            </w:r>
          </w:p>
        </w:tc>
        <w:tc>
          <w:tcPr>
            <w:tcW w:w="260" w:type="dxa"/>
            <w:vAlign w:val="bottom"/>
            <w:tcBorders>
              <w:bottom w:val="single" w:sz="8" w:color="auto"/>
            </w:tcBorders>
            <w:shd w:val="clear" w:color="auto" w:fill="F4F4F4"/>
          </w:tcPr>
          <w:p>
            <w:pPr>
              <w:spacing w:after="0"/>
              <w:rPr>
                <w:sz w:val="19"/>
                <w:szCs w:val="19"/>
                <w:color w:val="auto"/>
              </w:rPr>
            </w:pP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7.2</w:t>
            </w:r>
          </w:p>
        </w:tc>
        <w:tc>
          <w:tcPr>
            <w:tcW w:w="240" w:type="dxa"/>
            <w:vAlign w:val="bottom"/>
            <w:tcBorders>
              <w:bottom w:val="single" w:sz="8" w:color="auto"/>
            </w:tcBorders>
            <w:shd w:val="clear" w:color="auto" w:fill="F4F4F4"/>
          </w:tcPr>
          <w:p>
            <w:pPr>
              <w:spacing w:after="0"/>
              <w:rPr>
                <w:sz w:val="19"/>
                <w:szCs w:val="19"/>
                <w:color w:val="auto"/>
              </w:rPr>
            </w:pPr>
          </w:p>
        </w:tc>
        <w:tc>
          <w:tcPr>
            <w:tcW w:w="106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100.0 %</w:t>
            </w:r>
          </w:p>
        </w:tc>
        <w:tc>
          <w:tcPr>
            <w:tcW w:w="20" w:type="dxa"/>
            <w:vAlign w:val="bottom"/>
          </w:tcPr>
          <w:p>
            <w:pPr>
              <w:spacing w:after="0"/>
              <w:rPr>
                <w:sz w:val="19"/>
                <w:szCs w:val="19"/>
                <w:color w:val="auto"/>
              </w:rPr>
            </w:pPr>
          </w:p>
        </w:tc>
      </w:tr>
      <w:tr>
        <w:trPr>
          <w:trHeight w:val="210"/>
        </w:trPr>
        <w:tc>
          <w:tcPr>
            <w:tcW w:w="7560" w:type="dxa"/>
            <w:vAlign w:val="bottom"/>
            <w:tcBorders>
              <w:bottom w:val="single" w:sz="8" w:color="F4F4F4"/>
            </w:tcBorders>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(1)</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40.5</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21.9 %</w:t>
            </w:r>
          </w:p>
        </w:tc>
        <w:tc>
          <w:tcPr>
            <w:tcW w:w="20" w:type="dxa"/>
            <w:vAlign w:val="bottom"/>
          </w:tcPr>
          <w:p>
            <w:pPr>
              <w:spacing w:after="0"/>
              <w:rPr>
                <w:sz w:val="18"/>
                <w:szCs w:val="18"/>
                <w:color w:val="auto"/>
              </w:rPr>
            </w:pPr>
          </w:p>
        </w:tc>
      </w:tr>
      <w:tr>
        <w:trPr>
          <w:trHeight w:val="210"/>
        </w:trPr>
        <w:tc>
          <w:tcPr>
            <w:tcW w:w="75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income from operations</w:t>
            </w:r>
            <w:r>
              <w:rPr>
                <w:rFonts w:ascii="Arial" w:cs="Arial" w:eastAsia="Arial" w:hAnsi="Arial"/>
                <w:sz w:val="18"/>
                <w:szCs w:val="18"/>
                <w:b w:val="1"/>
                <w:bCs w:val="1"/>
                <w:color w:val="auto"/>
                <w:vertAlign w:val="superscript"/>
              </w:rPr>
              <w:t>(1)</w:t>
            </w:r>
          </w:p>
        </w:tc>
        <w:tc>
          <w:tcPr>
            <w:tcW w:w="260" w:type="dxa"/>
            <w:vAlign w:val="bottom"/>
            <w:tcBorders>
              <w:bottom w:val="single" w:sz="8" w:color="auto"/>
            </w:tcBorders>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43.4</w:t>
            </w:r>
          </w:p>
        </w:tc>
        <w:tc>
          <w:tcPr>
            <w:tcW w:w="24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47.2</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(8.0)%</w:t>
            </w:r>
          </w:p>
        </w:tc>
        <w:tc>
          <w:tcPr>
            <w:tcW w:w="20" w:type="dxa"/>
            <w:vAlign w:val="bottom"/>
          </w:tcPr>
          <w:p>
            <w:pPr>
              <w:spacing w:after="0"/>
              <w:rPr>
                <w:sz w:val="18"/>
                <w:szCs w:val="18"/>
                <w:color w:val="auto"/>
              </w:rPr>
            </w:pPr>
          </w:p>
        </w:tc>
      </w:tr>
      <w:tr>
        <w:trPr>
          <w:trHeight w:val="203"/>
        </w:trPr>
        <w:tc>
          <w:tcPr>
            <w:tcW w:w="7560" w:type="dxa"/>
            <w:vAlign w:val="bottom"/>
          </w:tcPr>
          <w:p>
            <w:pPr>
              <w:ind w:left="140"/>
              <w:spacing w:after="0"/>
              <w:rPr>
                <w:sz w:val="20"/>
                <w:szCs w:val="20"/>
                <w:color w:val="auto"/>
              </w:rPr>
            </w:pPr>
            <w:r>
              <w:rPr>
                <w:rFonts w:ascii="Arial" w:cs="Arial" w:eastAsia="Arial" w:hAnsi="Arial"/>
                <w:sz w:val="14"/>
                <w:szCs w:val="14"/>
                <w:b w:val="1"/>
                <w:bCs w:val="1"/>
                <w:color w:val="auto"/>
              </w:rPr>
              <w:t>Non-GAAP operating margin</w:t>
            </w:r>
          </w:p>
        </w:tc>
        <w:tc>
          <w:tcPr>
            <w:tcW w:w="2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16.9 %</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21.5 %</w:t>
            </w: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7560" w:type="dxa"/>
            <w:vAlign w:val="bottom"/>
            <w:shd w:val="clear" w:color="auto" w:fill="F4F4F4"/>
          </w:tcPr>
          <w:p>
            <w:pPr>
              <w:spacing w:after="0"/>
              <w:rPr>
                <w:sz w:val="13"/>
                <w:szCs w:val="13"/>
                <w:color w:val="auto"/>
              </w:rPr>
            </w:pPr>
          </w:p>
        </w:tc>
        <w:tc>
          <w:tcPr>
            <w:tcW w:w="260" w:type="dxa"/>
            <w:vAlign w:val="bottom"/>
            <w:shd w:val="clear" w:color="auto" w:fill="F4F4F4"/>
          </w:tcPr>
          <w:p>
            <w:pPr>
              <w:spacing w:after="0"/>
              <w:rPr>
                <w:sz w:val="13"/>
                <w:szCs w:val="13"/>
                <w:color w:val="auto"/>
              </w:rPr>
            </w:pPr>
          </w:p>
        </w:tc>
        <w:tc>
          <w:tcPr>
            <w:tcW w:w="1040" w:type="dxa"/>
            <w:vAlign w:val="bottom"/>
            <w:shd w:val="clear" w:color="auto" w:fill="F4F4F4"/>
          </w:tcPr>
          <w:p>
            <w:pPr>
              <w:spacing w:after="0"/>
              <w:rPr>
                <w:sz w:val="13"/>
                <w:szCs w:val="13"/>
                <w:color w:val="auto"/>
              </w:rPr>
            </w:pPr>
          </w:p>
        </w:tc>
        <w:tc>
          <w:tcPr>
            <w:tcW w:w="240" w:type="dxa"/>
            <w:vAlign w:val="bottom"/>
            <w:shd w:val="clear" w:color="auto" w:fill="F4F4F4"/>
          </w:tcPr>
          <w:p>
            <w:pPr>
              <w:spacing w:after="0"/>
              <w:rPr>
                <w:sz w:val="13"/>
                <w:szCs w:val="13"/>
                <w:color w:val="auto"/>
              </w:rPr>
            </w:pPr>
          </w:p>
        </w:tc>
        <w:tc>
          <w:tcPr>
            <w:tcW w:w="1060" w:type="dxa"/>
            <w:vAlign w:val="bottom"/>
            <w:shd w:val="clear" w:color="auto" w:fill="F4F4F4"/>
          </w:tcPr>
          <w:p>
            <w:pPr>
              <w:spacing w:after="0"/>
              <w:rPr>
                <w:sz w:val="13"/>
                <w:szCs w:val="13"/>
                <w:color w:val="auto"/>
              </w:rPr>
            </w:pPr>
          </w:p>
        </w:tc>
        <w:tc>
          <w:tcPr>
            <w:tcW w:w="1080" w:type="dxa"/>
            <w:vAlign w:val="bottom"/>
            <w:shd w:val="clear" w:color="auto" w:fill="F4F4F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GAAP (loss) income before provision for income taxes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68"/>
              <w:spacing w:after="0"/>
              <w:rPr>
                <w:sz w:val="20"/>
                <w:szCs w:val="20"/>
                <w:color w:val="auto"/>
              </w:rPr>
            </w:pPr>
            <w:r>
              <w:rPr>
                <w:rFonts w:ascii="Arial" w:cs="Arial" w:eastAsia="Arial" w:hAnsi="Arial"/>
                <w:sz w:val="14"/>
                <w:szCs w:val="14"/>
                <w:color w:val="auto"/>
              </w:rPr>
              <w:t>(12.5)</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0.5</w:t>
            </w:r>
          </w:p>
        </w:tc>
        <w:tc>
          <w:tcPr>
            <w:tcW w:w="1080" w:type="dxa"/>
            <w:vAlign w:val="bottom"/>
          </w:tcPr>
          <w:p>
            <w:pPr>
              <w:jc w:val="right"/>
              <w:spacing w:after="0"/>
              <w:rPr>
                <w:sz w:val="20"/>
                <w:szCs w:val="20"/>
                <w:color w:val="auto"/>
              </w:rPr>
            </w:pPr>
            <w:r>
              <w:rPr>
                <w:rFonts w:ascii="Arial" w:cs="Arial" w:eastAsia="Arial" w:hAnsi="Arial"/>
                <w:sz w:val="14"/>
                <w:szCs w:val="14"/>
                <w:color w:val="auto"/>
              </w:rPr>
              <w:t>(2,495.6)%</w:t>
            </w:r>
          </w:p>
        </w:tc>
        <w:tc>
          <w:tcPr>
            <w:tcW w:w="20" w:type="dxa"/>
            <w:vAlign w:val="bottom"/>
          </w:tcPr>
          <w:p>
            <w:pPr>
              <w:spacing w:after="0"/>
              <w:rPr>
                <w:sz w:val="18"/>
                <w:szCs w:val="18"/>
                <w:color w:val="auto"/>
              </w:rPr>
            </w:pPr>
          </w:p>
        </w:tc>
      </w:tr>
      <w:tr>
        <w:trPr>
          <w:trHeight w:val="222"/>
        </w:trPr>
        <w:tc>
          <w:tcPr>
            <w:tcW w:w="75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net loss</w:t>
            </w:r>
          </w:p>
        </w:tc>
        <w:tc>
          <w:tcPr>
            <w:tcW w:w="2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(10.4)</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(0.2)</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6,245.7 %</w:t>
            </w:r>
          </w:p>
        </w:tc>
        <w:tc>
          <w:tcPr>
            <w:tcW w:w="20" w:type="dxa"/>
            <w:vAlign w:val="bottom"/>
          </w:tcPr>
          <w:p>
            <w:pPr>
              <w:spacing w:after="0"/>
              <w:rPr>
                <w:sz w:val="19"/>
                <w:szCs w:val="19"/>
                <w:color w:val="auto"/>
              </w:rPr>
            </w:pPr>
          </w:p>
        </w:tc>
      </w:tr>
      <w:tr>
        <w:trPr>
          <w:trHeight w:val="210"/>
        </w:trPr>
        <w:tc>
          <w:tcPr>
            <w:tcW w:w="7560" w:type="dxa"/>
            <w:vAlign w:val="bottom"/>
          </w:tcPr>
          <w:p>
            <w:pPr>
              <w:ind w:left="20"/>
              <w:spacing w:after="0"/>
              <w:rPr>
                <w:sz w:val="20"/>
                <w:szCs w:val="20"/>
                <w:color w:val="auto"/>
              </w:rPr>
            </w:pPr>
            <w:r>
              <w:rPr>
                <w:rFonts w:ascii="Arial" w:cs="Arial" w:eastAsia="Arial" w:hAnsi="Arial"/>
                <w:sz w:val="14"/>
                <w:szCs w:val="14"/>
                <w:color w:val="auto"/>
              </w:rPr>
              <w:t>Shares used in computing GAAP diluted (loss) earnings per share</w:t>
            </w:r>
          </w:p>
        </w:tc>
        <w:tc>
          <w:tcPr>
            <w:tcW w:w="260" w:type="dxa"/>
            <w:vAlign w:val="bottom"/>
          </w:tcPr>
          <w:p>
            <w:pPr>
              <w:spacing w:after="0"/>
              <w:rPr>
                <w:sz w:val="18"/>
                <w:szCs w:val="18"/>
                <w:color w:val="auto"/>
              </w:rPr>
            </w:pPr>
          </w:p>
        </w:tc>
        <w:tc>
          <w:tcPr>
            <w:tcW w:w="1040" w:type="dxa"/>
            <w:vAlign w:val="bottom"/>
          </w:tcPr>
          <w:p>
            <w:pPr>
              <w:jc w:val="right"/>
              <w:ind w:right="108"/>
              <w:spacing w:after="0"/>
              <w:rPr>
                <w:sz w:val="20"/>
                <w:szCs w:val="20"/>
                <w:color w:val="auto"/>
              </w:rPr>
            </w:pPr>
            <w:r>
              <w:rPr>
                <w:rFonts w:ascii="Arial" w:cs="Arial" w:eastAsia="Arial" w:hAnsi="Arial"/>
                <w:sz w:val="14"/>
                <w:szCs w:val="14"/>
                <w:color w:val="auto"/>
              </w:rPr>
              <w:t>51,199,717</w:t>
            </w:r>
          </w:p>
        </w:tc>
        <w:tc>
          <w:tcPr>
            <w:tcW w:w="240" w:type="dxa"/>
            <w:vAlign w:val="bottom"/>
          </w:tcPr>
          <w:p>
            <w:pPr>
              <w:spacing w:after="0"/>
              <w:rPr>
                <w:sz w:val="18"/>
                <w:szCs w:val="18"/>
                <w:color w:val="auto"/>
              </w:rPr>
            </w:pP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47,363,197</w:t>
            </w:r>
          </w:p>
        </w:tc>
        <w:tc>
          <w:tcPr>
            <w:tcW w:w="1080" w:type="dxa"/>
            <w:vAlign w:val="bottom"/>
          </w:tcPr>
          <w:p>
            <w:pPr>
              <w:jc w:val="right"/>
              <w:spacing w:after="0"/>
              <w:rPr>
                <w:sz w:val="20"/>
                <w:szCs w:val="20"/>
                <w:color w:val="auto"/>
              </w:rPr>
            </w:pPr>
            <w:r>
              <w:rPr>
                <w:rFonts w:ascii="Arial" w:cs="Arial" w:eastAsia="Arial" w:hAnsi="Arial"/>
                <w:sz w:val="14"/>
                <w:szCs w:val="14"/>
                <w:color w:val="auto"/>
              </w:rPr>
              <w:t>8.1 %</w:t>
            </w:r>
          </w:p>
        </w:tc>
        <w:tc>
          <w:tcPr>
            <w:tcW w:w="20" w:type="dxa"/>
            <w:vAlign w:val="bottom"/>
          </w:tcPr>
          <w:p>
            <w:pPr>
              <w:spacing w:after="0"/>
              <w:rPr>
                <w:sz w:val="18"/>
                <w:szCs w:val="18"/>
                <w:color w:val="auto"/>
              </w:rPr>
            </w:pPr>
          </w:p>
        </w:tc>
      </w:tr>
      <w:tr>
        <w:trPr>
          <w:trHeight w:val="222"/>
        </w:trPr>
        <w:tc>
          <w:tcPr>
            <w:tcW w:w="7560" w:type="dxa"/>
            <w:vAlign w:val="bottom"/>
            <w:shd w:val="clear" w:color="auto" w:fill="F4F4F4"/>
          </w:tcPr>
          <w:p>
            <w:pPr>
              <w:ind w:left="140"/>
              <w:spacing w:after="0"/>
              <w:rPr>
                <w:sz w:val="20"/>
                <w:szCs w:val="20"/>
                <w:color w:val="auto"/>
              </w:rPr>
            </w:pPr>
            <w:r>
              <w:rPr>
                <w:rFonts w:ascii="Arial" w:cs="Arial" w:eastAsia="Arial" w:hAnsi="Arial"/>
                <w:sz w:val="14"/>
                <w:szCs w:val="14"/>
                <w:b w:val="1"/>
                <w:bCs w:val="1"/>
                <w:color w:val="auto"/>
              </w:rPr>
              <w:t>GAAP diluted (loss) earnings per share</w:t>
            </w:r>
          </w:p>
        </w:tc>
        <w:tc>
          <w:tcPr>
            <w:tcW w:w="2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(0.20)</w:t>
            </w:r>
          </w:p>
        </w:tc>
        <w:tc>
          <w:tcPr>
            <w:tcW w:w="2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100.0 %</w:t>
            </w:r>
          </w:p>
        </w:tc>
        <w:tc>
          <w:tcPr>
            <w:tcW w:w="20" w:type="dxa"/>
            <w:vAlign w:val="bottom"/>
          </w:tcPr>
          <w:p>
            <w:pPr>
              <w:spacing w:after="0"/>
              <w:rPr>
                <w:sz w:val="19"/>
                <w:szCs w:val="19"/>
                <w:color w:val="auto"/>
              </w:rPr>
            </w:pPr>
          </w:p>
        </w:tc>
      </w:tr>
      <w:tr>
        <w:trPr>
          <w:trHeight w:val="210"/>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Non-GAAP adjustments:</w:t>
            </w: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756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GAAP income tax (benefit) provision</w:t>
            </w:r>
          </w:p>
        </w:tc>
        <w:tc>
          <w:tcPr>
            <w:tcW w:w="260" w:type="dxa"/>
            <w:vAlign w:val="bottom"/>
            <w:shd w:val="clear" w:color="auto" w:fill="F4F4F4"/>
          </w:tcPr>
          <w:p>
            <w:pPr>
              <w:spacing w:after="0"/>
              <w:rPr>
                <w:sz w:val="19"/>
                <w:szCs w:val="19"/>
                <w:color w:val="auto"/>
              </w:rPr>
            </w:pPr>
          </w:p>
        </w:tc>
        <w:tc>
          <w:tcPr>
            <w:tcW w:w="1040" w:type="dxa"/>
            <w:vAlign w:val="bottom"/>
            <w:shd w:val="clear" w:color="auto" w:fill="F4F4F4"/>
          </w:tcPr>
          <w:p>
            <w:pPr>
              <w:jc w:val="right"/>
              <w:ind w:right="68"/>
              <w:spacing w:after="0"/>
              <w:rPr>
                <w:sz w:val="20"/>
                <w:szCs w:val="20"/>
                <w:color w:val="auto"/>
              </w:rPr>
            </w:pPr>
            <w:r>
              <w:rPr>
                <w:rFonts w:ascii="Arial" w:cs="Arial" w:eastAsia="Arial" w:hAnsi="Arial"/>
                <w:sz w:val="14"/>
                <w:szCs w:val="14"/>
                <w:color w:val="auto"/>
              </w:rPr>
              <w:t>(2.1)</w:t>
            </w:r>
          </w:p>
        </w:tc>
        <w:tc>
          <w:tcPr>
            <w:tcW w:w="240" w:type="dxa"/>
            <w:vAlign w:val="bottom"/>
            <w:shd w:val="clear" w:color="auto" w:fill="F4F4F4"/>
          </w:tcPr>
          <w:p>
            <w:pPr>
              <w:spacing w:after="0"/>
              <w:rPr>
                <w:sz w:val="19"/>
                <w:szCs w:val="19"/>
                <w:color w:val="auto"/>
              </w:rPr>
            </w:pPr>
          </w:p>
        </w:tc>
        <w:tc>
          <w:tcPr>
            <w:tcW w:w="10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0.7</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(399.7)%</w:t>
            </w:r>
          </w:p>
        </w:tc>
        <w:tc>
          <w:tcPr>
            <w:tcW w:w="20" w:type="dxa"/>
            <w:vAlign w:val="bottom"/>
          </w:tcPr>
          <w:p>
            <w:pPr>
              <w:spacing w:after="0"/>
              <w:rPr>
                <w:sz w:val="19"/>
                <w:szCs w:val="19"/>
                <w:color w:val="auto"/>
              </w:rPr>
            </w:pPr>
          </w:p>
        </w:tc>
      </w:tr>
      <w:tr>
        <w:trPr>
          <w:trHeight w:val="210"/>
        </w:trPr>
        <w:tc>
          <w:tcPr>
            <w:tcW w:w="756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Total non-GAAP adjustments affecting income from operations</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40.5</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21.9 %</w:t>
            </w:r>
          </w:p>
        </w:tc>
        <w:tc>
          <w:tcPr>
            <w:tcW w:w="20" w:type="dxa"/>
            <w:vAlign w:val="bottom"/>
          </w:tcPr>
          <w:p>
            <w:pPr>
              <w:spacing w:after="0"/>
              <w:rPr>
                <w:sz w:val="18"/>
                <w:szCs w:val="18"/>
                <w:color w:val="auto"/>
              </w:rPr>
            </w:pPr>
          </w:p>
        </w:tc>
      </w:tr>
      <w:tr>
        <w:trPr>
          <w:trHeight w:val="215"/>
        </w:trPr>
        <w:tc>
          <w:tcPr>
            <w:tcW w:w="75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income before provision for income taxes</w:t>
            </w:r>
          </w:p>
        </w:tc>
        <w:tc>
          <w:tcPr>
            <w:tcW w:w="260" w:type="dxa"/>
            <w:vAlign w:val="bottom"/>
            <w:shd w:val="clear" w:color="auto" w:fill="F4F4F4"/>
          </w:tcPr>
          <w:p>
            <w:pPr>
              <w:spacing w:after="0"/>
              <w:rPr>
                <w:sz w:val="18"/>
                <w:szCs w:val="18"/>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36.9</w:t>
            </w:r>
          </w:p>
        </w:tc>
        <w:tc>
          <w:tcPr>
            <w:tcW w:w="240" w:type="dxa"/>
            <w:vAlign w:val="bottom"/>
            <w:shd w:val="clear" w:color="auto" w:fill="F4F4F4"/>
          </w:tcPr>
          <w:p>
            <w:pPr>
              <w:spacing w:after="0"/>
              <w:rPr>
                <w:sz w:val="18"/>
                <w:szCs w:val="18"/>
                <w:color w:val="auto"/>
              </w:rPr>
            </w:pPr>
          </w:p>
        </w:tc>
        <w:tc>
          <w:tcPr>
            <w:tcW w:w="10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41.0</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8"/>
                <w:szCs w:val="18"/>
                <w:color w:val="auto"/>
              </w:rPr>
            </w:pPr>
          </w:p>
        </w:tc>
      </w:tr>
      <w:tr>
        <w:trPr>
          <w:trHeight w:val="216"/>
        </w:trPr>
        <w:tc>
          <w:tcPr>
            <w:tcW w:w="7560" w:type="dxa"/>
            <w:vAlign w:val="bottom"/>
            <w:tcBorders>
              <w:bottom w:val="single" w:sz="8" w:color="F4F4F4"/>
            </w:tcBorders>
          </w:tcPr>
          <w:p>
            <w:pPr>
              <w:ind w:left="20"/>
              <w:spacing w:after="0"/>
              <w:rPr>
                <w:sz w:val="20"/>
                <w:szCs w:val="20"/>
                <w:color w:val="auto"/>
              </w:rPr>
            </w:pPr>
            <w:r>
              <w:rPr>
                <w:rFonts w:ascii="Arial" w:cs="Arial" w:eastAsia="Arial" w:hAnsi="Arial"/>
                <w:sz w:val="14"/>
                <w:szCs w:val="14"/>
                <w:color w:val="auto"/>
              </w:rPr>
              <w:t>Assumed non-GAAP income tax provision</w:t>
            </w:r>
            <w:r>
              <w:rPr>
                <w:rFonts w:ascii="Arial" w:cs="Arial" w:eastAsia="Arial" w:hAnsi="Arial"/>
                <w:sz w:val="18"/>
                <w:szCs w:val="18"/>
                <w:color w:val="auto"/>
                <w:vertAlign w:val="superscript"/>
              </w:rPr>
              <w:t>(3)</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7.4</w:t>
            </w: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8.2</w:t>
            </w:r>
          </w:p>
        </w:tc>
        <w:tc>
          <w:tcPr>
            <w:tcW w:w="108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8"/>
                <w:szCs w:val="18"/>
                <w:color w:val="auto"/>
              </w:rPr>
            </w:pPr>
          </w:p>
        </w:tc>
      </w:tr>
      <w:tr>
        <w:trPr>
          <w:trHeight w:val="209"/>
        </w:trPr>
        <w:tc>
          <w:tcPr>
            <w:tcW w:w="756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net income</w:t>
            </w:r>
            <w:r>
              <w:rPr>
                <w:rFonts w:ascii="Arial" w:cs="Arial" w:eastAsia="Arial" w:hAnsi="Arial"/>
                <w:sz w:val="18"/>
                <w:szCs w:val="18"/>
                <w:b w:val="1"/>
                <w:bCs w:val="1"/>
                <w:color w:val="auto"/>
                <w:vertAlign w:val="superscript"/>
              </w:rPr>
              <w:t>(1)</w:t>
            </w:r>
          </w:p>
        </w:tc>
        <w:tc>
          <w:tcPr>
            <w:tcW w:w="260" w:type="dxa"/>
            <w:vAlign w:val="bottom"/>
            <w:tcBorders>
              <w:bottom w:val="single" w:sz="8" w:color="auto"/>
            </w:tcBorders>
            <w:shd w:val="clear" w:color="auto" w:fill="F4F4F4"/>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29.5</w:t>
            </w:r>
          </w:p>
        </w:tc>
        <w:tc>
          <w:tcPr>
            <w:tcW w:w="240" w:type="dxa"/>
            <w:vAlign w:val="bottom"/>
            <w:tcBorders>
              <w:bottom w:val="single" w:sz="8" w:color="auto"/>
            </w:tcBorders>
            <w:shd w:val="clear" w:color="auto" w:fill="F4F4F4"/>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32.8</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18"/>
                <w:szCs w:val="18"/>
                <w:color w:val="auto"/>
              </w:rPr>
            </w:pPr>
          </w:p>
        </w:tc>
      </w:tr>
      <w:tr>
        <w:trPr>
          <w:trHeight w:val="129"/>
        </w:trPr>
        <w:tc>
          <w:tcPr>
            <w:tcW w:w="7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16"/>
        </w:trPr>
        <w:tc>
          <w:tcPr>
            <w:tcW w:w="7560" w:type="dxa"/>
            <w:vAlign w:val="bottom"/>
            <w:shd w:val="clear" w:color="auto" w:fill="F4F4F4"/>
          </w:tcPr>
          <w:p>
            <w:pPr>
              <w:ind w:left="20"/>
              <w:spacing w:after="0"/>
              <w:rPr>
                <w:sz w:val="20"/>
                <w:szCs w:val="20"/>
                <w:color w:val="auto"/>
              </w:rPr>
            </w:pPr>
            <w:r>
              <w:rPr>
                <w:rFonts w:ascii="Arial" w:cs="Arial" w:eastAsia="Arial" w:hAnsi="Arial"/>
                <w:sz w:val="14"/>
                <w:szCs w:val="14"/>
                <w:color w:val="auto"/>
              </w:rPr>
              <w:t>Shares used in computing non-GAAP diluted earnings per share</w:t>
            </w:r>
          </w:p>
        </w:tc>
        <w:tc>
          <w:tcPr>
            <w:tcW w:w="260" w:type="dxa"/>
            <w:vAlign w:val="bottom"/>
            <w:shd w:val="clear" w:color="auto" w:fill="F4F4F4"/>
          </w:tcPr>
          <w:p>
            <w:pPr>
              <w:spacing w:after="0"/>
              <w:rPr>
                <w:sz w:val="18"/>
                <w:szCs w:val="18"/>
                <w:color w:val="auto"/>
              </w:rPr>
            </w:pPr>
          </w:p>
        </w:tc>
        <w:tc>
          <w:tcPr>
            <w:tcW w:w="104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52,076,858</w:t>
            </w:r>
          </w:p>
        </w:tc>
        <w:tc>
          <w:tcPr>
            <w:tcW w:w="240" w:type="dxa"/>
            <w:vAlign w:val="bottom"/>
            <w:shd w:val="clear" w:color="auto" w:fill="F4F4F4"/>
          </w:tcPr>
          <w:p>
            <w:pPr>
              <w:spacing w:after="0"/>
              <w:rPr>
                <w:sz w:val="18"/>
                <w:szCs w:val="18"/>
                <w:color w:val="auto"/>
              </w:rPr>
            </w:pPr>
          </w:p>
        </w:tc>
        <w:tc>
          <w:tcPr>
            <w:tcW w:w="106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48,387,042</w:t>
            </w:r>
          </w:p>
        </w:tc>
        <w:tc>
          <w:tcPr>
            <w:tcW w:w="1080" w:type="dxa"/>
            <w:vAlign w:val="bottom"/>
            <w:shd w:val="clear" w:color="auto" w:fill="F4F4F4"/>
          </w:tcPr>
          <w:p>
            <w:pPr>
              <w:jc w:val="right"/>
              <w:spacing w:after="0"/>
              <w:rPr>
                <w:sz w:val="20"/>
                <w:szCs w:val="20"/>
                <w:color w:val="auto"/>
              </w:rPr>
            </w:pPr>
            <w:r>
              <w:rPr>
                <w:rFonts w:ascii="Arial" w:cs="Arial" w:eastAsia="Arial" w:hAnsi="Arial"/>
                <w:sz w:val="14"/>
                <w:szCs w:val="14"/>
                <w:color w:val="auto"/>
              </w:rPr>
              <w:t>7.6 %</w:t>
            </w:r>
          </w:p>
        </w:tc>
        <w:tc>
          <w:tcPr>
            <w:tcW w:w="20" w:type="dxa"/>
            <w:vAlign w:val="bottom"/>
          </w:tcPr>
          <w:p>
            <w:pPr>
              <w:spacing w:after="0"/>
              <w:rPr>
                <w:sz w:val="18"/>
                <w:szCs w:val="18"/>
                <w:color w:val="auto"/>
              </w:rPr>
            </w:pPr>
          </w:p>
        </w:tc>
      </w:tr>
      <w:tr>
        <w:trPr>
          <w:trHeight w:val="210"/>
        </w:trPr>
        <w:tc>
          <w:tcPr>
            <w:tcW w:w="7560" w:type="dxa"/>
            <w:vAlign w:val="bottom"/>
            <w:tcBorders>
              <w:bottom w:val="single" w:sz="8" w:color="71BF43"/>
            </w:tcBorders>
          </w:tcPr>
          <w:p>
            <w:pPr>
              <w:ind w:left="140"/>
              <w:spacing w:after="0"/>
              <w:rPr>
                <w:sz w:val="20"/>
                <w:szCs w:val="20"/>
                <w:color w:val="auto"/>
              </w:rPr>
            </w:pPr>
            <w:r>
              <w:rPr>
                <w:rFonts w:ascii="Arial" w:cs="Arial" w:eastAsia="Arial" w:hAnsi="Arial"/>
                <w:sz w:val="14"/>
                <w:szCs w:val="14"/>
                <w:b w:val="1"/>
                <w:bCs w:val="1"/>
                <w:color w:val="auto"/>
              </w:rPr>
              <w:t>Non-GAAP diluted earnings per share</w:t>
            </w:r>
          </w:p>
        </w:tc>
        <w:tc>
          <w:tcPr>
            <w:tcW w:w="260" w:type="dxa"/>
            <w:vAlign w:val="bottom"/>
            <w:tcBorders>
              <w:bottom w:val="single" w:sz="8" w:color="71BF43"/>
            </w:tcBorders>
          </w:tcPr>
          <w:p>
            <w:pPr>
              <w:jc w:val="right"/>
              <w:ind w:right="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71BF43"/>
            </w:tcBorders>
          </w:tcPr>
          <w:p>
            <w:pPr>
              <w:jc w:val="right"/>
              <w:ind w:right="108"/>
              <w:spacing w:after="0"/>
              <w:rPr>
                <w:sz w:val="20"/>
                <w:szCs w:val="20"/>
                <w:color w:val="auto"/>
              </w:rPr>
            </w:pPr>
            <w:r>
              <w:rPr>
                <w:rFonts w:ascii="Arial" w:cs="Arial" w:eastAsia="Arial" w:hAnsi="Arial"/>
                <w:sz w:val="14"/>
                <w:szCs w:val="14"/>
                <w:color w:val="auto"/>
              </w:rPr>
              <w:t>0.57</w:t>
            </w:r>
          </w:p>
        </w:tc>
        <w:tc>
          <w:tcPr>
            <w:tcW w:w="240" w:type="dxa"/>
            <w:vAlign w:val="bottom"/>
            <w:tcBorders>
              <w:bottom w:val="single" w:sz="8" w:color="71BF43"/>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71BF43"/>
            </w:tcBorders>
          </w:tcPr>
          <w:p>
            <w:pPr>
              <w:jc w:val="right"/>
              <w:ind w:right="108"/>
              <w:spacing w:after="0"/>
              <w:rPr>
                <w:sz w:val="20"/>
                <w:szCs w:val="20"/>
                <w:color w:val="auto"/>
              </w:rPr>
            </w:pPr>
            <w:r>
              <w:rPr>
                <w:rFonts w:ascii="Arial" w:cs="Arial" w:eastAsia="Arial" w:hAnsi="Arial"/>
                <w:sz w:val="14"/>
                <w:szCs w:val="14"/>
                <w:color w:val="auto"/>
              </w:rPr>
              <w:t>0.68</w:t>
            </w:r>
          </w:p>
        </w:tc>
        <w:tc>
          <w:tcPr>
            <w:tcW w:w="108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(16.2)%</w:t>
            </w: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4805680</wp:posOffset>
            </wp:positionH>
            <wp:positionV relativeFrom="paragraph">
              <wp:posOffset>-5271770</wp:posOffset>
            </wp:positionV>
            <wp:extent cx="2339975"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non-GAAP gross profit, subtotal, non-GAAP income from operations or non-GAAP net income due to rounding.</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54"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Includes Security Incident-related costs incurred during the three months ended March 31, 2022 of $9.0 million, net of probable insurance recoveries during the same period of $1.8 million. Recorded expenses consisted primarily of payments to third-party service providers and consultants, including legal fees, as well as settlements of customer claims. Not included in this adjustment were costs associated with enhancements to our cybersecurity program. For full year 2022, we currently expect net cash outlays of approximately $25 million to $35 million for ongoing legal fees related to the Security Incident. In line with our policy, legal fees, are expensed as incurred. We have not recorded a liability for a loss contingency related to the Security Incident as of March 31, 2022 because we are unable at this time to reasonably estimate the possible loss or range of loss.</w:t>
      </w:r>
    </w:p>
    <w:p>
      <w:pPr>
        <w:spacing w:after="0" w:line="2" w:lineRule="exact"/>
        <w:rPr>
          <w:rFonts w:ascii="Arial" w:cs="Arial" w:eastAsia="Arial" w:hAnsi="Arial"/>
          <w:sz w:val="14"/>
          <w:szCs w:val="14"/>
          <w:color w:val="auto"/>
        </w:rPr>
      </w:pPr>
    </w:p>
    <w:p>
      <w:pPr>
        <w:ind w:left="340" w:hanging="332"/>
        <w:spacing w:after="0"/>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We apply a non-GAAP effective tax rate of 20.0% when calculating non-GAAP net income and non-GAAP diluted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220345</wp:posOffset>
            </wp:positionV>
            <wp:extent cx="659765"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4" w:name="page35"/>
    <w:bookmarkEnd w:id="3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organic revenue growth</w:t>
      </w:r>
    </w:p>
    <w:p>
      <w:pPr>
        <w:spacing w:after="0" w:line="189"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In addition, we use non-GAAP organic revenue growth, non-GAAP organic revenue growth on a constant currency basis and non-GAAP organic recurring revenue growth, in analyzing our operating performance. We believe that these non-GAAP measures are useful to investors, as a supplement to GAAP measures, for evaluating the periodic growth of our business on a consistent basis. Each of these measures of non-GAAP organic revenue growth excludes incremental acquisition-related revenue attributable to companies acquired in the current fiscal year. For companies, if any, acquired in the immediately preceding fiscal year, each of these non-GAAP organic revenue growth measures reflects presentation of full year incremental non-GAAP revenue derived from such companies as if they were combined throughout the prior period. In addition, each of these non-GAAP organic revenue growth measures excludes prior period revenue associated with divested businesses. The exclusion of the prior period revenue is to present the results of the divested businesses within the results of the combined company for the same period of time in both the prior and current periods. We believe this presentation provides a more comparable representation of our current business’ organic revenue growth and revenue run-rate.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60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216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8600" w:type="dxa"/>
            <w:vAlign w:val="bottom"/>
            <w:shd w:val="clear" w:color="auto" w:fill="ACACAC"/>
          </w:tcPr>
          <w:p>
            <w:pPr>
              <w:spacing w:after="0"/>
              <w:rPr>
                <w:sz w:val="16"/>
                <w:szCs w:val="16"/>
                <w:color w:val="auto"/>
              </w:rPr>
            </w:pPr>
          </w:p>
        </w:tc>
        <w:tc>
          <w:tcPr>
            <w:tcW w:w="480" w:type="dxa"/>
            <w:vAlign w:val="bottom"/>
            <w:shd w:val="clear" w:color="auto" w:fill="ACACAC"/>
          </w:tcPr>
          <w:p>
            <w:pPr>
              <w:spacing w:after="0"/>
              <w:rPr>
                <w:sz w:val="16"/>
                <w:szCs w:val="16"/>
                <w:color w:val="auto"/>
              </w:rPr>
            </w:pPr>
          </w:p>
        </w:tc>
        <w:tc>
          <w:tcPr>
            <w:tcW w:w="900" w:type="dxa"/>
            <w:vAlign w:val="bottom"/>
            <w:shd w:val="clear" w:color="auto" w:fill="ACACAC"/>
          </w:tcPr>
          <w:p>
            <w:pPr>
              <w:spacing w:after="0"/>
              <w:rPr>
                <w:sz w:val="16"/>
                <w:szCs w:val="16"/>
                <w:color w:val="auto"/>
              </w:rPr>
            </w:pPr>
          </w:p>
        </w:tc>
        <w:tc>
          <w:tcPr>
            <w:tcW w:w="340" w:type="dxa"/>
            <w:vAlign w:val="bottom"/>
            <w:shd w:val="clear" w:color="auto" w:fill="ACACAC"/>
          </w:tcPr>
          <w:p>
            <w:pPr>
              <w:spacing w:after="0"/>
              <w:rPr>
                <w:sz w:val="16"/>
                <w:szCs w:val="16"/>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370"/>
        </w:trPr>
        <w:tc>
          <w:tcPr>
            <w:tcW w:w="86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80" w:type="dxa"/>
            <w:vAlign w:val="bottom"/>
            <w:tcBorders>
              <w:bottom w:val="single" w:sz="8" w:color="ACACAC"/>
            </w:tcBorders>
            <w:shd w:val="clear" w:color="auto" w:fill="ACACAC"/>
          </w:tcPr>
          <w:p>
            <w:pPr>
              <w:spacing w:after="0"/>
              <w:rPr>
                <w:sz w:val="24"/>
                <w:szCs w:val="24"/>
                <w:color w:val="auto"/>
              </w:rPr>
            </w:pPr>
          </w:p>
        </w:tc>
        <w:tc>
          <w:tcPr>
            <w:tcW w:w="90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340" w:type="dxa"/>
            <w:vAlign w:val="bottom"/>
            <w:tcBorders>
              <w:bottom w:val="single" w:sz="8" w:color="ACACAC"/>
            </w:tcBorders>
            <w:shd w:val="clear" w:color="auto" w:fill="ACACAC"/>
          </w:tcPr>
          <w:p>
            <w:pPr>
              <w:spacing w:after="0"/>
              <w:rPr>
                <w:sz w:val="24"/>
                <w:szCs w:val="24"/>
                <w:color w:val="auto"/>
              </w:rPr>
            </w:pPr>
          </w:p>
        </w:tc>
        <w:tc>
          <w:tcPr>
            <w:tcW w:w="92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20" w:type="dxa"/>
            <w:vAlign w:val="bottom"/>
            <w:tcBorders>
              <w:bottom w:val="single" w:sz="8" w:color="ACACAC"/>
            </w:tcBorders>
            <w:shd w:val="clear" w:color="auto" w:fill="ACACAC"/>
          </w:tcPr>
          <w:p>
            <w:pPr>
              <w:spacing w:after="0"/>
              <w:rPr>
                <w:sz w:val="24"/>
                <w:szCs w:val="24"/>
                <w:color w:val="auto"/>
              </w:rPr>
            </w:pPr>
          </w:p>
        </w:tc>
      </w:tr>
      <w:tr>
        <w:trPr>
          <w:trHeight w:val="216"/>
        </w:trPr>
        <w:tc>
          <w:tcPr>
            <w:tcW w:w="860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revenue</w:t>
            </w:r>
          </w:p>
        </w:tc>
        <w:tc>
          <w:tcPr>
            <w:tcW w:w="480" w:type="dxa"/>
            <w:vAlign w:val="bottom"/>
            <w:shd w:val="clear" w:color="auto" w:fill="F4F4F4"/>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257.1</w:t>
            </w:r>
          </w:p>
        </w:tc>
        <w:tc>
          <w:tcPr>
            <w:tcW w:w="340" w:type="dxa"/>
            <w:vAlign w:val="bottom"/>
            <w:shd w:val="clear" w:color="auto" w:fill="F4F4F4"/>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219.2</w:t>
            </w:r>
          </w:p>
        </w:tc>
        <w:tc>
          <w:tcPr>
            <w:tcW w:w="20" w:type="dxa"/>
            <w:vAlign w:val="bottom"/>
          </w:tcPr>
          <w:p>
            <w:pPr>
              <w:spacing w:after="0"/>
              <w:rPr>
                <w:sz w:val="18"/>
                <w:szCs w:val="18"/>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GAAP revenue growth</w:t>
            </w:r>
          </w:p>
        </w:tc>
        <w:tc>
          <w:tcPr>
            <w:tcW w:w="4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17.3 %</w:t>
            </w: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8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Non-GAAP acquisition-related revenue</w:t>
            </w:r>
            <w:r>
              <w:rPr>
                <w:rFonts w:ascii="Arial" w:cs="Arial" w:eastAsia="Arial" w:hAnsi="Arial"/>
                <w:sz w:val="18"/>
                <w:szCs w:val="18"/>
                <w:color w:val="auto"/>
                <w:vertAlign w:val="superscript"/>
              </w:rPr>
              <w:t>(1)</w:t>
            </w:r>
          </w:p>
        </w:tc>
        <w:tc>
          <w:tcPr>
            <w:tcW w:w="480" w:type="dxa"/>
            <w:vAlign w:val="bottom"/>
            <w:tcBorders>
              <w:bottom w:val="single" w:sz="8" w:color="auto"/>
            </w:tcBorders>
            <w:shd w:val="clear" w:color="auto" w:fill="F4F4F4"/>
          </w:tcPr>
          <w:p>
            <w:pPr>
              <w:spacing w:after="0"/>
              <w:rPr>
                <w:sz w:val="19"/>
                <w:szCs w:val="19"/>
                <w:color w:val="auto"/>
              </w:rPr>
            </w:pPr>
          </w:p>
        </w:tc>
        <w:tc>
          <w:tcPr>
            <w:tcW w:w="90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shd w:val="clear" w:color="auto" w:fill="F4F4F4"/>
          </w:tcPr>
          <w:p>
            <w:pPr>
              <w:spacing w:after="0"/>
              <w:rPr>
                <w:sz w:val="19"/>
                <w:szCs w:val="19"/>
                <w:color w:val="auto"/>
              </w:rPr>
            </w:pP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25.2</w:t>
            </w:r>
          </w:p>
        </w:tc>
        <w:tc>
          <w:tcPr>
            <w:tcW w:w="20" w:type="dxa"/>
            <w:vAlign w:val="bottom"/>
          </w:tcPr>
          <w:p>
            <w:pPr>
              <w:spacing w:after="0"/>
              <w:rPr>
                <w:sz w:val="19"/>
                <w:szCs w:val="19"/>
                <w:color w:val="auto"/>
              </w:rPr>
            </w:pPr>
          </w:p>
        </w:tc>
      </w:tr>
      <w:tr>
        <w:trPr>
          <w:trHeight w:val="209"/>
        </w:trPr>
        <w:tc>
          <w:tcPr>
            <w:tcW w:w="8600" w:type="dxa"/>
            <w:vAlign w:val="bottom"/>
            <w:tcBorders>
              <w:bottom w:val="single" w:sz="8" w:color="F4F4F4"/>
            </w:tcBorders>
          </w:tcPr>
          <w:p>
            <w:pPr>
              <w:ind w:left="20"/>
              <w:spacing w:after="0"/>
              <w:rPr>
                <w:sz w:val="20"/>
                <w:szCs w:val="20"/>
                <w:color w:val="auto"/>
              </w:rPr>
            </w:pPr>
            <w:r>
              <w:rPr>
                <w:rFonts w:ascii="Arial" w:cs="Arial" w:eastAsia="Arial" w:hAnsi="Arial"/>
                <w:sz w:val="14"/>
                <w:szCs w:val="14"/>
                <w:color w:val="auto"/>
              </w:rPr>
              <w:t>Non-GAAP organic revenue</w:t>
            </w:r>
            <w:r>
              <w:rPr>
                <w:rFonts w:ascii="Arial" w:cs="Arial" w:eastAsia="Arial" w:hAnsi="Arial"/>
                <w:sz w:val="18"/>
                <w:szCs w:val="18"/>
                <w:color w:val="auto"/>
                <w:vertAlign w:val="superscript"/>
              </w:rPr>
              <w:t>(2)</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257.1</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244.4</w:t>
            </w:r>
          </w:p>
        </w:tc>
        <w:tc>
          <w:tcPr>
            <w:tcW w:w="20" w:type="dxa"/>
            <w:vAlign w:val="bottom"/>
          </w:tcPr>
          <w:p>
            <w:pPr>
              <w:spacing w:after="0"/>
              <w:rPr>
                <w:sz w:val="18"/>
                <w:szCs w:val="18"/>
                <w:color w:val="auto"/>
              </w:rPr>
            </w:pPr>
          </w:p>
        </w:tc>
      </w:tr>
      <w:tr>
        <w:trPr>
          <w:trHeight w:val="210"/>
        </w:trPr>
        <w:tc>
          <w:tcPr>
            <w:tcW w:w="86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Non-GAAP organic revenue growth</w:t>
            </w:r>
          </w:p>
        </w:tc>
        <w:tc>
          <w:tcPr>
            <w:tcW w:w="480" w:type="dxa"/>
            <w:vAlign w:val="bottom"/>
            <w:shd w:val="clear" w:color="auto" w:fill="F4F4F4"/>
          </w:tcPr>
          <w:p>
            <w:pPr>
              <w:spacing w:after="0"/>
              <w:rPr>
                <w:sz w:val="18"/>
                <w:szCs w:val="18"/>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5.2 %</w:t>
            </w:r>
          </w:p>
        </w:tc>
        <w:tc>
          <w:tcPr>
            <w:tcW w:w="340" w:type="dxa"/>
            <w:vAlign w:val="bottom"/>
            <w:shd w:val="clear" w:color="auto" w:fill="F4F4F4"/>
          </w:tcPr>
          <w:p>
            <w:pPr>
              <w:spacing w:after="0"/>
              <w:rPr>
                <w:sz w:val="18"/>
                <w:szCs w:val="18"/>
                <w:color w:val="auto"/>
              </w:rPr>
            </w:pPr>
          </w:p>
        </w:tc>
        <w:tc>
          <w:tcPr>
            <w:tcW w:w="920" w:type="dxa"/>
            <w:vAlign w:val="bottom"/>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148"/>
        </w:trPr>
        <w:tc>
          <w:tcPr>
            <w:tcW w:w="8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860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revenue</w:t>
            </w:r>
            <w:r>
              <w:rPr>
                <w:rFonts w:ascii="Arial" w:cs="Arial" w:eastAsia="Arial" w:hAnsi="Arial"/>
                <w:sz w:val="18"/>
                <w:szCs w:val="18"/>
                <w:color w:val="auto"/>
                <w:vertAlign w:val="superscript"/>
              </w:rPr>
              <w:t>(2)</w:t>
            </w:r>
          </w:p>
        </w:tc>
        <w:tc>
          <w:tcPr>
            <w:tcW w:w="480" w:type="dxa"/>
            <w:vAlign w:val="bottom"/>
            <w:shd w:val="clear" w:color="auto" w:fill="F4F4F4"/>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shd w:val="clear" w:color="auto" w:fill="F4F4F4"/>
          </w:tcPr>
          <w:p>
            <w:pPr>
              <w:jc w:val="right"/>
              <w:ind w:right="108"/>
              <w:spacing w:after="0"/>
              <w:rPr>
                <w:sz w:val="20"/>
                <w:szCs w:val="20"/>
                <w:color w:val="auto"/>
              </w:rPr>
            </w:pPr>
            <w:r>
              <w:rPr>
                <w:rFonts w:ascii="Arial" w:cs="Arial" w:eastAsia="Arial" w:hAnsi="Arial"/>
                <w:sz w:val="14"/>
                <w:szCs w:val="14"/>
                <w:color w:val="auto"/>
              </w:rPr>
              <w:t>257.1</w:t>
            </w:r>
          </w:p>
        </w:tc>
        <w:tc>
          <w:tcPr>
            <w:tcW w:w="340" w:type="dxa"/>
            <w:vAlign w:val="bottom"/>
            <w:shd w:val="clear" w:color="auto" w:fill="F4F4F4"/>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244.4</w:t>
            </w:r>
          </w:p>
        </w:tc>
        <w:tc>
          <w:tcPr>
            <w:tcW w:w="20" w:type="dxa"/>
            <w:vAlign w:val="bottom"/>
          </w:tcPr>
          <w:p>
            <w:pPr>
              <w:spacing w:after="0"/>
              <w:rPr>
                <w:sz w:val="18"/>
                <w:szCs w:val="18"/>
                <w:color w:val="auto"/>
              </w:rPr>
            </w:pPr>
          </w:p>
        </w:tc>
      </w:tr>
      <w:tr>
        <w:trPr>
          <w:trHeight w:val="216"/>
        </w:trPr>
        <w:tc>
          <w:tcPr>
            <w:tcW w:w="8600" w:type="dxa"/>
            <w:vAlign w:val="bottom"/>
            <w:tcBorders>
              <w:bottom w:val="single" w:sz="8" w:color="F4F4F4"/>
            </w:tcBorders>
          </w:tcPr>
          <w:p>
            <w:pPr>
              <w:ind w:left="20"/>
              <w:spacing w:after="0"/>
              <w:rPr>
                <w:sz w:val="20"/>
                <w:szCs w:val="20"/>
                <w:color w:val="auto"/>
              </w:rPr>
            </w:pPr>
            <w:r>
              <w:rPr>
                <w:rFonts w:ascii="Arial" w:cs="Arial" w:eastAsia="Arial" w:hAnsi="Arial"/>
                <w:sz w:val="14"/>
                <w:szCs w:val="14"/>
                <w:color w:val="auto"/>
              </w:rPr>
              <w:t>Foreign currency impact on Non-GAAP organic revenue</w:t>
            </w:r>
            <w:r>
              <w:rPr>
                <w:rFonts w:ascii="Arial" w:cs="Arial" w:eastAsia="Arial" w:hAnsi="Arial"/>
                <w:sz w:val="18"/>
                <w:szCs w:val="18"/>
                <w:color w:val="auto"/>
                <w:vertAlign w:val="superscript"/>
              </w:rPr>
              <w:t>(3)</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0.9</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8"/>
                <w:szCs w:val="18"/>
                <w:color w:val="auto"/>
              </w:rPr>
            </w:pPr>
          </w:p>
        </w:tc>
      </w:tr>
      <w:tr>
        <w:trPr>
          <w:trHeight w:val="210"/>
        </w:trPr>
        <w:tc>
          <w:tcPr>
            <w:tcW w:w="860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revenue on constant currency basis</w:t>
            </w:r>
            <w:r>
              <w:rPr>
                <w:rFonts w:ascii="Arial" w:cs="Arial" w:eastAsia="Arial" w:hAnsi="Arial"/>
                <w:sz w:val="18"/>
                <w:szCs w:val="18"/>
                <w:color w:val="auto"/>
                <w:vertAlign w:val="superscript"/>
              </w:rPr>
              <w:t>(3)</w:t>
            </w:r>
          </w:p>
        </w:tc>
        <w:tc>
          <w:tcPr>
            <w:tcW w:w="480" w:type="dxa"/>
            <w:vAlign w:val="bottom"/>
            <w:tcBorders>
              <w:bottom w:val="single" w:sz="8" w:color="auto"/>
            </w:tcBorders>
            <w:shd w:val="clear" w:color="auto" w:fill="F4F4F4"/>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258.0</w:t>
            </w:r>
          </w:p>
        </w:tc>
        <w:tc>
          <w:tcPr>
            <w:tcW w:w="340" w:type="dxa"/>
            <w:vAlign w:val="bottom"/>
            <w:tcBorders>
              <w:bottom w:val="single" w:sz="8" w:color="auto"/>
            </w:tcBorders>
            <w:shd w:val="clear" w:color="auto" w:fill="F4F4F4"/>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244.4</w:t>
            </w:r>
          </w:p>
        </w:tc>
        <w:tc>
          <w:tcPr>
            <w:tcW w:w="20" w:type="dxa"/>
            <w:vAlign w:val="bottom"/>
          </w:tcPr>
          <w:p>
            <w:pPr>
              <w:spacing w:after="0"/>
              <w:rPr>
                <w:sz w:val="18"/>
                <w:szCs w:val="18"/>
                <w:color w:val="auto"/>
              </w:rPr>
            </w:pPr>
          </w:p>
        </w:tc>
      </w:tr>
      <w:tr>
        <w:trPr>
          <w:trHeight w:val="203"/>
        </w:trPr>
        <w:tc>
          <w:tcPr>
            <w:tcW w:w="8600" w:type="dxa"/>
            <w:vAlign w:val="bottom"/>
          </w:tcPr>
          <w:p>
            <w:pPr>
              <w:ind w:left="20"/>
              <w:spacing w:after="0"/>
              <w:rPr>
                <w:sz w:val="20"/>
                <w:szCs w:val="20"/>
                <w:color w:val="auto"/>
              </w:rPr>
            </w:pPr>
            <w:r>
              <w:rPr>
                <w:rFonts w:ascii="Arial" w:cs="Arial" w:eastAsia="Arial" w:hAnsi="Arial"/>
                <w:sz w:val="14"/>
                <w:szCs w:val="14"/>
                <w:b w:val="1"/>
                <w:bCs w:val="1"/>
                <w:color w:val="auto"/>
              </w:rPr>
              <w:t>Non-GAAP organic revenue growth on constant currency basis</w:t>
            </w:r>
          </w:p>
        </w:tc>
        <w:tc>
          <w:tcPr>
            <w:tcW w:w="4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5.6 %</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8600" w:type="dxa"/>
            <w:vAlign w:val="bottom"/>
            <w:shd w:val="clear" w:color="auto" w:fill="F4F4F4"/>
          </w:tcPr>
          <w:p>
            <w:pPr>
              <w:spacing w:after="0"/>
              <w:rPr>
                <w:sz w:val="13"/>
                <w:szCs w:val="13"/>
                <w:color w:val="auto"/>
              </w:rPr>
            </w:pPr>
          </w:p>
        </w:tc>
        <w:tc>
          <w:tcPr>
            <w:tcW w:w="480" w:type="dxa"/>
            <w:vAlign w:val="bottom"/>
            <w:shd w:val="clear" w:color="auto" w:fill="F4F4F4"/>
          </w:tcPr>
          <w:p>
            <w:pPr>
              <w:spacing w:after="0"/>
              <w:rPr>
                <w:sz w:val="13"/>
                <w:szCs w:val="13"/>
                <w:color w:val="auto"/>
              </w:rPr>
            </w:pPr>
          </w:p>
        </w:tc>
        <w:tc>
          <w:tcPr>
            <w:tcW w:w="900" w:type="dxa"/>
            <w:vAlign w:val="bottom"/>
            <w:shd w:val="clear" w:color="auto" w:fill="F4F4F4"/>
          </w:tcPr>
          <w:p>
            <w:pPr>
              <w:spacing w:after="0"/>
              <w:rPr>
                <w:sz w:val="13"/>
                <w:szCs w:val="13"/>
                <w:color w:val="auto"/>
              </w:rPr>
            </w:pPr>
          </w:p>
        </w:tc>
        <w:tc>
          <w:tcPr>
            <w:tcW w:w="340" w:type="dxa"/>
            <w:vAlign w:val="bottom"/>
            <w:shd w:val="clear" w:color="auto" w:fill="F4F4F4"/>
          </w:tcPr>
          <w:p>
            <w:pPr>
              <w:spacing w:after="0"/>
              <w:rPr>
                <w:sz w:val="13"/>
                <w:szCs w:val="13"/>
                <w:color w:val="auto"/>
              </w:rPr>
            </w:pPr>
          </w:p>
        </w:tc>
        <w:tc>
          <w:tcPr>
            <w:tcW w:w="920" w:type="dxa"/>
            <w:vAlign w:val="bottom"/>
            <w:shd w:val="clear" w:color="auto" w:fill="F4F4F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8600" w:type="dxa"/>
            <w:vAlign w:val="bottom"/>
          </w:tcPr>
          <w:p>
            <w:pPr>
              <w:ind w:left="20"/>
              <w:spacing w:after="0"/>
              <w:rPr>
                <w:sz w:val="20"/>
                <w:szCs w:val="20"/>
                <w:color w:val="auto"/>
              </w:rPr>
            </w:pPr>
            <w:r>
              <w:rPr>
                <w:rFonts w:ascii="Arial" w:cs="Arial" w:eastAsia="Arial" w:hAnsi="Arial"/>
                <w:sz w:val="14"/>
                <w:szCs w:val="14"/>
                <w:color w:val="auto"/>
              </w:rPr>
              <w:t>GAAP recurring revenue</w:t>
            </w: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244.7</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206.8</w:t>
            </w:r>
          </w:p>
        </w:tc>
        <w:tc>
          <w:tcPr>
            <w:tcW w:w="20" w:type="dxa"/>
            <w:vAlign w:val="bottom"/>
          </w:tcPr>
          <w:p>
            <w:pPr>
              <w:spacing w:after="0"/>
              <w:rPr>
                <w:sz w:val="18"/>
                <w:szCs w:val="18"/>
                <w:color w:val="auto"/>
              </w:rPr>
            </w:pPr>
          </w:p>
        </w:tc>
      </w:tr>
      <w:tr>
        <w:trPr>
          <w:trHeight w:val="222"/>
        </w:trPr>
        <w:tc>
          <w:tcPr>
            <w:tcW w:w="86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recurring revenue growth</w:t>
            </w:r>
          </w:p>
        </w:tc>
        <w:tc>
          <w:tcPr>
            <w:tcW w:w="480" w:type="dxa"/>
            <w:vAlign w:val="bottom"/>
            <w:shd w:val="clear" w:color="auto" w:fill="F4F4F4"/>
          </w:tcPr>
          <w:p>
            <w:pPr>
              <w:spacing w:after="0"/>
              <w:rPr>
                <w:sz w:val="19"/>
                <w:szCs w:val="19"/>
                <w:color w:val="auto"/>
              </w:rPr>
            </w:pPr>
          </w:p>
        </w:tc>
        <w:tc>
          <w:tcPr>
            <w:tcW w:w="90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18.3 %</w:t>
            </w:r>
          </w:p>
        </w:tc>
        <w:tc>
          <w:tcPr>
            <w:tcW w:w="340" w:type="dxa"/>
            <w:vAlign w:val="bottom"/>
            <w:shd w:val="clear" w:color="auto" w:fill="F4F4F4"/>
          </w:tcPr>
          <w:p>
            <w:pPr>
              <w:spacing w:after="0"/>
              <w:rPr>
                <w:sz w:val="19"/>
                <w:szCs w:val="19"/>
                <w:color w:val="auto"/>
              </w:rPr>
            </w:pPr>
          </w:p>
        </w:tc>
        <w:tc>
          <w:tcPr>
            <w:tcW w:w="920" w:type="dxa"/>
            <w:vAlign w:val="bottom"/>
            <w:shd w:val="clear" w:color="auto" w:fill="F4F4F4"/>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860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Non-GAAP acquisition-related revenue</w:t>
            </w:r>
            <w:r>
              <w:rPr>
                <w:rFonts w:ascii="Arial" w:cs="Arial" w:eastAsia="Arial" w:hAnsi="Arial"/>
                <w:sz w:val="18"/>
                <w:szCs w:val="18"/>
                <w:color w:val="auto"/>
                <w:vertAlign w:val="superscript"/>
              </w:rPr>
              <w:t>(1)</w:t>
            </w:r>
          </w:p>
        </w:tc>
        <w:tc>
          <w:tcPr>
            <w:tcW w:w="4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22.8</w:t>
            </w:r>
          </w:p>
        </w:tc>
        <w:tc>
          <w:tcPr>
            <w:tcW w:w="20" w:type="dxa"/>
            <w:vAlign w:val="bottom"/>
          </w:tcPr>
          <w:p>
            <w:pPr>
              <w:spacing w:after="0"/>
              <w:rPr>
                <w:sz w:val="18"/>
                <w:szCs w:val="18"/>
                <w:color w:val="auto"/>
              </w:rPr>
            </w:pPr>
          </w:p>
        </w:tc>
      </w:tr>
      <w:tr>
        <w:trPr>
          <w:trHeight w:val="203"/>
        </w:trPr>
        <w:tc>
          <w:tcPr>
            <w:tcW w:w="860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organic recurring revenue</w:t>
            </w:r>
          </w:p>
        </w:tc>
        <w:tc>
          <w:tcPr>
            <w:tcW w:w="480" w:type="dxa"/>
            <w:vAlign w:val="bottom"/>
            <w:tcBorders>
              <w:bottom w:val="single" w:sz="8" w:color="auto"/>
            </w:tcBorders>
            <w:shd w:val="clear" w:color="auto" w:fill="F4F4F4"/>
          </w:tcPr>
          <w:p>
            <w:pPr>
              <w:jc w:val="right"/>
              <w:ind w:right="30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F4F4F4"/>
          </w:tcPr>
          <w:p>
            <w:pPr>
              <w:jc w:val="right"/>
              <w:ind w:right="108"/>
              <w:spacing w:after="0"/>
              <w:rPr>
                <w:sz w:val="20"/>
                <w:szCs w:val="20"/>
                <w:color w:val="auto"/>
              </w:rPr>
            </w:pPr>
            <w:r>
              <w:rPr>
                <w:rFonts w:ascii="Arial" w:cs="Arial" w:eastAsia="Arial" w:hAnsi="Arial"/>
                <w:sz w:val="14"/>
                <w:szCs w:val="14"/>
                <w:color w:val="auto"/>
              </w:rPr>
              <w:t>244.7</w:t>
            </w:r>
          </w:p>
        </w:tc>
        <w:tc>
          <w:tcPr>
            <w:tcW w:w="340" w:type="dxa"/>
            <w:vAlign w:val="bottom"/>
            <w:tcBorders>
              <w:bottom w:val="single" w:sz="8" w:color="auto"/>
            </w:tcBorders>
            <w:shd w:val="clear" w:color="auto" w:fill="F4F4F4"/>
          </w:tcPr>
          <w:p>
            <w:pPr>
              <w:jc w:val="right"/>
              <w:ind w:right="1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229.5</w:t>
            </w:r>
          </w:p>
        </w:tc>
        <w:tc>
          <w:tcPr>
            <w:tcW w:w="20" w:type="dxa"/>
            <w:vAlign w:val="bottom"/>
          </w:tcPr>
          <w:p>
            <w:pPr>
              <w:spacing w:after="0"/>
              <w:rPr>
                <w:sz w:val="17"/>
                <w:szCs w:val="17"/>
                <w:color w:val="auto"/>
              </w:rPr>
            </w:pPr>
          </w:p>
        </w:tc>
      </w:tr>
      <w:tr>
        <w:trPr>
          <w:trHeight w:val="210"/>
        </w:trPr>
        <w:tc>
          <w:tcPr>
            <w:tcW w:w="860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Non-GAAP organic recurring revenue growth</w:t>
            </w:r>
          </w:p>
        </w:tc>
        <w:tc>
          <w:tcPr>
            <w:tcW w:w="480" w:type="dxa"/>
            <w:vAlign w:val="bottom"/>
            <w:tcBorders>
              <w:bottom w:val="single" w:sz="8" w:color="71BF43"/>
            </w:tcBorders>
          </w:tcPr>
          <w:p>
            <w:pPr>
              <w:spacing w:after="0"/>
              <w:rPr>
                <w:sz w:val="18"/>
                <w:szCs w:val="18"/>
                <w:color w:val="auto"/>
              </w:rPr>
            </w:pPr>
          </w:p>
        </w:tc>
        <w:tc>
          <w:tcPr>
            <w:tcW w:w="900" w:type="dxa"/>
            <w:vAlign w:val="bottom"/>
            <w:tcBorders>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6.6 %</w:t>
            </w:r>
          </w:p>
        </w:tc>
        <w:tc>
          <w:tcPr>
            <w:tcW w:w="340" w:type="dxa"/>
            <w:vAlign w:val="bottom"/>
            <w:tcBorders>
              <w:bottom w:val="single" w:sz="8" w:color="71BF43"/>
            </w:tcBorders>
          </w:tcPr>
          <w:p>
            <w:pPr>
              <w:spacing w:after="0"/>
              <w:rPr>
                <w:sz w:val="18"/>
                <w:szCs w:val="18"/>
                <w:color w:val="auto"/>
              </w:rPr>
            </w:pPr>
          </w:p>
        </w:tc>
        <w:tc>
          <w:tcPr>
            <w:tcW w:w="920" w:type="dxa"/>
            <w:vAlign w:val="bottom"/>
            <w:tcBorders>
              <w:bottom w:val="single" w:sz="8" w:color="71BF43"/>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-2407920</wp:posOffset>
            </wp:positionV>
            <wp:extent cx="168021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79" w:lineRule="exact"/>
        <w:rPr>
          <w:sz w:val="20"/>
          <w:szCs w:val="20"/>
          <w:color w:val="auto"/>
        </w:rPr>
      </w:pPr>
    </w:p>
    <w:p>
      <w:pPr>
        <w:jc w:val="both"/>
        <w:ind w:left="340" w:right="20" w:hanging="332"/>
        <w:spacing w:after="0" w:line="241" w:lineRule="auto"/>
        <w:tabs>
          <w:tab w:leader="none" w:pos="3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Non-GAAP acquisition-related revenue excludes incremental acquisition-related revenue calculated in accordance with GAAP that is attributable to companies acquired in the current fiscal year. For companies acquired in the immediately preceding fiscal year, non-GAAP acquisition-related revenue reflects presentation of full-year incremental non-GAAP revenue derived from such companies, as if they were combined throughout the prior period.</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Non-GAAP organic revenue for the prior year periods presented herein will not agree to non-GAAP organic revenue presented in the respective prior period quarterly financial information solely due to the manner in which non-GAAP organic revenue growth is calculated.</w:t>
      </w:r>
    </w:p>
    <w:p>
      <w:pPr>
        <w:jc w:val="both"/>
        <w:ind w:left="340" w:right="20" w:hanging="332"/>
        <w:spacing w:after="0" w:line="249" w:lineRule="auto"/>
        <w:tabs>
          <w:tab w:leader="none" w:pos="354" w:val="left"/>
        </w:tabs>
        <w:numPr>
          <w:ilvl w:val="0"/>
          <w:numId w:val="36"/>
        </w:numPr>
        <w:rPr>
          <w:rFonts w:ascii="Arial" w:cs="Arial" w:eastAsia="Arial" w:hAnsi="Arial"/>
          <w:sz w:val="14"/>
          <w:szCs w:val="14"/>
          <w:color w:val="auto"/>
        </w:rPr>
      </w:pPr>
      <w:r>
        <w:rPr>
          <w:rFonts w:ascii="Arial" w:cs="Arial" w:eastAsia="Arial" w:hAnsi="Arial"/>
          <w:sz w:val="14"/>
          <w:szCs w:val="14"/>
          <w:color w:val="auto"/>
        </w:rPr>
        <w:t>To determine non-GAAP organic revenue growth on a constant currency basis, revenues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301"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34</w:t>
      </w:r>
      <w:r>
        <w:rPr>
          <w:sz w:val="20"/>
          <w:szCs w:val="20"/>
          <w:color w:val="auto"/>
        </w:rPr>
        <w:tab/>
      </w:r>
      <w:r>
        <w:rPr>
          <w:sz w:val="1"/>
          <w:szCs w:val="1"/>
          <w:color w:val="auto"/>
        </w:rPr>
        <w:drawing>
          <wp:inline distT="0" distB="0" distL="0" distR="0">
            <wp:extent cx="651510" cy="1714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5" w:name="page36"/>
    <w:bookmarkEnd w:id="3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Rule of 40</w:t>
      </w:r>
    </w:p>
    <w:p>
      <w:pPr>
        <w:spacing w:after="0" w:line="189"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Rule of 40 is defined as non-GAAP organic revenue growth plus non-GAAP adjusted EBITDA margin. Non-GAAP adjusted EBITDA is defined as GAAP net income plus interest, net; income tax provision (benefit); depreciation; amortization of intangible assets from business combinations; amortization of software development costs; stock-based compensation; acquisition-related integration costs; acquisition-related expenses; employee severance; restructuring and other real estate activities; and Security Incident-related costs, net of insurance.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86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18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76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86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72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255"/>
        </w:trPr>
        <w:tc>
          <w:tcPr>
            <w:tcW w:w="760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shd w:val="clear" w:color="auto" w:fill="ACACAC"/>
          </w:tcPr>
          <w:p>
            <w:pPr>
              <w:spacing w:after="0"/>
              <w:rPr>
                <w:sz w:val="22"/>
                <w:szCs w:val="22"/>
                <w:color w:val="auto"/>
              </w:rPr>
            </w:pPr>
          </w:p>
        </w:tc>
        <w:tc>
          <w:tcPr>
            <w:tcW w:w="8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60" w:type="dxa"/>
            <w:vAlign w:val="bottom"/>
            <w:shd w:val="clear" w:color="auto" w:fill="ACACAC"/>
          </w:tcPr>
          <w:p>
            <w:pPr>
              <w:spacing w:after="0"/>
              <w:rPr>
                <w:sz w:val="22"/>
                <w:szCs w:val="22"/>
                <w:color w:val="auto"/>
              </w:rPr>
            </w:pPr>
          </w:p>
        </w:tc>
        <w:tc>
          <w:tcPr>
            <w:tcW w:w="720" w:type="dxa"/>
            <w:vAlign w:val="bottom"/>
            <w:shd w:val="clear" w:color="auto" w:fill="ACACAC"/>
          </w:tcPr>
          <w:p>
            <w:pPr>
              <w:jc w:val="center"/>
              <w:ind w:left="288"/>
              <w:spacing w:after="0"/>
              <w:rPr>
                <w:sz w:val="20"/>
                <w:szCs w:val="20"/>
                <w:color w:val="auto"/>
              </w:rPr>
            </w:pPr>
            <w:r>
              <w:rPr>
                <w:rFonts w:ascii="Arial" w:cs="Arial" w:eastAsia="Arial" w:hAnsi="Arial"/>
                <w:sz w:val="14"/>
                <w:szCs w:val="14"/>
                <w:b w:val="1"/>
                <w:bCs w:val="1"/>
                <w:color w:val="FFFFFF"/>
              </w:rPr>
              <w:t>2021</w:t>
            </w: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shd w:val="clear" w:color="auto" w:fill="ACACAC"/>
          </w:tcPr>
          <w:p>
            <w:pPr>
              <w:spacing w:after="0"/>
              <w:rPr>
                <w:sz w:val="22"/>
                <w:szCs w:val="22"/>
                <w:color w:val="auto"/>
              </w:rPr>
            </w:pPr>
          </w:p>
        </w:tc>
      </w:tr>
      <w:tr>
        <w:trPr>
          <w:trHeight w:val="216"/>
        </w:trPr>
        <w:tc>
          <w:tcPr>
            <w:tcW w:w="7600" w:type="dxa"/>
            <w:vAlign w:val="bottom"/>
            <w:shd w:val="clear" w:color="auto" w:fill="F4F4F4"/>
          </w:tcPr>
          <w:p>
            <w:pPr>
              <w:ind w:left="20"/>
              <w:spacing w:after="0"/>
              <w:rPr>
                <w:sz w:val="20"/>
                <w:szCs w:val="20"/>
                <w:color w:val="auto"/>
              </w:rPr>
            </w:pPr>
            <w:r>
              <w:rPr>
                <w:rFonts w:ascii="Arial" w:cs="Arial" w:eastAsia="Arial" w:hAnsi="Arial"/>
                <w:sz w:val="14"/>
                <w:szCs w:val="14"/>
                <w:color w:val="auto"/>
              </w:rPr>
              <w:t>GAAP net loss</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shd w:val="clear" w:color="auto" w:fill="F4F4F4"/>
          </w:tcPr>
          <w:p>
            <w:pPr>
              <w:jc w:val="right"/>
              <w:ind w:right="88"/>
              <w:spacing w:after="0"/>
              <w:rPr>
                <w:sz w:val="20"/>
                <w:szCs w:val="20"/>
                <w:color w:val="auto"/>
              </w:rPr>
            </w:pPr>
            <w:r>
              <w:rPr>
                <w:rFonts w:ascii="Arial" w:cs="Arial" w:eastAsia="Arial" w:hAnsi="Arial"/>
                <w:sz w:val="14"/>
                <w:szCs w:val="14"/>
                <w:color w:val="auto"/>
              </w:rPr>
              <w:t>(10.4)</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4F4"/>
          </w:tcPr>
          <w:p>
            <w:pPr>
              <w:jc w:val="center"/>
              <w:ind w:left="308"/>
              <w:spacing w:after="0"/>
              <w:rPr>
                <w:sz w:val="20"/>
                <w:szCs w:val="20"/>
                <w:color w:val="auto"/>
              </w:rPr>
            </w:pPr>
            <w:r>
              <w:rPr>
                <w:rFonts w:ascii="Arial" w:cs="Arial" w:eastAsia="Arial" w:hAnsi="Arial"/>
                <w:sz w:val="14"/>
                <w:szCs w:val="14"/>
                <w:color w:val="auto"/>
              </w:rPr>
              <w:t>(0.2)</w:t>
            </w:r>
          </w:p>
        </w:tc>
        <w:tc>
          <w:tcPr>
            <w:tcW w:w="11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6,245.7 %</w:t>
            </w:r>
          </w:p>
        </w:tc>
        <w:tc>
          <w:tcPr>
            <w:tcW w:w="20" w:type="dxa"/>
            <w:vAlign w:val="bottom"/>
          </w:tcPr>
          <w:p>
            <w:pPr>
              <w:spacing w:after="0"/>
              <w:rPr>
                <w:sz w:val="18"/>
                <w:szCs w:val="18"/>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Interest, net</w:t>
            </w:r>
          </w:p>
        </w:tc>
        <w:tc>
          <w:tcPr>
            <w:tcW w:w="46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7.5</w:t>
            </w:r>
          </w:p>
        </w:tc>
        <w:tc>
          <w:tcPr>
            <w:tcW w:w="460" w:type="dxa"/>
            <w:vAlign w:val="bottom"/>
            <w:shd w:val="clear" w:color="auto" w:fill="F4F4F4"/>
          </w:tcPr>
          <w:p>
            <w:pPr>
              <w:spacing w:after="0"/>
              <w:rPr>
                <w:sz w:val="19"/>
                <w:szCs w:val="19"/>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5.0</w:t>
            </w:r>
          </w:p>
        </w:tc>
        <w:tc>
          <w:tcPr>
            <w:tcW w:w="11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50.7 %</w:t>
            </w:r>
          </w:p>
        </w:tc>
        <w:tc>
          <w:tcPr>
            <w:tcW w:w="20" w:type="dxa"/>
            <w:vAlign w:val="bottom"/>
          </w:tcPr>
          <w:p>
            <w:pPr>
              <w:spacing w:after="0"/>
              <w:rPr>
                <w:sz w:val="19"/>
                <w:szCs w:val="19"/>
                <w:color w:val="auto"/>
              </w:rPr>
            </w:pPr>
          </w:p>
        </w:tc>
      </w:tr>
      <w:tr>
        <w:trPr>
          <w:trHeight w:val="210"/>
        </w:trPr>
        <w:tc>
          <w:tcPr>
            <w:tcW w:w="7600" w:type="dxa"/>
            <w:vAlign w:val="bottom"/>
          </w:tcPr>
          <w:p>
            <w:pPr>
              <w:ind w:left="140"/>
              <w:spacing w:after="0"/>
              <w:rPr>
                <w:sz w:val="20"/>
                <w:szCs w:val="20"/>
                <w:color w:val="auto"/>
              </w:rPr>
            </w:pPr>
            <w:r>
              <w:rPr>
                <w:rFonts w:ascii="Arial" w:cs="Arial" w:eastAsia="Arial" w:hAnsi="Arial"/>
                <w:sz w:val="14"/>
                <w:szCs w:val="14"/>
                <w:color w:val="auto"/>
              </w:rPr>
              <w:t>Add: GAAP income tax (benefit) provision</w:t>
            </w:r>
          </w:p>
        </w:tc>
        <w:tc>
          <w:tcPr>
            <w:tcW w:w="460" w:type="dxa"/>
            <w:vAlign w:val="bottom"/>
          </w:tcPr>
          <w:p>
            <w:pPr>
              <w:spacing w:after="0"/>
              <w:rPr>
                <w:sz w:val="18"/>
                <w:szCs w:val="18"/>
                <w:color w:val="auto"/>
              </w:rPr>
            </w:pPr>
          </w:p>
        </w:tc>
        <w:tc>
          <w:tcPr>
            <w:tcW w:w="860" w:type="dxa"/>
            <w:vAlign w:val="bottom"/>
          </w:tcPr>
          <w:p>
            <w:pPr>
              <w:jc w:val="right"/>
              <w:ind w:right="88"/>
              <w:spacing w:after="0"/>
              <w:rPr>
                <w:sz w:val="20"/>
                <w:szCs w:val="20"/>
                <w:color w:val="auto"/>
              </w:rPr>
            </w:pPr>
            <w:r>
              <w:rPr>
                <w:rFonts w:ascii="Arial" w:cs="Arial" w:eastAsia="Arial" w:hAnsi="Arial"/>
                <w:sz w:val="14"/>
                <w:szCs w:val="14"/>
                <w:color w:val="auto"/>
              </w:rPr>
              <w:t>(2.1)</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0.7</w:t>
            </w:r>
          </w:p>
        </w:tc>
        <w:tc>
          <w:tcPr>
            <w:tcW w:w="1140" w:type="dxa"/>
            <w:vAlign w:val="bottom"/>
          </w:tcPr>
          <w:p>
            <w:pPr>
              <w:jc w:val="right"/>
              <w:spacing w:after="0"/>
              <w:rPr>
                <w:sz w:val="20"/>
                <w:szCs w:val="20"/>
                <w:color w:val="auto"/>
              </w:rPr>
            </w:pPr>
            <w:r>
              <w:rPr>
                <w:rFonts w:ascii="Arial" w:cs="Arial" w:eastAsia="Arial" w:hAnsi="Arial"/>
                <w:sz w:val="14"/>
                <w:szCs w:val="14"/>
                <w:color w:val="auto"/>
              </w:rPr>
              <w:t>(399.7)%</w:t>
            </w:r>
          </w:p>
        </w:tc>
        <w:tc>
          <w:tcPr>
            <w:tcW w:w="20" w:type="dxa"/>
            <w:vAlign w:val="bottom"/>
          </w:tcPr>
          <w:p>
            <w:pPr>
              <w:spacing w:after="0"/>
              <w:rPr>
                <w:sz w:val="18"/>
                <w:szCs w:val="18"/>
                <w:color w:val="auto"/>
              </w:rPr>
            </w:pPr>
          </w:p>
        </w:tc>
      </w:tr>
      <w:tr>
        <w:trPr>
          <w:trHeight w:val="222"/>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Depreciation</w:t>
            </w:r>
          </w:p>
        </w:tc>
        <w:tc>
          <w:tcPr>
            <w:tcW w:w="46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3.5</w:t>
            </w:r>
          </w:p>
        </w:tc>
        <w:tc>
          <w:tcPr>
            <w:tcW w:w="460" w:type="dxa"/>
            <w:vAlign w:val="bottom"/>
            <w:shd w:val="clear" w:color="auto" w:fill="F4F4F4"/>
          </w:tcPr>
          <w:p>
            <w:pPr>
              <w:spacing w:after="0"/>
              <w:rPr>
                <w:sz w:val="19"/>
                <w:szCs w:val="19"/>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3.2</w:t>
            </w:r>
          </w:p>
        </w:tc>
        <w:tc>
          <w:tcPr>
            <w:tcW w:w="11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10.2 %</w:t>
            </w:r>
          </w:p>
        </w:tc>
        <w:tc>
          <w:tcPr>
            <w:tcW w:w="20" w:type="dxa"/>
            <w:vAlign w:val="bottom"/>
          </w:tcPr>
          <w:p>
            <w:pPr>
              <w:spacing w:after="0"/>
              <w:rPr>
                <w:sz w:val="19"/>
                <w:szCs w:val="19"/>
                <w:color w:val="auto"/>
              </w:rPr>
            </w:pPr>
          </w:p>
        </w:tc>
      </w:tr>
      <w:tr>
        <w:trPr>
          <w:trHeight w:val="210"/>
        </w:trPr>
        <w:tc>
          <w:tcPr>
            <w:tcW w:w="7600" w:type="dxa"/>
            <w:vAlign w:val="bottom"/>
          </w:tcPr>
          <w:p>
            <w:pPr>
              <w:ind w:left="140"/>
              <w:spacing w:after="0"/>
              <w:rPr>
                <w:sz w:val="20"/>
                <w:szCs w:val="20"/>
                <w:color w:val="auto"/>
              </w:rPr>
            </w:pPr>
            <w:r>
              <w:rPr>
                <w:rFonts w:ascii="Arial" w:cs="Arial" w:eastAsia="Arial" w:hAnsi="Arial"/>
                <w:sz w:val="14"/>
                <w:szCs w:val="14"/>
                <w:color w:val="auto"/>
              </w:rPr>
              <w:t>Add: Amortization of intangibles from business combinations</w:t>
            </w:r>
          </w:p>
        </w:tc>
        <w:tc>
          <w:tcPr>
            <w:tcW w:w="46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13.3</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9.7</w:t>
            </w:r>
          </w:p>
        </w:tc>
        <w:tc>
          <w:tcPr>
            <w:tcW w:w="1140" w:type="dxa"/>
            <w:vAlign w:val="bottom"/>
          </w:tcPr>
          <w:p>
            <w:pPr>
              <w:jc w:val="right"/>
              <w:spacing w:after="0"/>
              <w:rPr>
                <w:sz w:val="20"/>
                <w:szCs w:val="20"/>
                <w:color w:val="auto"/>
              </w:rPr>
            </w:pPr>
            <w:r>
              <w:rPr>
                <w:rFonts w:ascii="Arial" w:cs="Arial" w:eastAsia="Arial" w:hAnsi="Arial"/>
                <w:sz w:val="14"/>
                <w:szCs w:val="14"/>
                <w:color w:val="auto"/>
              </w:rPr>
              <w:t>37.4 %</w:t>
            </w:r>
          </w:p>
        </w:tc>
        <w:tc>
          <w:tcPr>
            <w:tcW w:w="20" w:type="dxa"/>
            <w:vAlign w:val="bottom"/>
          </w:tcPr>
          <w:p>
            <w:pPr>
              <w:spacing w:after="0"/>
              <w:rPr>
                <w:sz w:val="18"/>
                <w:szCs w:val="18"/>
                <w:color w:val="auto"/>
              </w:rPr>
            </w:pPr>
          </w:p>
        </w:tc>
      </w:tr>
      <w:tr>
        <w:trPr>
          <w:trHeight w:val="222"/>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Amortization of software development costs</w:t>
            </w:r>
            <w:r>
              <w:rPr>
                <w:rFonts w:ascii="Arial" w:cs="Arial" w:eastAsia="Arial" w:hAnsi="Arial"/>
                <w:sz w:val="18"/>
                <w:szCs w:val="18"/>
                <w:color w:val="auto"/>
                <w:vertAlign w:val="superscript"/>
              </w:rPr>
              <w:t>(1)</w:t>
            </w:r>
          </w:p>
        </w:tc>
        <w:tc>
          <w:tcPr>
            <w:tcW w:w="460" w:type="dxa"/>
            <w:vAlign w:val="bottom"/>
            <w:tcBorders>
              <w:bottom w:val="single" w:sz="8" w:color="auto"/>
            </w:tcBorders>
            <w:shd w:val="clear" w:color="auto" w:fill="F4F4F4"/>
          </w:tcPr>
          <w:p>
            <w:pPr>
              <w:spacing w:after="0"/>
              <w:rPr>
                <w:sz w:val="19"/>
                <w:szCs w:val="19"/>
                <w:color w:val="auto"/>
              </w:rPr>
            </w:pPr>
          </w:p>
        </w:tc>
        <w:tc>
          <w:tcPr>
            <w:tcW w:w="86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9.2</w:t>
            </w:r>
          </w:p>
        </w:tc>
        <w:tc>
          <w:tcPr>
            <w:tcW w:w="460" w:type="dxa"/>
            <w:vAlign w:val="bottom"/>
            <w:tcBorders>
              <w:bottom w:val="single" w:sz="8" w:color="auto"/>
            </w:tcBorders>
            <w:shd w:val="clear" w:color="auto" w:fill="F4F4F4"/>
          </w:tcPr>
          <w:p>
            <w:pPr>
              <w:spacing w:after="0"/>
              <w:rPr>
                <w:sz w:val="19"/>
                <w:szCs w:val="19"/>
                <w:color w:val="auto"/>
              </w:rPr>
            </w:pPr>
          </w:p>
        </w:tc>
        <w:tc>
          <w:tcPr>
            <w:tcW w:w="7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8.0</w:t>
            </w:r>
          </w:p>
        </w:tc>
        <w:tc>
          <w:tcPr>
            <w:tcW w:w="11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16.1 %</w:t>
            </w:r>
          </w:p>
        </w:tc>
        <w:tc>
          <w:tcPr>
            <w:tcW w:w="20" w:type="dxa"/>
            <w:vAlign w:val="bottom"/>
          </w:tcPr>
          <w:p>
            <w:pPr>
              <w:spacing w:after="0"/>
              <w:rPr>
                <w:sz w:val="19"/>
                <w:szCs w:val="19"/>
                <w:color w:val="auto"/>
              </w:rPr>
            </w:pPr>
          </w:p>
        </w:tc>
      </w:tr>
      <w:tr>
        <w:trPr>
          <w:trHeight w:val="209"/>
        </w:trPr>
        <w:tc>
          <w:tcPr>
            <w:tcW w:w="7600" w:type="dxa"/>
            <w:vAlign w:val="bottom"/>
            <w:tcBorders>
              <w:bottom w:val="single" w:sz="8" w:color="F4F4F4"/>
            </w:tcBorders>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(2)</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31.5</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26.5</w:t>
            </w:r>
          </w:p>
        </w:tc>
        <w:tc>
          <w:tcPr>
            <w:tcW w:w="11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18.9 %</w:t>
            </w:r>
          </w:p>
        </w:tc>
        <w:tc>
          <w:tcPr>
            <w:tcW w:w="20" w:type="dxa"/>
            <w:vAlign w:val="bottom"/>
          </w:tcPr>
          <w:p>
            <w:pPr>
              <w:spacing w:after="0"/>
              <w:rPr>
                <w:sz w:val="18"/>
                <w:szCs w:val="18"/>
                <w:color w:val="auto"/>
              </w:rPr>
            </w:pPr>
          </w:p>
        </w:tc>
      </w:tr>
      <w:tr>
        <w:trPr>
          <w:trHeight w:val="210"/>
        </w:trPr>
        <w:tc>
          <w:tcPr>
            <w:tcW w:w="760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EBITDA</w:t>
            </w:r>
            <w:r>
              <w:rPr>
                <w:rFonts w:ascii="Arial" w:cs="Arial" w:eastAsia="Arial" w:hAnsi="Arial"/>
                <w:sz w:val="18"/>
                <w:szCs w:val="18"/>
                <w:color w:val="auto"/>
                <w:vertAlign w:val="superscript"/>
              </w:rPr>
              <w:t>(2)</w:t>
            </w:r>
          </w:p>
        </w:tc>
        <w:tc>
          <w:tcPr>
            <w:tcW w:w="460" w:type="dxa"/>
            <w:vAlign w:val="bottom"/>
            <w:tcBorders>
              <w:bottom w:val="single" w:sz="8" w:color="auto"/>
            </w:tcBorders>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21.1</w:t>
            </w:r>
          </w:p>
        </w:tc>
        <w:tc>
          <w:tcPr>
            <w:tcW w:w="460" w:type="dxa"/>
            <w:vAlign w:val="bottom"/>
            <w:tcBorders>
              <w:bottom w:val="single" w:sz="8" w:color="auto"/>
            </w:tcBorders>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26.3</w:t>
            </w:r>
          </w:p>
        </w:tc>
        <w:tc>
          <w:tcPr>
            <w:tcW w:w="11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(19.9)%</w:t>
            </w:r>
          </w:p>
        </w:tc>
        <w:tc>
          <w:tcPr>
            <w:tcW w:w="20" w:type="dxa"/>
            <w:vAlign w:val="bottom"/>
          </w:tcPr>
          <w:p>
            <w:pPr>
              <w:spacing w:after="0"/>
              <w:rPr>
                <w:sz w:val="18"/>
                <w:szCs w:val="18"/>
                <w:color w:val="auto"/>
              </w:rPr>
            </w:pPr>
          </w:p>
        </w:tc>
      </w:tr>
      <w:tr>
        <w:trPr>
          <w:trHeight w:val="203"/>
        </w:trPr>
        <w:tc>
          <w:tcPr>
            <w:tcW w:w="7600" w:type="dxa"/>
            <w:vAlign w:val="bottom"/>
          </w:tcPr>
          <w:p>
            <w:pPr>
              <w:ind w:left="140"/>
              <w:spacing w:after="0"/>
              <w:rPr>
                <w:sz w:val="20"/>
                <w:szCs w:val="20"/>
                <w:color w:val="auto"/>
              </w:rPr>
            </w:pPr>
            <w:r>
              <w:rPr>
                <w:rFonts w:ascii="Arial" w:cs="Arial" w:eastAsia="Arial" w:hAnsi="Arial"/>
                <w:sz w:val="14"/>
                <w:szCs w:val="14"/>
                <w:color w:val="auto"/>
              </w:rPr>
              <w:t>Non-GAAP EBITDA margin</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8.2 %</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4"/>
        </w:trPr>
        <w:tc>
          <w:tcPr>
            <w:tcW w:w="7600" w:type="dxa"/>
            <w:vAlign w:val="bottom"/>
            <w:shd w:val="clear" w:color="auto" w:fill="F4F4F4"/>
          </w:tcPr>
          <w:p>
            <w:pPr>
              <w:spacing w:after="0"/>
              <w:rPr>
                <w:sz w:val="13"/>
                <w:szCs w:val="13"/>
                <w:color w:val="auto"/>
              </w:rPr>
            </w:pPr>
          </w:p>
        </w:tc>
        <w:tc>
          <w:tcPr>
            <w:tcW w:w="460" w:type="dxa"/>
            <w:vAlign w:val="bottom"/>
            <w:shd w:val="clear" w:color="auto" w:fill="F4F4F4"/>
          </w:tcPr>
          <w:p>
            <w:pPr>
              <w:spacing w:after="0"/>
              <w:rPr>
                <w:sz w:val="13"/>
                <w:szCs w:val="13"/>
                <w:color w:val="auto"/>
              </w:rPr>
            </w:pPr>
          </w:p>
        </w:tc>
        <w:tc>
          <w:tcPr>
            <w:tcW w:w="860" w:type="dxa"/>
            <w:vAlign w:val="bottom"/>
            <w:shd w:val="clear" w:color="auto" w:fill="F4F4F4"/>
          </w:tcPr>
          <w:p>
            <w:pPr>
              <w:spacing w:after="0"/>
              <w:rPr>
                <w:sz w:val="13"/>
                <w:szCs w:val="13"/>
                <w:color w:val="auto"/>
              </w:rPr>
            </w:pPr>
          </w:p>
        </w:tc>
        <w:tc>
          <w:tcPr>
            <w:tcW w:w="460" w:type="dxa"/>
            <w:vAlign w:val="bottom"/>
            <w:shd w:val="clear" w:color="auto" w:fill="F4F4F4"/>
          </w:tcPr>
          <w:p>
            <w:pPr>
              <w:spacing w:after="0"/>
              <w:rPr>
                <w:sz w:val="13"/>
                <w:szCs w:val="13"/>
                <w:color w:val="auto"/>
              </w:rPr>
            </w:pPr>
          </w:p>
        </w:tc>
        <w:tc>
          <w:tcPr>
            <w:tcW w:w="720" w:type="dxa"/>
            <w:vAlign w:val="bottom"/>
            <w:shd w:val="clear" w:color="auto" w:fill="F4F4F4"/>
          </w:tcPr>
          <w:p>
            <w:pPr>
              <w:spacing w:after="0"/>
              <w:rPr>
                <w:sz w:val="13"/>
                <w:szCs w:val="13"/>
                <w:color w:val="auto"/>
              </w:rPr>
            </w:pPr>
          </w:p>
        </w:tc>
        <w:tc>
          <w:tcPr>
            <w:tcW w:w="1140" w:type="dxa"/>
            <w:vAlign w:val="bottom"/>
            <w:shd w:val="clear" w:color="auto" w:fill="F4F4F4"/>
          </w:tcPr>
          <w:p>
            <w:pPr>
              <w:spacing w:after="0"/>
              <w:rPr>
                <w:sz w:val="13"/>
                <w:szCs w:val="13"/>
                <w:color w:val="auto"/>
              </w:rPr>
            </w:pPr>
          </w:p>
        </w:tc>
        <w:tc>
          <w:tcPr>
            <w:tcW w:w="20" w:type="dxa"/>
            <w:vAlign w:val="bottom"/>
          </w:tcPr>
          <w:p>
            <w:pPr>
              <w:spacing w:after="0"/>
              <w:rPr>
                <w:sz w:val="13"/>
                <w:szCs w:val="13"/>
                <w:color w:val="auto"/>
              </w:rPr>
            </w:pPr>
          </w:p>
        </w:tc>
      </w:tr>
      <w:tr>
        <w:trPr>
          <w:trHeight w:val="210"/>
        </w:trPr>
        <w:tc>
          <w:tcPr>
            <w:tcW w:w="7600" w:type="dxa"/>
            <w:vAlign w:val="bottom"/>
          </w:tcPr>
          <w:p>
            <w:pPr>
              <w:ind w:left="20"/>
              <w:spacing w:after="0"/>
              <w:rPr>
                <w:sz w:val="20"/>
                <w:szCs w:val="20"/>
                <w:color w:val="auto"/>
              </w:rPr>
            </w:pPr>
            <w:r>
              <w:rPr>
                <w:rFonts w:ascii="Arial" w:cs="Arial" w:eastAsia="Arial" w:hAnsi="Arial"/>
                <w:sz w:val="14"/>
                <w:szCs w:val="14"/>
                <w:color w:val="auto"/>
              </w:rPr>
              <w:t>Non-GAAP adjustments:</w:t>
            </w: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2"/>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Stock-based compensation expense</w:t>
            </w:r>
          </w:p>
        </w:tc>
        <w:tc>
          <w:tcPr>
            <w:tcW w:w="46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27.9</w:t>
            </w:r>
          </w:p>
        </w:tc>
        <w:tc>
          <w:tcPr>
            <w:tcW w:w="460" w:type="dxa"/>
            <w:vAlign w:val="bottom"/>
            <w:shd w:val="clear" w:color="auto" w:fill="F4F4F4"/>
          </w:tcPr>
          <w:p>
            <w:pPr>
              <w:spacing w:after="0"/>
              <w:rPr>
                <w:sz w:val="19"/>
                <w:szCs w:val="19"/>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30.0</w:t>
            </w:r>
          </w:p>
        </w:tc>
        <w:tc>
          <w:tcPr>
            <w:tcW w:w="11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(7.1)%</w:t>
            </w:r>
          </w:p>
        </w:tc>
        <w:tc>
          <w:tcPr>
            <w:tcW w:w="20" w:type="dxa"/>
            <w:vAlign w:val="bottom"/>
          </w:tcPr>
          <w:p>
            <w:pPr>
              <w:spacing w:after="0"/>
              <w:rPr>
                <w:sz w:val="19"/>
                <w:szCs w:val="19"/>
                <w:color w:val="auto"/>
              </w:rPr>
            </w:pPr>
          </w:p>
        </w:tc>
      </w:tr>
      <w:tr>
        <w:trPr>
          <w:trHeight w:val="210"/>
        </w:trPr>
        <w:tc>
          <w:tcPr>
            <w:tcW w:w="7600" w:type="dxa"/>
            <w:vAlign w:val="bottom"/>
          </w:tcPr>
          <w:p>
            <w:pPr>
              <w:ind w:left="140"/>
              <w:spacing w:after="0"/>
              <w:rPr>
                <w:sz w:val="20"/>
                <w:szCs w:val="20"/>
                <w:color w:val="auto"/>
              </w:rPr>
            </w:pPr>
            <w:r>
              <w:rPr>
                <w:rFonts w:ascii="Arial" w:cs="Arial" w:eastAsia="Arial" w:hAnsi="Arial"/>
                <w:sz w:val="14"/>
                <w:szCs w:val="14"/>
                <w:color w:val="auto"/>
              </w:rPr>
              <w:t>Add: Employee severance</w:t>
            </w:r>
          </w:p>
        </w:tc>
        <w:tc>
          <w:tcPr>
            <w:tcW w:w="46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w:t>
            </w:r>
          </w:p>
        </w:tc>
        <w:tc>
          <w:tcPr>
            <w:tcW w:w="1140" w:type="dxa"/>
            <w:vAlign w:val="bottom"/>
          </w:tcPr>
          <w:p>
            <w:pPr>
              <w:jc w:val="right"/>
              <w:spacing w:after="0"/>
              <w:rPr>
                <w:sz w:val="20"/>
                <w:szCs w:val="20"/>
                <w:color w:val="auto"/>
              </w:rPr>
            </w:pPr>
            <w:r>
              <w:rPr>
                <w:rFonts w:ascii="Arial" w:cs="Arial" w:eastAsia="Arial" w:hAnsi="Arial"/>
                <w:sz w:val="14"/>
                <w:szCs w:val="14"/>
                <w:color w:val="auto"/>
              </w:rPr>
              <w:t>(100.0)%</w:t>
            </w:r>
          </w:p>
        </w:tc>
        <w:tc>
          <w:tcPr>
            <w:tcW w:w="20" w:type="dxa"/>
            <w:vAlign w:val="bottom"/>
          </w:tcPr>
          <w:p>
            <w:pPr>
              <w:spacing w:after="0"/>
              <w:rPr>
                <w:sz w:val="18"/>
                <w:szCs w:val="18"/>
                <w:color w:val="auto"/>
              </w:rPr>
            </w:pPr>
          </w:p>
        </w:tc>
      </w:tr>
      <w:tr>
        <w:trPr>
          <w:trHeight w:val="222"/>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Acquisition-related integration costs</w:t>
            </w:r>
          </w:p>
        </w:tc>
        <w:tc>
          <w:tcPr>
            <w:tcW w:w="46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0.6</w:t>
            </w:r>
          </w:p>
        </w:tc>
        <w:tc>
          <w:tcPr>
            <w:tcW w:w="460" w:type="dxa"/>
            <w:vAlign w:val="bottom"/>
            <w:shd w:val="clear" w:color="auto" w:fill="F4F4F4"/>
          </w:tcPr>
          <w:p>
            <w:pPr>
              <w:spacing w:after="0"/>
              <w:rPr>
                <w:sz w:val="19"/>
                <w:szCs w:val="19"/>
                <w:color w:val="auto"/>
              </w:rPr>
            </w:pPr>
          </w:p>
        </w:tc>
        <w:tc>
          <w:tcPr>
            <w:tcW w:w="720" w:type="dxa"/>
            <w:vAlign w:val="bottom"/>
            <w:shd w:val="clear" w:color="auto" w:fill="F4F4F4"/>
          </w:tcPr>
          <w:p>
            <w:pPr>
              <w:jc w:val="center"/>
              <w:ind w:left="308"/>
              <w:spacing w:after="0"/>
              <w:rPr>
                <w:sz w:val="20"/>
                <w:szCs w:val="20"/>
                <w:color w:val="auto"/>
              </w:rPr>
            </w:pPr>
            <w:r>
              <w:rPr>
                <w:rFonts w:ascii="Arial" w:cs="Arial" w:eastAsia="Arial" w:hAnsi="Arial"/>
                <w:sz w:val="14"/>
                <w:szCs w:val="14"/>
                <w:color w:val="auto"/>
              </w:rPr>
              <w:t>(0.1)</w:t>
            </w:r>
          </w:p>
        </w:tc>
        <w:tc>
          <w:tcPr>
            <w:tcW w:w="11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(756.1)%</w:t>
            </w:r>
          </w:p>
        </w:tc>
        <w:tc>
          <w:tcPr>
            <w:tcW w:w="20" w:type="dxa"/>
            <w:vAlign w:val="bottom"/>
          </w:tcPr>
          <w:p>
            <w:pPr>
              <w:spacing w:after="0"/>
              <w:rPr>
                <w:sz w:val="19"/>
                <w:szCs w:val="19"/>
                <w:color w:val="auto"/>
              </w:rPr>
            </w:pPr>
          </w:p>
        </w:tc>
      </w:tr>
      <w:tr>
        <w:trPr>
          <w:trHeight w:val="210"/>
        </w:trPr>
        <w:tc>
          <w:tcPr>
            <w:tcW w:w="7600" w:type="dxa"/>
            <w:vAlign w:val="bottom"/>
          </w:tcPr>
          <w:p>
            <w:pPr>
              <w:ind w:left="140"/>
              <w:spacing w:after="0"/>
              <w:rPr>
                <w:sz w:val="20"/>
                <w:szCs w:val="20"/>
                <w:color w:val="auto"/>
              </w:rPr>
            </w:pPr>
            <w:r>
              <w:rPr>
                <w:rFonts w:ascii="Arial" w:cs="Arial" w:eastAsia="Arial" w:hAnsi="Arial"/>
                <w:sz w:val="14"/>
                <w:szCs w:val="14"/>
                <w:color w:val="auto"/>
              </w:rPr>
              <w:t>Add: Acquisition-related expenses</w:t>
            </w:r>
          </w:p>
        </w:tc>
        <w:tc>
          <w:tcPr>
            <w:tcW w:w="460" w:type="dxa"/>
            <w:vAlign w:val="bottom"/>
          </w:tcPr>
          <w:p>
            <w:pPr>
              <w:spacing w:after="0"/>
              <w:rPr>
                <w:sz w:val="18"/>
                <w:szCs w:val="18"/>
                <w:color w:val="auto"/>
              </w:rPr>
            </w:pPr>
          </w:p>
        </w:tc>
        <w:tc>
          <w:tcPr>
            <w:tcW w:w="860" w:type="dxa"/>
            <w:vAlign w:val="bottom"/>
          </w:tcPr>
          <w:p>
            <w:pPr>
              <w:jc w:val="right"/>
              <w:ind w:right="128"/>
              <w:spacing w:after="0"/>
              <w:rPr>
                <w:sz w:val="20"/>
                <w:szCs w:val="20"/>
                <w:color w:val="auto"/>
              </w:rPr>
            </w:pPr>
            <w:r>
              <w:rPr>
                <w:rFonts w:ascii="Arial" w:cs="Arial" w:eastAsia="Arial" w:hAnsi="Arial"/>
                <w:sz w:val="14"/>
                <w:szCs w:val="14"/>
                <w:color w:val="auto"/>
              </w:rPr>
              <w:t>0.3</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0.1</w:t>
            </w:r>
          </w:p>
        </w:tc>
        <w:tc>
          <w:tcPr>
            <w:tcW w:w="1140" w:type="dxa"/>
            <w:vAlign w:val="bottom"/>
          </w:tcPr>
          <w:p>
            <w:pPr>
              <w:jc w:val="right"/>
              <w:spacing w:after="0"/>
              <w:rPr>
                <w:sz w:val="20"/>
                <w:szCs w:val="20"/>
                <w:color w:val="auto"/>
              </w:rPr>
            </w:pPr>
            <w:r>
              <w:rPr>
                <w:rFonts w:ascii="Arial" w:cs="Arial" w:eastAsia="Arial" w:hAnsi="Arial"/>
                <w:sz w:val="14"/>
                <w:szCs w:val="14"/>
                <w:color w:val="auto"/>
              </w:rPr>
              <w:t>383.1 %</w:t>
            </w:r>
          </w:p>
        </w:tc>
        <w:tc>
          <w:tcPr>
            <w:tcW w:w="20" w:type="dxa"/>
            <w:vAlign w:val="bottom"/>
          </w:tcPr>
          <w:p>
            <w:pPr>
              <w:spacing w:after="0"/>
              <w:rPr>
                <w:sz w:val="18"/>
                <w:szCs w:val="18"/>
                <w:color w:val="auto"/>
              </w:rPr>
            </w:pPr>
          </w:p>
        </w:tc>
      </w:tr>
      <w:tr>
        <w:trPr>
          <w:trHeight w:val="222"/>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Restructuring and other real estate activities</w:t>
            </w:r>
          </w:p>
        </w:tc>
        <w:tc>
          <w:tcPr>
            <w:tcW w:w="460" w:type="dxa"/>
            <w:vAlign w:val="bottom"/>
            <w:shd w:val="clear" w:color="auto" w:fill="F4F4F4"/>
          </w:tcPr>
          <w:p>
            <w:pPr>
              <w:spacing w:after="0"/>
              <w:rPr>
                <w:sz w:val="19"/>
                <w:szCs w:val="19"/>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0.1</w:t>
            </w:r>
          </w:p>
        </w:tc>
        <w:tc>
          <w:tcPr>
            <w:tcW w:w="460" w:type="dxa"/>
            <w:vAlign w:val="bottom"/>
            <w:shd w:val="clear" w:color="auto" w:fill="F4F4F4"/>
          </w:tcPr>
          <w:p>
            <w:pPr>
              <w:spacing w:after="0"/>
              <w:rPr>
                <w:sz w:val="19"/>
                <w:szCs w:val="19"/>
                <w:color w:val="auto"/>
              </w:rPr>
            </w:pPr>
          </w:p>
        </w:tc>
        <w:tc>
          <w:tcPr>
            <w:tcW w:w="720" w:type="dxa"/>
            <w:vAlign w:val="bottom"/>
            <w:shd w:val="clear" w:color="auto" w:fill="F4F4F4"/>
          </w:tcPr>
          <w:p>
            <w:pPr>
              <w:jc w:val="center"/>
              <w:ind w:left="308"/>
              <w:spacing w:after="0"/>
              <w:rPr>
                <w:sz w:val="20"/>
                <w:szCs w:val="20"/>
                <w:color w:val="auto"/>
              </w:rPr>
            </w:pPr>
            <w:r>
              <w:rPr>
                <w:rFonts w:ascii="Arial" w:cs="Arial" w:eastAsia="Arial" w:hAnsi="Arial"/>
                <w:sz w:val="14"/>
                <w:szCs w:val="14"/>
                <w:color w:val="auto"/>
              </w:rPr>
              <w:t>(0.1)</w:t>
            </w:r>
          </w:p>
        </w:tc>
        <w:tc>
          <w:tcPr>
            <w:tcW w:w="11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(164.0)%</w:t>
            </w:r>
          </w:p>
        </w:tc>
        <w:tc>
          <w:tcPr>
            <w:tcW w:w="20" w:type="dxa"/>
            <w:vAlign w:val="bottom"/>
          </w:tcPr>
          <w:p>
            <w:pPr>
              <w:spacing w:after="0"/>
              <w:rPr>
                <w:sz w:val="19"/>
                <w:szCs w:val="19"/>
                <w:color w:val="auto"/>
              </w:rPr>
            </w:pPr>
          </w:p>
        </w:tc>
      </w:tr>
      <w:tr>
        <w:trPr>
          <w:trHeight w:val="216"/>
        </w:trPr>
        <w:tc>
          <w:tcPr>
            <w:tcW w:w="760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Add: Security Incident-related costs, net of insurance</w:t>
            </w:r>
            <w:r>
              <w:rPr>
                <w:rFonts w:ascii="Arial" w:cs="Arial" w:eastAsia="Arial" w:hAnsi="Arial"/>
                <w:sz w:val="18"/>
                <w:szCs w:val="18"/>
                <w:color w:val="auto"/>
                <w:vertAlign w:val="superscript"/>
              </w:rPr>
              <w:t>(3)</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100.0 %</w:t>
            </w:r>
          </w:p>
        </w:tc>
        <w:tc>
          <w:tcPr>
            <w:tcW w:w="20" w:type="dxa"/>
            <w:vAlign w:val="bottom"/>
          </w:tcPr>
          <w:p>
            <w:pPr>
              <w:spacing w:after="0"/>
              <w:rPr>
                <w:sz w:val="18"/>
                <w:szCs w:val="18"/>
                <w:color w:val="auto"/>
              </w:rPr>
            </w:pPr>
          </w:p>
        </w:tc>
      </w:tr>
      <w:tr>
        <w:trPr>
          <w:trHeight w:val="209"/>
        </w:trPr>
        <w:tc>
          <w:tcPr>
            <w:tcW w:w="7600" w:type="dxa"/>
            <w:vAlign w:val="bottom"/>
            <w:shd w:val="clear" w:color="auto" w:fill="F4F4F4"/>
          </w:tcPr>
          <w:p>
            <w:pPr>
              <w:ind w:left="240"/>
              <w:spacing w:after="0"/>
              <w:rPr>
                <w:sz w:val="20"/>
                <w:szCs w:val="20"/>
                <w:color w:val="auto"/>
              </w:rPr>
            </w:pPr>
            <w:r>
              <w:rPr>
                <w:rFonts w:ascii="Arial" w:cs="Arial" w:eastAsia="Arial" w:hAnsi="Arial"/>
                <w:sz w:val="14"/>
                <w:szCs w:val="14"/>
                <w:color w:val="auto"/>
              </w:rPr>
              <w:t>Subtotal</w:t>
            </w:r>
            <w:r>
              <w:rPr>
                <w:rFonts w:ascii="Arial" w:cs="Arial" w:eastAsia="Arial" w:hAnsi="Arial"/>
                <w:sz w:val="18"/>
                <w:szCs w:val="18"/>
                <w:color w:val="auto"/>
                <w:vertAlign w:val="superscript"/>
              </w:rPr>
              <w:t>(2)</w:t>
            </w:r>
          </w:p>
        </w:tc>
        <w:tc>
          <w:tcPr>
            <w:tcW w:w="460" w:type="dxa"/>
            <w:vAlign w:val="bottom"/>
            <w:tcBorders>
              <w:bottom w:val="single" w:sz="8" w:color="auto"/>
            </w:tcBorders>
            <w:shd w:val="clear" w:color="auto" w:fill="F4F4F4"/>
          </w:tcPr>
          <w:p>
            <w:pPr>
              <w:spacing w:after="0"/>
              <w:rPr>
                <w:sz w:val="18"/>
                <w:szCs w:val="18"/>
                <w:color w:val="auto"/>
              </w:rPr>
            </w:pPr>
          </w:p>
        </w:tc>
        <w:tc>
          <w:tcPr>
            <w:tcW w:w="86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36.1</w:t>
            </w:r>
          </w:p>
        </w:tc>
        <w:tc>
          <w:tcPr>
            <w:tcW w:w="460" w:type="dxa"/>
            <w:vAlign w:val="bottom"/>
            <w:tcBorders>
              <w:bottom w:val="single" w:sz="8" w:color="auto"/>
            </w:tcBorders>
            <w:shd w:val="clear" w:color="auto" w:fill="F4F4F4"/>
          </w:tcPr>
          <w:p>
            <w:pPr>
              <w:spacing w:after="0"/>
              <w:rPr>
                <w:sz w:val="18"/>
                <w:szCs w:val="18"/>
                <w:color w:val="auto"/>
              </w:rPr>
            </w:pPr>
          </w:p>
        </w:tc>
        <w:tc>
          <w:tcPr>
            <w:tcW w:w="7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30.9</w:t>
            </w:r>
          </w:p>
        </w:tc>
        <w:tc>
          <w:tcPr>
            <w:tcW w:w="11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17.0 %</w:t>
            </w:r>
          </w:p>
        </w:tc>
        <w:tc>
          <w:tcPr>
            <w:tcW w:w="20" w:type="dxa"/>
            <w:vAlign w:val="bottom"/>
          </w:tcPr>
          <w:p>
            <w:pPr>
              <w:spacing w:after="0"/>
              <w:rPr>
                <w:sz w:val="18"/>
                <w:szCs w:val="18"/>
                <w:color w:val="auto"/>
              </w:rPr>
            </w:pPr>
          </w:p>
        </w:tc>
      </w:tr>
      <w:tr>
        <w:trPr>
          <w:trHeight w:val="210"/>
        </w:trPr>
        <w:tc>
          <w:tcPr>
            <w:tcW w:w="7600" w:type="dxa"/>
            <w:vAlign w:val="bottom"/>
            <w:tcBorders>
              <w:bottom w:val="single" w:sz="8" w:color="F4F4F4"/>
            </w:tcBorders>
          </w:tcPr>
          <w:p>
            <w:pPr>
              <w:ind w:left="20"/>
              <w:spacing w:after="0"/>
              <w:rPr>
                <w:sz w:val="20"/>
                <w:szCs w:val="20"/>
                <w:color w:val="auto"/>
              </w:rPr>
            </w:pPr>
            <w:r>
              <w:rPr>
                <w:rFonts w:ascii="Arial" w:cs="Arial" w:eastAsia="Arial" w:hAnsi="Arial"/>
                <w:sz w:val="14"/>
                <w:szCs w:val="14"/>
                <w:color w:val="auto"/>
              </w:rPr>
              <w:t>Non-GAAP Adjusted EBITDA</w:t>
            </w:r>
            <w:r>
              <w:rPr>
                <w:rFonts w:ascii="Arial" w:cs="Arial" w:eastAsia="Arial" w:hAnsi="Arial"/>
                <w:sz w:val="18"/>
                <w:szCs w:val="18"/>
                <w:color w:val="auto"/>
                <w:vertAlign w:val="superscript"/>
              </w:rPr>
              <w:t>(2)</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57.2</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57.2</w:t>
            </w:r>
          </w:p>
        </w:tc>
        <w:tc>
          <w:tcPr>
            <w:tcW w:w="11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8"/>
                <w:szCs w:val="18"/>
                <w:color w:val="auto"/>
              </w:rPr>
            </w:pPr>
          </w:p>
        </w:tc>
      </w:tr>
      <w:tr>
        <w:trPr>
          <w:trHeight w:val="210"/>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b w:val="1"/>
                <w:bCs w:val="1"/>
                <w:color w:val="auto"/>
              </w:rPr>
              <w:t>Non-GAAP Adjusted EBITDA margin</w:t>
            </w:r>
          </w:p>
        </w:tc>
        <w:tc>
          <w:tcPr>
            <w:tcW w:w="460" w:type="dxa"/>
            <w:vAlign w:val="bottom"/>
            <w:shd w:val="clear" w:color="auto" w:fill="F4F4F4"/>
          </w:tcPr>
          <w:p>
            <w:pPr>
              <w:spacing w:after="0"/>
              <w:rPr>
                <w:sz w:val="18"/>
                <w:szCs w:val="18"/>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22.2 %</w:t>
            </w:r>
          </w:p>
        </w:tc>
        <w:tc>
          <w:tcPr>
            <w:tcW w:w="460" w:type="dxa"/>
            <w:vAlign w:val="bottom"/>
            <w:shd w:val="clear" w:color="auto" w:fill="F4F4F4"/>
          </w:tcPr>
          <w:p>
            <w:pPr>
              <w:spacing w:after="0"/>
              <w:rPr>
                <w:sz w:val="18"/>
                <w:szCs w:val="18"/>
                <w:color w:val="auto"/>
              </w:rPr>
            </w:pPr>
          </w:p>
        </w:tc>
        <w:tc>
          <w:tcPr>
            <w:tcW w:w="720" w:type="dxa"/>
            <w:vAlign w:val="bottom"/>
            <w:shd w:val="clear" w:color="auto" w:fill="F4F4F4"/>
          </w:tcPr>
          <w:p>
            <w:pPr>
              <w:spacing w:after="0"/>
              <w:rPr>
                <w:sz w:val="18"/>
                <w:szCs w:val="18"/>
                <w:color w:val="auto"/>
              </w:rPr>
            </w:pPr>
          </w:p>
        </w:tc>
        <w:tc>
          <w:tcPr>
            <w:tcW w:w="1140" w:type="dxa"/>
            <w:vAlign w:val="bottom"/>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148"/>
        </w:trPr>
        <w:tc>
          <w:tcPr>
            <w:tcW w:w="76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6"/>
        </w:trPr>
        <w:tc>
          <w:tcPr>
            <w:tcW w:w="76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Rule of 40</w:t>
            </w:r>
            <w:r>
              <w:rPr>
                <w:rFonts w:ascii="Arial" w:cs="Arial" w:eastAsia="Arial" w:hAnsi="Arial"/>
                <w:sz w:val="18"/>
                <w:szCs w:val="18"/>
                <w:b w:val="1"/>
                <w:bCs w:val="1"/>
                <w:color w:val="auto"/>
                <w:vertAlign w:val="superscript"/>
              </w:rPr>
              <w:t>(4)</w:t>
            </w:r>
          </w:p>
        </w:tc>
        <w:tc>
          <w:tcPr>
            <w:tcW w:w="460" w:type="dxa"/>
            <w:vAlign w:val="bottom"/>
            <w:shd w:val="clear" w:color="auto" w:fill="F4F4F4"/>
          </w:tcPr>
          <w:p>
            <w:pPr>
              <w:spacing w:after="0"/>
              <w:rPr>
                <w:sz w:val="18"/>
                <w:szCs w:val="18"/>
                <w:color w:val="auto"/>
              </w:rPr>
            </w:pPr>
          </w:p>
        </w:tc>
        <w:tc>
          <w:tcPr>
            <w:tcW w:w="860" w:type="dxa"/>
            <w:vAlign w:val="bottom"/>
            <w:shd w:val="clear" w:color="auto" w:fill="F4F4F4"/>
          </w:tcPr>
          <w:p>
            <w:pPr>
              <w:jc w:val="right"/>
              <w:spacing w:after="0"/>
              <w:rPr>
                <w:sz w:val="20"/>
                <w:szCs w:val="20"/>
                <w:color w:val="auto"/>
              </w:rPr>
            </w:pPr>
            <w:r>
              <w:rPr>
                <w:rFonts w:ascii="Arial" w:cs="Arial" w:eastAsia="Arial" w:hAnsi="Arial"/>
                <w:sz w:val="14"/>
                <w:szCs w:val="14"/>
                <w:b w:val="1"/>
                <w:bCs w:val="1"/>
                <w:color w:val="auto"/>
              </w:rPr>
              <w:t>27.4 %</w:t>
            </w:r>
          </w:p>
        </w:tc>
        <w:tc>
          <w:tcPr>
            <w:tcW w:w="460" w:type="dxa"/>
            <w:vAlign w:val="bottom"/>
            <w:shd w:val="clear" w:color="auto" w:fill="F4F4F4"/>
          </w:tcPr>
          <w:p>
            <w:pPr>
              <w:spacing w:after="0"/>
              <w:rPr>
                <w:sz w:val="18"/>
                <w:szCs w:val="18"/>
                <w:color w:val="auto"/>
              </w:rPr>
            </w:pPr>
          </w:p>
        </w:tc>
        <w:tc>
          <w:tcPr>
            <w:tcW w:w="720" w:type="dxa"/>
            <w:vAlign w:val="bottom"/>
            <w:shd w:val="clear" w:color="auto" w:fill="F4F4F4"/>
          </w:tcPr>
          <w:p>
            <w:pPr>
              <w:spacing w:after="0"/>
              <w:rPr>
                <w:sz w:val="18"/>
                <w:szCs w:val="18"/>
                <w:color w:val="auto"/>
              </w:rPr>
            </w:pPr>
          </w:p>
        </w:tc>
        <w:tc>
          <w:tcPr>
            <w:tcW w:w="1140" w:type="dxa"/>
            <w:vAlign w:val="bottom"/>
            <w:shd w:val="clear" w:color="auto" w:fill="F4F4F4"/>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760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adjusted EBITDA</w:t>
            </w:r>
          </w:p>
        </w:tc>
        <w:tc>
          <w:tcPr>
            <w:tcW w:w="460" w:type="dxa"/>
            <w:vAlign w:val="bottom"/>
            <w:shd w:val="clear" w:color="auto" w:fill="F4F4F4"/>
          </w:tcPr>
          <w:p>
            <w:pPr>
              <w:spacing w:after="0"/>
              <w:rPr>
                <w:sz w:val="18"/>
                <w:szCs w:val="18"/>
                <w:color w:val="auto"/>
              </w:rPr>
            </w:pPr>
          </w:p>
        </w:tc>
        <w:tc>
          <w:tcPr>
            <w:tcW w:w="860" w:type="dxa"/>
            <w:vAlign w:val="bottom"/>
            <w:shd w:val="clear" w:color="auto" w:fill="F4F4F4"/>
          </w:tcPr>
          <w:p>
            <w:pPr>
              <w:jc w:val="right"/>
              <w:ind w:right="128"/>
              <w:spacing w:after="0"/>
              <w:rPr>
                <w:sz w:val="20"/>
                <w:szCs w:val="20"/>
                <w:color w:val="auto"/>
              </w:rPr>
            </w:pPr>
            <w:r>
              <w:rPr>
                <w:rFonts w:ascii="Arial" w:cs="Arial" w:eastAsia="Arial" w:hAnsi="Arial"/>
                <w:sz w:val="14"/>
                <w:szCs w:val="14"/>
                <w:color w:val="auto"/>
              </w:rPr>
              <w:t>57.2</w:t>
            </w:r>
          </w:p>
        </w:tc>
        <w:tc>
          <w:tcPr>
            <w:tcW w:w="460" w:type="dxa"/>
            <w:vAlign w:val="bottom"/>
            <w:shd w:val="clear" w:color="auto" w:fill="F4F4F4"/>
          </w:tcPr>
          <w:p>
            <w:pPr>
              <w:spacing w:after="0"/>
              <w:rPr>
                <w:sz w:val="18"/>
                <w:szCs w:val="18"/>
                <w:color w:val="auto"/>
              </w:rPr>
            </w:pPr>
          </w:p>
        </w:tc>
        <w:tc>
          <w:tcPr>
            <w:tcW w:w="7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57.2</w:t>
            </w:r>
          </w:p>
        </w:tc>
        <w:tc>
          <w:tcPr>
            <w:tcW w:w="11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 %</w:t>
            </w:r>
          </w:p>
        </w:tc>
        <w:tc>
          <w:tcPr>
            <w:tcW w:w="20" w:type="dxa"/>
            <w:vAlign w:val="bottom"/>
          </w:tcPr>
          <w:p>
            <w:pPr>
              <w:spacing w:after="0"/>
              <w:rPr>
                <w:sz w:val="18"/>
                <w:szCs w:val="18"/>
                <w:color w:val="auto"/>
              </w:rPr>
            </w:pPr>
          </w:p>
        </w:tc>
      </w:tr>
      <w:tr>
        <w:trPr>
          <w:trHeight w:val="216"/>
        </w:trPr>
        <w:tc>
          <w:tcPr>
            <w:tcW w:w="7600" w:type="dxa"/>
            <w:vAlign w:val="bottom"/>
            <w:tcBorders>
              <w:bottom w:val="single" w:sz="8" w:color="F4F4F4"/>
            </w:tcBorders>
          </w:tcPr>
          <w:p>
            <w:pPr>
              <w:ind w:left="140"/>
              <w:spacing w:after="0"/>
              <w:rPr>
                <w:sz w:val="20"/>
                <w:szCs w:val="20"/>
                <w:color w:val="auto"/>
              </w:rPr>
            </w:pPr>
            <w:r>
              <w:rPr>
                <w:rFonts w:ascii="Arial" w:cs="Arial" w:eastAsia="Arial" w:hAnsi="Arial"/>
                <w:sz w:val="14"/>
                <w:szCs w:val="14"/>
                <w:color w:val="auto"/>
              </w:rPr>
              <w:t>Foreign currency impact on Non-GAAP adjusted EBITDA</w:t>
            </w:r>
            <w:r>
              <w:rPr>
                <w:rFonts w:ascii="Arial" w:cs="Arial" w:eastAsia="Arial" w:hAnsi="Arial"/>
                <w:sz w:val="18"/>
                <w:szCs w:val="18"/>
                <w:color w:val="auto"/>
                <w:vertAlign w:val="superscript"/>
              </w:rPr>
              <w:t>(5)</w:t>
            </w: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0.5</w:t>
            </w: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center"/>
              <w:ind w:left="308"/>
              <w:spacing w:after="0"/>
              <w:rPr>
                <w:sz w:val="20"/>
                <w:szCs w:val="20"/>
                <w:color w:val="auto"/>
              </w:rPr>
            </w:pPr>
            <w:r>
              <w:rPr>
                <w:rFonts w:ascii="Arial" w:cs="Arial" w:eastAsia="Arial" w:hAnsi="Arial"/>
                <w:sz w:val="14"/>
                <w:szCs w:val="14"/>
                <w:color w:val="auto"/>
              </w:rPr>
              <w:t>(0.5)</w:t>
            </w:r>
          </w:p>
        </w:tc>
        <w:tc>
          <w:tcPr>
            <w:tcW w:w="1140" w:type="dxa"/>
            <w:vAlign w:val="bottom"/>
            <w:tcBorders>
              <w:bottom w:val="single" w:sz="8" w:color="F4F4F4"/>
            </w:tcBorders>
          </w:tcPr>
          <w:p>
            <w:pPr>
              <w:jc w:val="right"/>
              <w:spacing w:after="0"/>
              <w:rPr>
                <w:sz w:val="20"/>
                <w:szCs w:val="20"/>
                <w:color w:val="auto"/>
              </w:rPr>
            </w:pPr>
            <w:r>
              <w:rPr>
                <w:rFonts w:ascii="Arial" w:cs="Arial" w:eastAsia="Arial" w:hAnsi="Arial"/>
                <w:sz w:val="14"/>
                <w:szCs w:val="14"/>
                <w:color w:val="auto"/>
              </w:rPr>
              <w:t>(199.4)%</w:t>
            </w:r>
          </w:p>
        </w:tc>
        <w:tc>
          <w:tcPr>
            <w:tcW w:w="20" w:type="dxa"/>
            <w:vAlign w:val="bottom"/>
          </w:tcPr>
          <w:p>
            <w:pPr>
              <w:spacing w:after="0"/>
              <w:rPr>
                <w:sz w:val="18"/>
                <w:szCs w:val="18"/>
                <w:color w:val="auto"/>
              </w:rPr>
            </w:pPr>
          </w:p>
        </w:tc>
      </w:tr>
      <w:tr>
        <w:trPr>
          <w:trHeight w:val="210"/>
        </w:trPr>
        <w:tc>
          <w:tcPr>
            <w:tcW w:w="7600" w:type="dxa"/>
            <w:vAlign w:val="bottom"/>
            <w:shd w:val="clear" w:color="auto" w:fill="F4F4F4"/>
          </w:tcPr>
          <w:p>
            <w:pPr>
              <w:ind w:left="20"/>
              <w:spacing w:after="0"/>
              <w:rPr>
                <w:sz w:val="20"/>
                <w:szCs w:val="20"/>
                <w:color w:val="auto"/>
              </w:rPr>
            </w:pPr>
            <w:r>
              <w:rPr>
                <w:rFonts w:ascii="Arial" w:cs="Arial" w:eastAsia="Arial" w:hAnsi="Arial"/>
                <w:sz w:val="14"/>
                <w:szCs w:val="14"/>
                <w:color w:val="auto"/>
              </w:rPr>
              <w:t>Non-GAAP adjusted EBITDA on constant currency basis</w:t>
            </w:r>
            <w:r>
              <w:rPr>
                <w:rFonts w:ascii="Arial" w:cs="Arial" w:eastAsia="Arial" w:hAnsi="Arial"/>
                <w:sz w:val="18"/>
                <w:szCs w:val="18"/>
                <w:color w:val="auto"/>
                <w:vertAlign w:val="superscript"/>
              </w:rPr>
              <w:t>(5)</w:t>
            </w:r>
          </w:p>
        </w:tc>
        <w:tc>
          <w:tcPr>
            <w:tcW w:w="460" w:type="dxa"/>
            <w:vAlign w:val="bottom"/>
            <w:tcBorders>
              <w:bottom w:val="single" w:sz="8" w:color="auto"/>
            </w:tcBorders>
            <w:shd w:val="clear" w:color="auto" w:fill="F4F4F4"/>
          </w:tcPr>
          <w:p>
            <w:pPr>
              <w:spacing w:after="0"/>
              <w:rPr>
                <w:sz w:val="18"/>
                <w:szCs w:val="18"/>
                <w:color w:val="auto"/>
              </w:rPr>
            </w:pPr>
          </w:p>
        </w:tc>
        <w:tc>
          <w:tcPr>
            <w:tcW w:w="860" w:type="dxa"/>
            <w:vAlign w:val="bottom"/>
            <w:tcBorders>
              <w:bottom w:val="single" w:sz="8" w:color="auto"/>
            </w:tcBorders>
            <w:shd w:val="clear" w:color="auto" w:fill="F4F4F4"/>
          </w:tcPr>
          <w:p>
            <w:pPr>
              <w:jc w:val="right"/>
              <w:ind w:right="128"/>
              <w:spacing w:after="0"/>
              <w:rPr>
                <w:sz w:val="20"/>
                <w:szCs w:val="20"/>
                <w:color w:val="auto"/>
              </w:rPr>
            </w:pPr>
            <w:r>
              <w:rPr>
                <w:rFonts w:ascii="Arial" w:cs="Arial" w:eastAsia="Arial" w:hAnsi="Arial"/>
                <w:sz w:val="14"/>
                <w:szCs w:val="14"/>
                <w:color w:val="auto"/>
              </w:rPr>
              <w:t>57.7</w:t>
            </w:r>
          </w:p>
        </w:tc>
        <w:tc>
          <w:tcPr>
            <w:tcW w:w="460" w:type="dxa"/>
            <w:vAlign w:val="bottom"/>
            <w:tcBorders>
              <w:bottom w:val="single" w:sz="8" w:color="auto"/>
            </w:tcBorders>
            <w:shd w:val="clear" w:color="auto" w:fill="F4F4F4"/>
          </w:tcPr>
          <w:p>
            <w:pPr>
              <w:spacing w:after="0"/>
              <w:rPr>
                <w:sz w:val="18"/>
                <w:szCs w:val="18"/>
                <w:color w:val="auto"/>
              </w:rPr>
            </w:pPr>
          </w:p>
        </w:tc>
        <w:tc>
          <w:tcPr>
            <w:tcW w:w="7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56.7</w:t>
            </w:r>
          </w:p>
        </w:tc>
        <w:tc>
          <w:tcPr>
            <w:tcW w:w="114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1.8 %</w:t>
            </w:r>
          </w:p>
        </w:tc>
        <w:tc>
          <w:tcPr>
            <w:tcW w:w="20" w:type="dxa"/>
            <w:vAlign w:val="bottom"/>
          </w:tcPr>
          <w:p>
            <w:pPr>
              <w:spacing w:after="0"/>
              <w:rPr>
                <w:sz w:val="18"/>
                <w:szCs w:val="18"/>
                <w:color w:val="auto"/>
              </w:rPr>
            </w:pPr>
          </w:p>
        </w:tc>
      </w:tr>
      <w:tr>
        <w:trPr>
          <w:trHeight w:val="203"/>
        </w:trPr>
        <w:tc>
          <w:tcPr>
            <w:tcW w:w="7600" w:type="dxa"/>
            <w:vAlign w:val="bottom"/>
          </w:tcPr>
          <w:p>
            <w:pPr>
              <w:ind w:left="140"/>
              <w:spacing w:after="0"/>
              <w:rPr>
                <w:sz w:val="20"/>
                <w:szCs w:val="20"/>
                <w:color w:val="auto"/>
              </w:rPr>
            </w:pPr>
            <w:r>
              <w:rPr>
                <w:rFonts w:ascii="Arial" w:cs="Arial" w:eastAsia="Arial" w:hAnsi="Arial"/>
                <w:sz w:val="14"/>
                <w:szCs w:val="14"/>
                <w:b w:val="1"/>
                <w:bCs w:val="1"/>
                <w:color w:val="auto"/>
              </w:rPr>
              <w:t>Non-GAAP adjusted EBITDA margin on constant currency basis</w:t>
            </w:r>
          </w:p>
        </w:tc>
        <w:tc>
          <w:tcPr>
            <w:tcW w:w="4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22.4 %</w:t>
            </w:r>
          </w:p>
        </w:tc>
        <w:tc>
          <w:tcPr>
            <w:tcW w:w="4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55"/>
        </w:trPr>
        <w:tc>
          <w:tcPr>
            <w:tcW w:w="7600" w:type="dxa"/>
            <w:vAlign w:val="bottom"/>
            <w:shd w:val="clear" w:color="auto" w:fill="F4F4F4"/>
          </w:tcPr>
          <w:p>
            <w:pPr>
              <w:spacing w:after="0"/>
              <w:rPr>
                <w:sz w:val="13"/>
                <w:szCs w:val="13"/>
                <w:color w:val="auto"/>
              </w:rPr>
            </w:pPr>
          </w:p>
        </w:tc>
        <w:tc>
          <w:tcPr>
            <w:tcW w:w="460" w:type="dxa"/>
            <w:vAlign w:val="bottom"/>
            <w:shd w:val="clear" w:color="auto" w:fill="F4F4F4"/>
          </w:tcPr>
          <w:p>
            <w:pPr>
              <w:spacing w:after="0"/>
              <w:rPr>
                <w:sz w:val="13"/>
                <w:szCs w:val="13"/>
                <w:color w:val="auto"/>
              </w:rPr>
            </w:pPr>
          </w:p>
        </w:tc>
        <w:tc>
          <w:tcPr>
            <w:tcW w:w="860" w:type="dxa"/>
            <w:vAlign w:val="bottom"/>
            <w:shd w:val="clear" w:color="auto" w:fill="F4F4F4"/>
          </w:tcPr>
          <w:p>
            <w:pPr>
              <w:spacing w:after="0"/>
              <w:rPr>
                <w:sz w:val="13"/>
                <w:szCs w:val="13"/>
                <w:color w:val="auto"/>
              </w:rPr>
            </w:pPr>
          </w:p>
        </w:tc>
        <w:tc>
          <w:tcPr>
            <w:tcW w:w="460" w:type="dxa"/>
            <w:vAlign w:val="bottom"/>
            <w:shd w:val="clear" w:color="auto" w:fill="F4F4F4"/>
          </w:tcPr>
          <w:p>
            <w:pPr>
              <w:spacing w:after="0"/>
              <w:rPr>
                <w:sz w:val="13"/>
                <w:szCs w:val="13"/>
                <w:color w:val="auto"/>
              </w:rPr>
            </w:pPr>
          </w:p>
        </w:tc>
        <w:tc>
          <w:tcPr>
            <w:tcW w:w="720" w:type="dxa"/>
            <w:vAlign w:val="bottom"/>
            <w:shd w:val="clear" w:color="auto" w:fill="F4F4F4"/>
          </w:tcPr>
          <w:p>
            <w:pPr>
              <w:spacing w:after="0"/>
              <w:rPr>
                <w:sz w:val="13"/>
                <w:szCs w:val="13"/>
                <w:color w:val="auto"/>
              </w:rPr>
            </w:pPr>
          </w:p>
        </w:tc>
        <w:tc>
          <w:tcPr>
            <w:tcW w:w="1140" w:type="dxa"/>
            <w:vAlign w:val="bottom"/>
            <w:shd w:val="clear" w:color="auto" w:fill="F4F4F4"/>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760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Rule of 40 on constant currency basis</w:t>
            </w:r>
            <w:r>
              <w:rPr>
                <w:rFonts w:ascii="Arial" w:cs="Arial" w:eastAsia="Arial" w:hAnsi="Arial"/>
                <w:sz w:val="18"/>
                <w:szCs w:val="18"/>
                <w:b w:val="1"/>
                <w:bCs w:val="1"/>
                <w:color w:val="auto"/>
                <w:vertAlign w:val="superscript"/>
              </w:rPr>
              <w:t>(6)</w:t>
            </w:r>
          </w:p>
        </w:tc>
        <w:tc>
          <w:tcPr>
            <w:tcW w:w="460" w:type="dxa"/>
            <w:vAlign w:val="bottom"/>
            <w:tcBorders>
              <w:bottom w:val="single" w:sz="8" w:color="71BF43"/>
            </w:tcBorders>
          </w:tcPr>
          <w:p>
            <w:pPr>
              <w:spacing w:after="0"/>
              <w:rPr>
                <w:sz w:val="18"/>
                <w:szCs w:val="18"/>
                <w:color w:val="auto"/>
              </w:rPr>
            </w:pPr>
          </w:p>
        </w:tc>
        <w:tc>
          <w:tcPr>
            <w:tcW w:w="860" w:type="dxa"/>
            <w:vAlign w:val="bottom"/>
            <w:tcBorders>
              <w:bottom w:val="single" w:sz="8" w:color="71BF43"/>
            </w:tcBorders>
          </w:tcPr>
          <w:p>
            <w:pPr>
              <w:jc w:val="right"/>
              <w:spacing w:after="0"/>
              <w:rPr>
                <w:sz w:val="20"/>
                <w:szCs w:val="20"/>
                <w:color w:val="auto"/>
              </w:rPr>
            </w:pPr>
            <w:r>
              <w:rPr>
                <w:rFonts w:ascii="Arial" w:cs="Arial" w:eastAsia="Arial" w:hAnsi="Arial"/>
                <w:sz w:val="14"/>
                <w:szCs w:val="14"/>
                <w:b w:val="1"/>
                <w:bCs w:val="1"/>
                <w:color w:val="auto"/>
              </w:rPr>
              <w:t>28.0 %</w:t>
            </w:r>
          </w:p>
        </w:tc>
        <w:tc>
          <w:tcPr>
            <w:tcW w:w="460" w:type="dxa"/>
            <w:vAlign w:val="bottom"/>
            <w:tcBorders>
              <w:bottom w:val="single" w:sz="8" w:color="71BF43"/>
            </w:tcBorders>
          </w:tcPr>
          <w:p>
            <w:pPr>
              <w:spacing w:after="0"/>
              <w:rPr>
                <w:sz w:val="18"/>
                <w:szCs w:val="18"/>
                <w:color w:val="auto"/>
              </w:rPr>
            </w:pPr>
          </w:p>
        </w:tc>
        <w:tc>
          <w:tcPr>
            <w:tcW w:w="720" w:type="dxa"/>
            <w:vAlign w:val="bottom"/>
            <w:tcBorders>
              <w:bottom w:val="single" w:sz="8" w:color="71BF43"/>
            </w:tcBorders>
          </w:tcPr>
          <w:p>
            <w:pPr>
              <w:spacing w:after="0"/>
              <w:rPr>
                <w:sz w:val="18"/>
                <w:szCs w:val="18"/>
                <w:color w:val="auto"/>
              </w:rPr>
            </w:pPr>
          </w:p>
        </w:tc>
        <w:tc>
          <w:tcPr>
            <w:tcW w:w="1140" w:type="dxa"/>
            <w:vAlign w:val="bottom"/>
            <w:tcBorders>
              <w:bottom w:val="single" w:sz="8" w:color="71BF43"/>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-4217035</wp:posOffset>
            </wp:positionV>
            <wp:extent cx="231457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79"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amortization expense related to software development costs and amortization expense from capitalized cloud computing implementation costs.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The individual amounts for each year may not sum to subtotal, non-GAAP EBITDA or non-GAAP adjusted EBITDA due to rounding.</w:t>
      </w:r>
    </w:p>
    <w:p>
      <w:pPr>
        <w:spacing w:after="0" w:line="1" w:lineRule="exact"/>
        <w:rPr>
          <w:rFonts w:ascii="Arial" w:cs="Arial" w:eastAsia="Arial" w:hAnsi="Arial"/>
          <w:sz w:val="14"/>
          <w:szCs w:val="14"/>
          <w:color w:val="auto"/>
        </w:rPr>
      </w:pPr>
    </w:p>
    <w:p>
      <w:pPr>
        <w:ind w:left="340" w:right="40" w:hanging="332"/>
        <w:spacing w:after="0" w:line="241" w:lineRule="auto"/>
        <w:tabs>
          <w:tab w:leader="none" w:pos="3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Includes Security Incident-related costs incurred, net of probable insurance recoveries. See additional details in the reconciliation of GAAP to Non-GAAP operating income above.</w:t>
      </w: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Measured by non-GAAP organic revenue growth plus non-GAAP adjusted EBITDA margin. See Non-GAAP organic revenue growth table above.</w:t>
      </w:r>
    </w:p>
    <w:p>
      <w:pPr>
        <w:spacing w:after="0" w:line="1" w:lineRule="exact"/>
        <w:rPr>
          <w:rFonts w:ascii="Arial" w:cs="Arial" w:eastAsia="Arial" w:hAnsi="Arial"/>
          <w:sz w:val="14"/>
          <w:szCs w:val="14"/>
          <w:color w:val="auto"/>
        </w:rPr>
      </w:pPr>
    </w:p>
    <w:p>
      <w:pPr>
        <w:jc w:val="both"/>
        <w:ind w:left="340" w:right="20" w:hanging="332"/>
        <w:spacing w:after="0" w:line="241" w:lineRule="auto"/>
        <w:tabs>
          <w:tab w:leader="none" w:pos="354" w:val="left"/>
        </w:tabs>
        <w:numPr>
          <w:ilvl w:val="0"/>
          <w:numId w:val="37"/>
        </w:numPr>
        <w:rPr>
          <w:rFonts w:ascii="Arial" w:cs="Arial" w:eastAsia="Arial" w:hAnsi="Arial"/>
          <w:sz w:val="14"/>
          <w:szCs w:val="14"/>
          <w:color w:val="auto"/>
        </w:rPr>
      </w:pPr>
      <w:r>
        <w:rPr>
          <w:rFonts w:ascii="Arial" w:cs="Arial" w:eastAsia="Arial" w:hAnsi="Arial"/>
          <w:sz w:val="14"/>
          <w:szCs w:val="14"/>
          <w:color w:val="auto"/>
        </w:rPr>
        <w:t>To determine non-GAAP adjusted EBITDA on a constant currency basis, non-GAAP adjusted EBITDA from entities reporting in foreign currencies were translated to U.S. Dollars using the comparable prior period's quarterly weighted average foreign currency exchange rates. The primary foreign currencies creating the impact are the Australian Dollar, British Pound, Canadian Dollar and EURO.</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Measured by non-GAAP organic revenue growth on constant currency basis plus non-GAAP adjusted EBITDA margin on constant currency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477520</wp:posOffset>
            </wp:positionV>
            <wp:extent cx="659765" cy="1714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6" w:name="page37"/>
    <w:bookmarkEnd w:id="3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Non-GAAP free cash flow and non-GAAP adjusted free cash flow</w:t>
      </w:r>
    </w:p>
    <w:p>
      <w:pPr>
        <w:spacing w:after="0" w:line="189"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Non-GAAP free cash flow is defined as operating cash flow less capital expenditures, including costs required to be capitalized for software development, and capital expenditures for property and equipment.</w:t>
      </w:r>
    </w:p>
    <w:p>
      <w:pPr>
        <w:spacing w:after="0" w:line="144"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Non-GAAP adjusted free cash flow is defined as operating cash flow less capital expenditures, including costs required to be capitalized for software development and capital expenditures for property and equipment, plus cash outflows, net of insurance, related to the Security Incident.</w:t>
      </w:r>
    </w:p>
    <w:p>
      <w:pPr>
        <w:spacing w:after="0" w:line="14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We believe non-GAAP free cash flow and non-GAAP adjusted free cash flow provides useful measures of the company's operating performance. Non-GAAP adjusted free cash flow is not intended to represent and should not be viewed as the amount of residual cash flow available for discretionary expenditures.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6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198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w:t>
            </w:r>
          </w:p>
        </w:tc>
        <w:tc>
          <w:tcPr>
            <w:tcW w:w="20" w:type="dxa"/>
            <w:vAlign w:val="bottom"/>
            <w:shd w:val="clear" w:color="auto" w:fill="ACACAC"/>
          </w:tcPr>
          <w:p>
            <w:pPr>
              <w:spacing w:after="0"/>
              <w:rPr>
                <w:sz w:val="16"/>
                <w:szCs w:val="16"/>
                <w:color w:val="auto"/>
              </w:rPr>
            </w:pPr>
          </w:p>
        </w:tc>
      </w:tr>
      <w:tr>
        <w:trPr>
          <w:trHeight w:val="190"/>
        </w:trPr>
        <w:tc>
          <w:tcPr>
            <w:tcW w:w="76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74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720" w:type="dxa"/>
            <w:vAlign w:val="bottom"/>
            <w:shd w:val="clear" w:color="auto" w:fill="ACACAC"/>
          </w:tcPr>
          <w:p>
            <w:pPr>
              <w:spacing w:after="0"/>
              <w:rPr>
                <w:sz w:val="16"/>
                <w:szCs w:val="16"/>
                <w:color w:val="auto"/>
              </w:rPr>
            </w:pPr>
          </w:p>
        </w:tc>
        <w:tc>
          <w:tcPr>
            <w:tcW w:w="12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0" w:type="dxa"/>
            <w:vAlign w:val="bottom"/>
            <w:shd w:val="clear" w:color="auto" w:fill="ACACAC"/>
          </w:tcPr>
          <w:p>
            <w:pPr>
              <w:spacing w:after="0"/>
              <w:rPr>
                <w:sz w:val="16"/>
                <w:szCs w:val="16"/>
                <w:color w:val="auto"/>
              </w:rPr>
            </w:pPr>
          </w:p>
        </w:tc>
      </w:tr>
      <w:tr>
        <w:trPr>
          <w:trHeight w:val="235"/>
        </w:trPr>
        <w:tc>
          <w:tcPr>
            <w:tcW w:w="760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460" w:type="dxa"/>
            <w:vAlign w:val="bottom"/>
            <w:tcBorders>
              <w:bottom w:val="single" w:sz="8" w:color="ACACAC"/>
            </w:tcBorders>
            <w:shd w:val="clear" w:color="auto" w:fill="ACACAC"/>
          </w:tcPr>
          <w:p>
            <w:pPr>
              <w:spacing w:after="0"/>
              <w:rPr>
                <w:sz w:val="20"/>
                <w:szCs w:val="20"/>
                <w:color w:val="auto"/>
              </w:rPr>
            </w:pPr>
          </w:p>
        </w:tc>
        <w:tc>
          <w:tcPr>
            <w:tcW w:w="7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460" w:type="dxa"/>
            <w:vAlign w:val="bottom"/>
            <w:tcBorders>
              <w:bottom w:val="single" w:sz="8" w:color="ACACAC"/>
            </w:tcBorders>
            <w:shd w:val="clear" w:color="auto" w:fill="ACACAC"/>
          </w:tcPr>
          <w:p>
            <w:pPr>
              <w:spacing w:after="0"/>
              <w:rPr>
                <w:sz w:val="20"/>
                <w:szCs w:val="20"/>
                <w:color w:val="auto"/>
              </w:rPr>
            </w:pPr>
          </w:p>
        </w:tc>
        <w:tc>
          <w:tcPr>
            <w:tcW w:w="720" w:type="dxa"/>
            <w:vAlign w:val="bottom"/>
            <w:tcBorders>
              <w:bottom w:val="single" w:sz="8" w:color="ACACAC"/>
            </w:tcBorders>
            <w:shd w:val="clear" w:color="auto" w:fill="ACACAC"/>
          </w:tcPr>
          <w:p>
            <w:pPr>
              <w:jc w:val="center"/>
              <w:ind w:left="288"/>
              <w:spacing w:after="0"/>
              <w:rPr>
                <w:sz w:val="20"/>
                <w:szCs w:val="20"/>
                <w:color w:val="auto"/>
              </w:rPr>
            </w:pPr>
            <w:r>
              <w:rPr>
                <w:rFonts w:ascii="Arial" w:cs="Arial" w:eastAsia="Arial" w:hAnsi="Arial"/>
                <w:sz w:val="14"/>
                <w:szCs w:val="14"/>
                <w:b w:val="1"/>
                <w:bCs w:val="1"/>
                <w:color w:val="FFFFFF"/>
              </w:rPr>
              <w:t>2021</w:t>
            </w:r>
          </w:p>
        </w:tc>
        <w:tc>
          <w:tcPr>
            <w:tcW w:w="126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16"/>
        </w:trPr>
        <w:tc>
          <w:tcPr>
            <w:tcW w:w="7600" w:type="dxa"/>
            <w:vAlign w:val="bottom"/>
            <w:shd w:val="clear" w:color="auto" w:fill="F4F4F4"/>
          </w:tcPr>
          <w:p>
            <w:pPr>
              <w:ind w:left="20"/>
              <w:spacing w:after="0"/>
              <w:rPr>
                <w:sz w:val="20"/>
                <w:szCs w:val="20"/>
                <w:color w:val="auto"/>
              </w:rPr>
            </w:pPr>
            <w:r>
              <w:rPr>
                <w:rFonts w:ascii="Arial" w:cs="Arial" w:eastAsia="Arial" w:hAnsi="Arial"/>
                <w:sz w:val="14"/>
                <w:szCs w:val="14"/>
                <w:b w:val="1"/>
                <w:bCs w:val="1"/>
                <w:color w:val="auto"/>
              </w:rPr>
              <w:t>GAAP net cash provided by operating activities</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shd w:val="clear" w:color="auto" w:fill="F4F4F4"/>
          </w:tcPr>
          <w:p>
            <w:pPr>
              <w:jc w:val="right"/>
              <w:ind w:right="8"/>
              <w:spacing w:after="0"/>
              <w:rPr>
                <w:sz w:val="20"/>
                <w:szCs w:val="20"/>
                <w:color w:val="auto"/>
              </w:rPr>
            </w:pPr>
            <w:r>
              <w:rPr>
                <w:rFonts w:ascii="Arial" w:cs="Arial" w:eastAsia="Arial" w:hAnsi="Arial"/>
                <w:sz w:val="14"/>
                <w:szCs w:val="14"/>
                <w:color w:val="auto"/>
              </w:rPr>
              <w:t>24.5</w:t>
            </w:r>
          </w:p>
        </w:tc>
        <w:tc>
          <w:tcPr>
            <w:tcW w:w="460" w:type="dxa"/>
            <w:vAlign w:val="bottom"/>
            <w:shd w:val="clear" w:color="auto" w:fill="F4F4F4"/>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30.1</w:t>
            </w:r>
          </w:p>
        </w:tc>
        <w:tc>
          <w:tcPr>
            <w:tcW w:w="12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(18.6)%</w:t>
            </w:r>
          </w:p>
        </w:tc>
        <w:tc>
          <w:tcPr>
            <w:tcW w:w="20" w:type="dxa"/>
            <w:vAlign w:val="bottom"/>
          </w:tcPr>
          <w:p>
            <w:pPr>
              <w:spacing w:after="0"/>
              <w:rPr>
                <w:sz w:val="18"/>
                <w:szCs w:val="18"/>
                <w:color w:val="auto"/>
              </w:rPr>
            </w:pPr>
          </w:p>
        </w:tc>
      </w:tr>
      <w:tr>
        <w:trPr>
          <w:trHeight w:val="210"/>
        </w:trPr>
        <w:tc>
          <w:tcPr>
            <w:tcW w:w="7600" w:type="dxa"/>
            <w:vAlign w:val="bottom"/>
          </w:tcPr>
          <w:p>
            <w:pPr>
              <w:ind w:left="140"/>
              <w:spacing w:after="0"/>
              <w:rPr>
                <w:sz w:val="20"/>
                <w:szCs w:val="20"/>
                <w:color w:val="auto"/>
              </w:rPr>
            </w:pPr>
            <w:r>
              <w:rPr>
                <w:rFonts w:ascii="Arial" w:cs="Arial" w:eastAsia="Arial" w:hAnsi="Arial"/>
                <w:sz w:val="14"/>
                <w:szCs w:val="14"/>
                <w:color w:val="auto"/>
              </w:rPr>
              <w:t>Less: purchase of property and equipment</w:t>
            </w:r>
          </w:p>
        </w:tc>
        <w:tc>
          <w:tcPr>
            <w:tcW w:w="4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(4.3)</w:t>
            </w:r>
          </w:p>
        </w:tc>
        <w:tc>
          <w:tcPr>
            <w:tcW w:w="460" w:type="dxa"/>
            <w:vAlign w:val="bottom"/>
          </w:tcPr>
          <w:p>
            <w:pPr>
              <w:spacing w:after="0"/>
              <w:rPr>
                <w:sz w:val="18"/>
                <w:szCs w:val="18"/>
                <w:color w:val="auto"/>
              </w:rPr>
            </w:pPr>
          </w:p>
        </w:tc>
        <w:tc>
          <w:tcPr>
            <w:tcW w:w="720" w:type="dxa"/>
            <w:vAlign w:val="bottom"/>
          </w:tcPr>
          <w:p>
            <w:pPr>
              <w:jc w:val="center"/>
              <w:ind w:left="308"/>
              <w:spacing w:after="0"/>
              <w:rPr>
                <w:sz w:val="20"/>
                <w:szCs w:val="20"/>
                <w:color w:val="auto"/>
              </w:rPr>
            </w:pPr>
            <w:r>
              <w:rPr>
                <w:rFonts w:ascii="Arial" w:cs="Arial" w:eastAsia="Arial" w:hAnsi="Arial"/>
                <w:sz w:val="14"/>
                <w:szCs w:val="14"/>
                <w:color w:val="auto"/>
              </w:rPr>
              <w:t>(3.5)</w:t>
            </w:r>
          </w:p>
        </w:tc>
        <w:tc>
          <w:tcPr>
            <w:tcW w:w="1260" w:type="dxa"/>
            <w:vAlign w:val="bottom"/>
          </w:tcPr>
          <w:p>
            <w:pPr>
              <w:jc w:val="right"/>
              <w:spacing w:after="0"/>
              <w:rPr>
                <w:sz w:val="20"/>
                <w:szCs w:val="20"/>
                <w:color w:val="auto"/>
              </w:rPr>
            </w:pPr>
            <w:r>
              <w:rPr>
                <w:rFonts w:ascii="Arial" w:cs="Arial" w:eastAsia="Arial" w:hAnsi="Arial"/>
                <w:sz w:val="14"/>
                <w:szCs w:val="14"/>
                <w:color w:val="auto"/>
              </w:rPr>
              <w:t>22.9 %</w:t>
            </w:r>
          </w:p>
        </w:tc>
        <w:tc>
          <w:tcPr>
            <w:tcW w:w="20" w:type="dxa"/>
            <w:vAlign w:val="bottom"/>
          </w:tcPr>
          <w:p>
            <w:pPr>
              <w:spacing w:after="0"/>
              <w:rPr>
                <w:sz w:val="18"/>
                <w:szCs w:val="18"/>
                <w:color w:val="auto"/>
              </w:rPr>
            </w:pPr>
          </w:p>
        </w:tc>
      </w:tr>
      <w:tr>
        <w:trPr>
          <w:trHeight w:val="222"/>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Less: capitalized software development costs</w:t>
            </w:r>
          </w:p>
        </w:tc>
        <w:tc>
          <w:tcPr>
            <w:tcW w:w="460" w:type="dxa"/>
            <w:vAlign w:val="bottom"/>
            <w:tcBorders>
              <w:bottom w:val="single" w:sz="8" w:color="auto"/>
            </w:tcBorders>
            <w:shd w:val="clear" w:color="auto" w:fill="F4F4F4"/>
          </w:tcPr>
          <w:p>
            <w:pPr>
              <w:spacing w:after="0"/>
              <w:rPr>
                <w:sz w:val="19"/>
                <w:szCs w:val="19"/>
                <w:color w:val="auto"/>
              </w:rPr>
            </w:pPr>
          </w:p>
        </w:tc>
        <w:tc>
          <w:tcPr>
            <w:tcW w:w="74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(12.7)</w:t>
            </w:r>
          </w:p>
        </w:tc>
        <w:tc>
          <w:tcPr>
            <w:tcW w:w="460" w:type="dxa"/>
            <w:vAlign w:val="bottom"/>
            <w:tcBorders>
              <w:bottom w:val="single" w:sz="8" w:color="auto"/>
            </w:tcBorders>
            <w:shd w:val="clear" w:color="auto" w:fill="F4F4F4"/>
          </w:tcPr>
          <w:p>
            <w:pPr>
              <w:spacing w:after="0"/>
              <w:rPr>
                <w:sz w:val="19"/>
                <w:szCs w:val="19"/>
                <w:color w:val="auto"/>
              </w:rPr>
            </w:pPr>
          </w:p>
        </w:tc>
        <w:tc>
          <w:tcPr>
            <w:tcW w:w="720" w:type="dxa"/>
            <w:vAlign w:val="bottom"/>
            <w:tcBorders>
              <w:bottom w:val="single" w:sz="8" w:color="auto"/>
            </w:tcBorders>
            <w:shd w:val="clear" w:color="auto" w:fill="F4F4F4"/>
          </w:tcPr>
          <w:p>
            <w:pPr>
              <w:jc w:val="center"/>
              <w:ind w:left="308"/>
              <w:spacing w:after="0"/>
              <w:rPr>
                <w:sz w:val="20"/>
                <w:szCs w:val="20"/>
                <w:color w:val="auto"/>
              </w:rPr>
            </w:pPr>
            <w:r>
              <w:rPr>
                <w:rFonts w:ascii="Arial" w:cs="Arial" w:eastAsia="Arial" w:hAnsi="Arial"/>
                <w:sz w:val="14"/>
                <w:szCs w:val="14"/>
                <w:color w:val="auto"/>
              </w:rPr>
              <w:t>(9.3)</w:t>
            </w:r>
          </w:p>
        </w:tc>
        <w:tc>
          <w:tcPr>
            <w:tcW w:w="12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36.3 %</w:t>
            </w:r>
          </w:p>
        </w:tc>
        <w:tc>
          <w:tcPr>
            <w:tcW w:w="20" w:type="dxa"/>
            <w:vAlign w:val="bottom"/>
          </w:tcPr>
          <w:p>
            <w:pPr>
              <w:spacing w:after="0"/>
              <w:rPr>
                <w:sz w:val="19"/>
                <w:szCs w:val="19"/>
                <w:color w:val="auto"/>
              </w:rPr>
            </w:pPr>
          </w:p>
        </w:tc>
      </w:tr>
      <w:tr>
        <w:trPr>
          <w:trHeight w:val="203"/>
        </w:trPr>
        <w:tc>
          <w:tcPr>
            <w:tcW w:w="7600" w:type="dxa"/>
            <w:vAlign w:val="bottom"/>
          </w:tcPr>
          <w:p>
            <w:pPr>
              <w:ind w:left="20"/>
              <w:spacing w:after="0"/>
              <w:rPr>
                <w:sz w:val="20"/>
                <w:szCs w:val="20"/>
                <w:color w:val="auto"/>
              </w:rPr>
            </w:pPr>
            <w:r>
              <w:rPr>
                <w:rFonts w:ascii="Arial" w:cs="Arial" w:eastAsia="Arial" w:hAnsi="Arial"/>
                <w:sz w:val="14"/>
                <w:szCs w:val="14"/>
                <w:b w:val="1"/>
                <w:bCs w:val="1"/>
                <w:color w:val="auto"/>
              </w:rPr>
              <w:t>Non-GAAP free cash flow</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7.6</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17.3</w:t>
            </w:r>
          </w:p>
        </w:tc>
        <w:tc>
          <w:tcPr>
            <w:tcW w:w="1260" w:type="dxa"/>
            <w:vAlign w:val="bottom"/>
          </w:tcPr>
          <w:p>
            <w:pPr>
              <w:jc w:val="right"/>
              <w:spacing w:after="0"/>
              <w:rPr>
                <w:sz w:val="20"/>
                <w:szCs w:val="20"/>
                <w:color w:val="auto"/>
              </w:rPr>
            </w:pPr>
            <w:r>
              <w:rPr>
                <w:rFonts w:ascii="Arial" w:cs="Arial" w:eastAsia="Arial" w:hAnsi="Arial"/>
                <w:sz w:val="14"/>
                <w:szCs w:val="14"/>
                <w:color w:val="auto"/>
              </w:rPr>
              <w:t>(56.4)%</w:t>
            </w:r>
          </w:p>
        </w:tc>
        <w:tc>
          <w:tcPr>
            <w:tcW w:w="20" w:type="dxa"/>
            <w:vAlign w:val="bottom"/>
          </w:tcPr>
          <w:p>
            <w:pPr>
              <w:spacing w:after="0"/>
              <w:rPr>
                <w:sz w:val="17"/>
                <w:szCs w:val="17"/>
                <w:color w:val="auto"/>
              </w:rPr>
            </w:pPr>
          </w:p>
        </w:tc>
      </w:tr>
      <w:tr>
        <w:trPr>
          <w:trHeight w:val="222"/>
        </w:trPr>
        <w:tc>
          <w:tcPr>
            <w:tcW w:w="7600" w:type="dxa"/>
            <w:vAlign w:val="bottom"/>
            <w:shd w:val="clear" w:color="auto" w:fill="F4F4F4"/>
          </w:tcPr>
          <w:p>
            <w:pPr>
              <w:ind w:left="140"/>
              <w:spacing w:after="0"/>
              <w:rPr>
                <w:sz w:val="20"/>
                <w:szCs w:val="20"/>
                <w:color w:val="auto"/>
              </w:rPr>
            </w:pPr>
            <w:r>
              <w:rPr>
                <w:rFonts w:ascii="Arial" w:cs="Arial" w:eastAsia="Arial" w:hAnsi="Arial"/>
                <w:sz w:val="14"/>
                <w:szCs w:val="14"/>
                <w:color w:val="auto"/>
              </w:rPr>
              <w:t>Add: Security Incident-related cash flows, net of insurance</w:t>
            </w:r>
          </w:p>
        </w:tc>
        <w:tc>
          <w:tcPr>
            <w:tcW w:w="460" w:type="dxa"/>
            <w:vAlign w:val="bottom"/>
            <w:tcBorders>
              <w:bottom w:val="single" w:sz="8" w:color="auto"/>
            </w:tcBorders>
            <w:shd w:val="clear" w:color="auto" w:fill="F4F4F4"/>
          </w:tcPr>
          <w:p>
            <w:pPr>
              <w:spacing w:after="0"/>
              <w:rPr>
                <w:sz w:val="19"/>
                <w:szCs w:val="19"/>
                <w:color w:val="auto"/>
              </w:rPr>
            </w:pPr>
          </w:p>
        </w:tc>
        <w:tc>
          <w:tcPr>
            <w:tcW w:w="740" w:type="dxa"/>
            <w:vAlign w:val="bottom"/>
            <w:tcBorders>
              <w:bottom w:val="single" w:sz="8" w:color="auto"/>
            </w:tcBorders>
            <w:shd w:val="clear" w:color="auto" w:fill="F4F4F4"/>
          </w:tcPr>
          <w:p>
            <w:pPr>
              <w:jc w:val="right"/>
              <w:ind w:right="8"/>
              <w:spacing w:after="0"/>
              <w:rPr>
                <w:sz w:val="20"/>
                <w:szCs w:val="20"/>
                <w:color w:val="auto"/>
              </w:rPr>
            </w:pPr>
            <w:r>
              <w:rPr>
                <w:rFonts w:ascii="Arial" w:cs="Arial" w:eastAsia="Arial" w:hAnsi="Arial"/>
                <w:sz w:val="14"/>
                <w:szCs w:val="14"/>
                <w:color w:val="auto"/>
              </w:rPr>
              <w:t>0.8</w:t>
            </w:r>
          </w:p>
        </w:tc>
        <w:tc>
          <w:tcPr>
            <w:tcW w:w="460" w:type="dxa"/>
            <w:vAlign w:val="bottom"/>
            <w:tcBorders>
              <w:bottom w:val="single" w:sz="8" w:color="auto"/>
            </w:tcBorders>
            <w:shd w:val="clear" w:color="auto" w:fill="F4F4F4"/>
          </w:tcPr>
          <w:p>
            <w:pPr>
              <w:spacing w:after="0"/>
              <w:rPr>
                <w:sz w:val="19"/>
                <w:szCs w:val="19"/>
                <w:color w:val="auto"/>
              </w:rPr>
            </w:pPr>
          </w:p>
        </w:tc>
        <w:tc>
          <w:tcPr>
            <w:tcW w:w="720" w:type="dxa"/>
            <w:vAlign w:val="bottom"/>
            <w:tcBorders>
              <w:bottom w:val="single" w:sz="8" w:color="auto"/>
            </w:tcBorders>
            <w:shd w:val="clear" w:color="auto" w:fill="F4F4F4"/>
          </w:tcPr>
          <w:p>
            <w:pPr>
              <w:jc w:val="right"/>
              <w:spacing w:after="0"/>
              <w:rPr>
                <w:sz w:val="20"/>
                <w:szCs w:val="20"/>
                <w:color w:val="auto"/>
              </w:rPr>
            </w:pPr>
            <w:r>
              <w:rPr>
                <w:rFonts w:ascii="Arial" w:cs="Arial" w:eastAsia="Arial" w:hAnsi="Arial"/>
                <w:sz w:val="14"/>
                <w:szCs w:val="14"/>
                <w:color w:val="auto"/>
              </w:rPr>
              <w:t>1.4</w:t>
            </w:r>
          </w:p>
        </w:tc>
        <w:tc>
          <w:tcPr>
            <w:tcW w:w="1260" w:type="dxa"/>
            <w:vAlign w:val="bottom"/>
            <w:shd w:val="clear" w:color="auto" w:fill="F4F4F4"/>
          </w:tcPr>
          <w:p>
            <w:pPr>
              <w:jc w:val="right"/>
              <w:spacing w:after="0"/>
              <w:rPr>
                <w:sz w:val="20"/>
                <w:szCs w:val="20"/>
                <w:color w:val="auto"/>
              </w:rPr>
            </w:pPr>
            <w:r>
              <w:rPr>
                <w:rFonts w:ascii="Arial" w:cs="Arial" w:eastAsia="Arial" w:hAnsi="Arial"/>
                <w:sz w:val="14"/>
                <w:szCs w:val="14"/>
                <w:color w:val="auto"/>
              </w:rPr>
              <w:t>(41.9)%</w:t>
            </w:r>
          </w:p>
        </w:tc>
        <w:tc>
          <w:tcPr>
            <w:tcW w:w="20" w:type="dxa"/>
            <w:vAlign w:val="bottom"/>
          </w:tcPr>
          <w:p>
            <w:pPr>
              <w:spacing w:after="0"/>
              <w:rPr>
                <w:sz w:val="19"/>
                <w:szCs w:val="19"/>
                <w:color w:val="auto"/>
              </w:rPr>
            </w:pPr>
          </w:p>
        </w:tc>
      </w:tr>
      <w:tr>
        <w:trPr>
          <w:trHeight w:val="203"/>
        </w:trPr>
        <w:tc>
          <w:tcPr>
            <w:tcW w:w="7600" w:type="dxa"/>
            <w:vAlign w:val="bottom"/>
            <w:tcBorders>
              <w:bottom w:val="single" w:sz="8" w:color="71BF43"/>
            </w:tcBorders>
          </w:tcPr>
          <w:p>
            <w:pPr>
              <w:ind w:left="20"/>
              <w:spacing w:after="0"/>
              <w:rPr>
                <w:sz w:val="20"/>
                <w:szCs w:val="20"/>
                <w:color w:val="auto"/>
              </w:rPr>
            </w:pPr>
            <w:r>
              <w:rPr>
                <w:rFonts w:ascii="Arial" w:cs="Arial" w:eastAsia="Arial" w:hAnsi="Arial"/>
                <w:sz w:val="14"/>
                <w:szCs w:val="14"/>
                <w:b w:val="1"/>
                <w:bCs w:val="1"/>
                <w:color w:val="auto"/>
              </w:rPr>
              <w:t>Non-GAAP adjusted free cash flow</w:t>
            </w:r>
          </w:p>
        </w:tc>
        <w:tc>
          <w:tcPr>
            <w:tcW w:w="460" w:type="dxa"/>
            <w:vAlign w:val="bottom"/>
            <w:tcBorders>
              <w:bottom w:val="single" w:sz="8" w:color="71BF43"/>
            </w:tcBorders>
          </w:tcPr>
          <w:p>
            <w:pPr>
              <w:jc w:val="right"/>
              <w:ind w:right="2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71BF43"/>
            </w:tcBorders>
          </w:tcPr>
          <w:p>
            <w:pPr>
              <w:jc w:val="right"/>
              <w:ind w:right="8"/>
              <w:spacing w:after="0"/>
              <w:rPr>
                <w:sz w:val="20"/>
                <w:szCs w:val="20"/>
                <w:color w:val="auto"/>
              </w:rPr>
            </w:pPr>
            <w:r>
              <w:rPr>
                <w:rFonts w:ascii="Arial" w:cs="Arial" w:eastAsia="Arial" w:hAnsi="Arial"/>
                <w:sz w:val="14"/>
                <w:szCs w:val="14"/>
                <w:color w:val="auto"/>
              </w:rPr>
              <w:t>8.4</w:t>
            </w:r>
          </w:p>
        </w:tc>
        <w:tc>
          <w:tcPr>
            <w:tcW w:w="460" w:type="dxa"/>
            <w:vAlign w:val="bottom"/>
            <w:tcBorders>
              <w:bottom w:val="single" w:sz="8" w:color="71BF43"/>
            </w:tcBorders>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18.7</w:t>
            </w:r>
          </w:p>
        </w:tc>
        <w:tc>
          <w:tcPr>
            <w:tcW w:w="1260" w:type="dxa"/>
            <w:vAlign w:val="bottom"/>
            <w:tcBorders>
              <w:bottom w:val="single" w:sz="8" w:color="71BF43"/>
            </w:tcBorders>
          </w:tcPr>
          <w:p>
            <w:pPr>
              <w:jc w:val="right"/>
              <w:spacing w:after="0"/>
              <w:rPr>
                <w:sz w:val="20"/>
                <w:szCs w:val="20"/>
                <w:color w:val="auto"/>
              </w:rPr>
            </w:pPr>
            <w:r>
              <w:rPr>
                <w:rFonts w:ascii="Arial" w:cs="Arial" w:eastAsia="Arial" w:hAnsi="Arial"/>
                <w:sz w:val="14"/>
                <w:szCs w:val="14"/>
                <w:color w:val="auto"/>
              </w:rPr>
              <w:t>(55.3)%</w:t>
            </w: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4831080</wp:posOffset>
            </wp:positionH>
            <wp:positionV relativeFrom="paragraph">
              <wp:posOffset>-1002665</wp:posOffset>
            </wp:positionV>
            <wp:extent cx="231457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314575"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93"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revenues normally fluctuate as a result of certain seasonal variations in our business. Our first quarter has historically been the seasonal low for bookings, with the second and fourth quarters historically being seasonally higher, and our bookings tend to be back-end loaded within individual quarters given our quarterly quota plans. Transactional revenue is non-contractual and less predictable given the susceptibility to certain drivers such as timing and number of events and marketing campaigns, as well as fluctuations in donation volumes and tuition payments. Our transactional revenue has historically been at its lowest in the first quarter due to the timing of customer fundraising initiatives and events. We have historically experienced seasonal highs during the fourth quarter due to year-end giving campaigns and during the second quarter when a large number of events are held. Our revenue from professional services has historically been lower in the first quarter when many of those services commence and in the fourth quarter due to the holiday season. As a result of these and other factors, our total revenue has historically been lower in the first quarter than in the remainder of our fiscal year, with the fourth quarter historically achieving the highest total revenue. Our expenses, other than transaction-based costs related to our payments services, do not vary significantly as a result of these factors, but do fluctuate on a quarterly basis due to varying timing of expenditures.</w:t>
      </w:r>
    </w:p>
    <w:p>
      <w:pPr>
        <w:spacing w:after="0" w:line="157"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cash flow from operations normally fluctuates quarterly due to the combination of the timing of customer contract renewals including renewals associated with customers of acquired companies, delivery of professional services and occurrence of customer events, as well as merit-based salary increases, among other factors. Historically, due to lower revenues in our first quarter, combined with the payment of certain annual vendor contracts, our cash flow from operations has been lowest in our first quarter. Due to the timing of customer contract renewals and student enrollments, many of which take place at or near the beginning of our third quarter, our cash flow from operations has been lower in our second quarter as compared to our third and fourth quarters. Partially, offsetting these favorable drivers of cash flow from operations in our third and fourth quarters are base salary merit increases, which occur in July. In addition, deferred revenues can vary on a seasonal basis due to the timing of customer contract renewals and student enrollments. Our cash flow from financing is negatively impacted in our first quarter when most of our equity awards vest, as we pay taxes on behalf of our employees related to the settlement or exercise of equity awards. These patterns may change as a result of the continued shift to online giving, growth in volume of transactions for which we process payments, or as a result of acquisitions, new market opportunities, new solution introductions, the COVID-19 pandemic or other factors.</w:t>
      </w:r>
    </w:p>
    <w:p>
      <w:pPr>
        <w:spacing w:after="0" w:line="317"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36</w:t>
      </w:r>
      <w:r>
        <w:rPr>
          <w:sz w:val="20"/>
          <w:szCs w:val="20"/>
          <w:color w:val="auto"/>
        </w:rPr>
        <w:tab/>
      </w:r>
      <w:r>
        <w:rPr>
          <w:sz w:val="1"/>
          <w:szCs w:val="1"/>
          <w:color w:val="auto"/>
        </w:rPr>
        <w:drawing>
          <wp:inline distT="0" distB="0" distL="0" distR="0">
            <wp:extent cx="651510" cy="171450"/>
            <wp:effectExtent l="0" t="0" r="0" b="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7" w:name="page38"/>
    <w:bookmarkEnd w:id="3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Liquidity and Capital Resources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selected financial information about our financial position:</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12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9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March 31,</w:t>
            </w:r>
          </w:p>
        </w:tc>
        <w:tc>
          <w:tcPr>
            <w:tcW w:w="240" w:type="dxa"/>
            <w:vAlign w:val="bottom"/>
            <w:shd w:val="clear" w:color="auto" w:fill="ACACAC"/>
          </w:tcPr>
          <w:p>
            <w:pPr>
              <w:spacing w:after="0"/>
              <w:rPr>
                <w:sz w:val="16"/>
                <w:szCs w:val="16"/>
                <w:color w:val="auto"/>
              </w:rPr>
            </w:pPr>
          </w:p>
        </w:tc>
        <w:tc>
          <w:tcPr>
            <w:tcW w:w="108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December 31,</w:t>
            </w:r>
          </w:p>
        </w:tc>
        <w:tc>
          <w:tcPr>
            <w:tcW w:w="1480" w:type="dxa"/>
            <w:vAlign w:val="bottom"/>
            <w:shd w:val="clear" w:color="auto" w:fill="ACACAC"/>
          </w:tcPr>
          <w:p>
            <w:pPr>
              <w:spacing w:after="0"/>
              <w:rPr>
                <w:sz w:val="16"/>
                <w:szCs w:val="16"/>
                <w:color w:val="auto"/>
              </w:rPr>
            </w:pPr>
          </w:p>
        </w:tc>
        <w:tc>
          <w:tcPr>
            <w:tcW w:w="20" w:type="dxa"/>
            <w:vAlign w:val="bottom"/>
            <w:shd w:val="clear" w:color="auto" w:fill="ACACAC"/>
          </w:tcPr>
          <w:p>
            <w:pPr>
              <w:spacing w:after="0"/>
              <w:rPr>
                <w:sz w:val="16"/>
                <w:szCs w:val="16"/>
                <w:color w:val="auto"/>
              </w:rPr>
            </w:pPr>
          </w:p>
        </w:tc>
      </w:tr>
      <w:tr>
        <w:trPr>
          <w:trHeight w:val="196"/>
        </w:trPr>
        <w:tc>
          <w:tcPr>
            <w:tcW w:w="71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80" w:type="dxa"/>
            <w:vAlign w:val="bottom"/>
            <w:tcBorders>
              <w:bottom w:val="single" w:sz="8" w:color="ACACAC"/>
            </w:tcBorders>
            <w:shd w:val="clear" w:color="auto" w:fill="ACACAC"/>
          </w:tcPr>
          <w:p>
            <w:pPr>
              <w:spacing w:after="0"/>
              <w:rPr>
                <w:sz w:val="17"/>
                <w:szCs w:val="17"/>
                <w:color w:val="auto"/>
              </w:rPr>
            </w:pPr>
          </w:p>
        </w:tc>
        <w:tc>
          <w:tcPr>
            <w:tcW w:w="9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40" w:type="dxa"/>
            <w:vAlign w:val="bottom"/>
            <w:tcBorders>
              <w:bottom w:val="single" w:sz="8" w:color="ACACAC"/>
            </w:tcBorders>
            <w:shd w:val="clear" w:color="auto" w:fill="ACACAC"/>
          </w:tcPr>
          <w:p>
            <w:pPr>
              <w:spacing w:after="0"/>
              <w:rPr>
                <w:sz w:val="17"/>
                <w:szCs w:val="17"/>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4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0"/>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Cash and cash equivalents</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33.8</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55.1</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(38.7)%</w:t>
            </w:r>
          </w:p>
        </w:tc>
        <w:tc>
          <w:tcPr>
            <w:tcW w:w="20" w:type="dxa"/>
            <w:vAlign w:val="bottom"/>
          </w:tcPr>
          <w:p>
            <w:pPr>
              <w:spacing w:after="0"/>
              <w:rPr>
                <w:sz w:val="21"/>
                <w:szCs w:val="2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112.7</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111.4</w:t>
            </w:r>
          </w:p>
        </w:tc>
        <w:tc>
          <w:tcPr>
            <w:tcW w:w="1480" w:type="dxa"/>
            <w:vAlign w:val="bottom"/>
          </w:tcPr>
          <w:p>
            <w:pPr>
              <w:jc w:val="right"/>
              <w:spacing w:after="0"/>
              <w:rPr>
                <w:sz w:val="20"/>
                <w:szCs w:val="20"/>
                <w:color w:val="auto"/>
              </w:rPr>
            </w:pPr>
            <w:r>
              <w:rPr>
                <w:rFonts w:ascii="Arial" w:cs="Arial" w:eastAsia="Arial" w:hAnsi="Arial"/>
                <w:sz w:val="18"/>
                <w:szCs w:val="18"/>
                <w:color w:val="auto"/>
              </w:rPr>
              <w:t>1.1 %</w:t>
            </w:r>
          </w:p>
        </w:tc>
        <w:tc>
          <w:tcPr>
            <w:tcW w:w="2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Software development costs, net</w:t>
            </w:r>
          </w:p>
        </w:tc>
        <w:tc>
          <w:tcPr>
            <w:tcW w:w="38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126.8</w:t>
            </w:r>
          </w:p>
        </w:tc>
        <w:tc>
          <w:tcPr>
            <w:tcW w:w="24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121.4</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4.4 %</w:t>
            </w:r>
          </w:p>
        </w:tc>
        <w:tc>
          <w:tcPr>
            <w:tcW w:w="20" w:type="dxa"/>
            <w:vAlign w:val="bottom"/>
          </w:tcPr>
          <w:p>
            <w:pPr>
              <w:spacing w:after="0"/>
              <w:rPr>
                <w:sz w:val="21"/>
                <w:szCs w:val="2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Total carrying value of debt</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981.2</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956.2</w:t>
            </w:r>
          </w:p>
        </w:tc>
        <w:tc>
          <w:tcPr>
            <w:tcW w:w="1480" w:type="dxa"/>
            <w:vAlign w:val="bottom"/>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5"/>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Working capital</w:t>
            </w:r>
          </w:p>
        </w:tc>
        <w:tc>
          <w:tcPr>
            <w:tcW w:w="380" w:type="dxa"/>
            <w:vAlign w:val="bottom"/>
            <w:tcBorders>
              <w:bottom w:val="single" w:sz="8" w:color="F4F4F4"/>
            </w:tcBorders>
            <w:shd w:val="clear" w:color="auto" w:fill="F4F4F4"/>
          </w:tcPr>
          <w:p>
            <w:pPr>
              <w:spacing w:after="0"/>
              <w:rPr>
                <w:sz w:val="23"/>
                <w:szCs w:val="23"/>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(251.8)</w:t>
            </w:r>
          </w:p>
        </w:tc>
        <w:tc>
          <w:tcPr>
            <w:tcW w:w="240" w:type="dxa"/>
            <w:vAlign w:val="bottom"/>
            <w:tcBorders>
              <w:bottom w:val="single" w:sz="8" w:color="F4F4F4"/>
            </w:tcBorders>
            <w:shd w:val="clear" w:color="auto" w:fill="F4F4F4"/>
          </w:tcPr>
          <w:p>
            <w:pPr>
              <w:spacing w:after="0"/>
              <w:rPr>
                <w:sz w:val="23"/>
                <w:szCs w:val="23"/>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(258.7)</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2.6 %</w:t>
            </w:r>
          </w:p>
        </w:tc>
        <w:tc>
          <w:tcPr>
            <w:tcW w:w="20" w:type="dxa"/>
            <w:vAlign w:val="bottom"/>
          </w:tcPr>
          <w:p>
            <w:pPr>
              <w:spacing w:after="0"/>
              <w:rPr>
                <w:sz w:val="23"/>
                <w:szCs w:val="23"/>
                <w:color w:val="auto"/>
              </w:rPr>
            </w:pPr>
          </w:p>
        </w:tc>
      </w:tr>
      <w:tr>
        <w:trPr>
          <w:trHeight w:val="453"/>
        </w:trPr>
        <w:tc>
          <w:tcPr>
            <w:tcW w:w="7120" w:type="dxa"/>
            <w:vAlign w:val="bottom"/>
            <w:tcBorders>
              <w:top w:val="single" w:sz="8" w:color="71BF43"/>
            </w:tcBorders>
          </w:tcPr>
          <w:p>
            <w:pPr>
              <w:spacing w:after="0"/>
              <w:rPr>
                <w:sz w:val="20"/>
                <w:szCs w:val="20"/>
                <w:color w:val="auto"/>
              </w:rPr>
            </w:pPr>
            <w:r>
              <w:rPr>
                <w:rFonts w:ascii="Arial" w:cs="Arial" w:eastAsia="Arial" w:hAnsi="Arial"/>
                <w:sz w:val="18"/>
                <w:szCs w:val="18"/>
                <w:color w:val="auto"/>
              </w:rPr>
              <w:t>The following table presents selected financial information about our cash flows:</w:t>
            </w:r>
          </w:p>
        </w:tc>
        <w:tc>
          <w:tcPr>
            <w:tcW w:w="380" w:type="dxa"/>
            <w:vAlign w:val="bottom"/>
            <w:tcBorders>
              <w:top w:val="single" w:sz="8" w:color="71BF43"/>
            </w:tcBorders>
          </w:tcPr>
          <w:p>
            <w:pPr>
              <w:spacing w:after="0"/>
              <w:rPr>
                <w:sz w:val="24"/>
                <w:szCs w:val="24"/>
                <w:color w:val="auto"/>
              </w:rPr>
            </w:pPr>
          </w:p>
        </w:tc>
        <w:tc>
          <w:tcPr>
            <w:tcW w:w="940" w:type="dxa"/>
            <w:vAlign w:val="bottom"/>
            <w:tcBorders>
              <w:top w:val="single" w:sz="8" w:color="71BF43"/>
            </w:tcBorders>
          </w:tcPr>
          <w:p>
            <w:pPr>
              <w:spacing w:after="0"/>
              <w:rPr>
                <w:sz w:val="24"/>
                <w:szCs w:val="24"/>
                <w:color w:val="auto"/>
              </w:rPr>
            </w:pPr>
          </w:p>
        </w:tc>
        <w:tc>
          <w:tcPr>
            <w:tcW w:w="240" w:type="dxa"/>
            <w:vAlign w:val="bottom"/>
            <w:tcBorders>
              <w:top w:val="single" w:sz="8" w:color="71BF43"/>
            </w:tcBorders>
          </w:tcPr>
          <w:p>
            <w:pPr>
              <w:spacing w:after="0"/>
              <w:rPr>
                <w:sz w:val="24"/>
                <w:szCs w:val="24"/>
                <w:color w:val="auto"/>
              </w:rPr>
            </w:pPr>
          </w:p>
        </w:tc>
        <w:tc>
          <w:tcPr>
            <w:tcW w:w="1080" w:type="dxa"/>
            <w:vAlign w:val="bottom"/>
            <w:tcBorders>
              <w:top w:val="single" w:sz="8" w:color="71BF43"/>
            </w:tcBorders>
          </w:tcPr>
          <w:p>
            <w:pPr>
              <w:spacing w:after="0"/>
              <w:rPr>
                <w:sz w:val="24"/>
                <w:szCs w:val="24"/>
                <w:color w:val="auto"/>
              </w:rPr>
            </w:pPr>
          </w:p>
        </w:tc>
        <w:tc>
          <w:tcPr>
            <w:tcW w:w="1480" w:type="dxa"/>
            <w:vAlign w:val="bottom"/>
            <w:tcBorders>
              <w:top w:val="single" w:sz="8" w:color="71BF43"/>
            </w:tcBorders>
          </w:tcPr>
          <w:p>
            <w:pPr>
              <w:spacing w:after="0"/>
              <w:rPr>
                <w:sz w:val="24"/>
                <w:szCs w:val="24"/>
                <w:color w:val="auto"/>
              </w:rPr>
            </w:pPr>
          </w:p>
        </w:tc>
        <w:tc>
          <w:tcPr>
            <w:tcW w:w="20" w:type="dxa"/>
            <w:vAlign w:val="bottom"/>
          </w:tcPr>
          <w:p>
            <w:pPr>
              <w:spacing w:after="0"/>
              <w:rPr>
                <w:sz w:val="24"/>
                <w:szCs w:val="24"/>
                <w:color w:val="auto"/>
              </w:rPr>
            </w:pPr>
          </w:p>
        </w:tc>
      </w:tr>
      <w:tr>
        <w:trPr>
          <w:trHeight w:val="81"/>
        </w:trPr>
        <w:tc>
          <w:tcPr>
            <w:tcW w:w="7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560" w:type="dxa"/>
            <w:vAlign w:val="bottom"/>
            <w:gridSpan w:val="2"/>
          </w:tcPr>
          <w:p>
            <w:pPr>
              <w:spacing w:after="0"/>
              <w:rPr>
                <w:sz w:val="7"/>
                <w:szCs w:val="7"/>
                <w:color w:val="auto"/>
              </w:rPr>
            </w:pPr>
          </w:p>
        </w:tc>
        <w:tc>
          <w:tcPr>
            <w:tcW w:w="20" w:type="dxa"/>
            <w:vAlign w:val="bottom"/>
          </w:tcPr>
          <w:p>
            <w:pPr>
              <w:spacing w:after="0"/>
              <w:rPr>
                <w:sz w:val="7"/>
                <w:szCs w:val="7"/>
                <w:color w:val="auto"/>
              </w:rPr>
            </w:pPr>
          </w:p>
        </w:tc>
      </w:tr>
      <w:tr>
        <w:trPr>
          <w:trHeight w:val="217"/>
        </w:trPr>
        <w:tc>
          <w:tcPr>
            <w:tcW w:w="7120" w:type="dxa"/>
            <w:vAlign w:val="bottom"/>
            <w:shd w:val="clear" w:color="auto" w:fill="ACACAC"/>
          </w:tcPr>
          <w:p>
            <w:pPr>
              <w:spacing w:after="0"/>
              <w:rPr>
                <w:sz w:val="18"/>
                <w:szCs w:val="18"/>
                <w:color w:val="auto"/>
              </w:rPr>
            </w:pPr>
          </w:p>
        </w:tc>
        <w:tc>
          <w:tcPr>
            <w:tcW w:w="380" w:type="dxa"/>
            <w:vAlign w:val="bottom"/>
            <w:shd w:val="clear" w:color="auto" w:fill="ACACAC"/>
          </w:tcPr>
          <w:p>
            <w:pPr>
              <w:spacing w:after="0"/>
              <w:rPr>
                <w:sz w:val="18"/>
                <w:szCs w:val="18"/>
                <w:color w:val="auto"/>
              </w:rPr>
            </w:pPr>
          </w:p>
        </w:tc>
        <w:tc>
          <w:tcPr>
            <w:tcW w:w="94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2560" w:type="dxa"/>
            <w:vAlign w:val="bottom"/>
            <w:gridSpan w:val="2"/>
            <w:shd w:val="clear" w:color="auto" w:fill="ACACAC"/>
          </w:tcPr>
          <w:p>
            <w:pPr>
              <w:jc w:val="right"/>
              <w:spacing w:after="0"/>
              <w:rPr>
                <w:sz w:val="20"/>
                <w:szCs w:val="20"/>
                <w:color w:val="auto"/>
              </w:rPr>
            </w:pPr>
            <w:r>
              <w:rPr>
                <w:rFonts w:ascii="Arial" w:cs="Arial" w:eastAsia="Arial" w:hAnsi="Arial"/>
                <w:sz w:val="14"/>
                <w:szCs w:val="14"/>
                <w:b w:val="1"/>
                <w:bCs w:val="1"/>
                <w:color w:val="FFFFFF"/>
              </w:rPr>
              <w:t>Three months ended March 31,</w:t>
            </w:r>
          </w:p>
        </w:tc>
        <w:tc>
          <w:tcPr>
            <w:tcW w:w="20" w:type="dxa"/>
            <w:vAlign w:val="bottom"/>
            <w:shd w:val="clear" w:color="auto" w:fill="ACACAC"/>
          </w:tcPr>
          <w:p>
            <w:pPr>
              <w:spacing w:after="0"/>
              <w:rPr>
                <w:sz w:val="18"/>
                <w:szCs w:val="18"/>
                <w:color w:val="auto"/>
              </w:rPr>
            </w:pPr>
          </w:p>
        </w:tc>
      </w:tr>
      <w:tr>
        <w:trPr>
          <w:trHeight w:val="235"/>
        </w:trPr>
        <w:tc>
          <w:tcPr>
            <w:tcW w:w="712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(dollars in millions)</w:t>
            </w:r>
          </w:p>
        </w:tc>
        <w:tc>
          <w:tcPr>
            <w:tcW w:w="380" w:type="dxa"/>
            <w:vAlign w:val="bottom"/>
            <w:tcBorders>
              <w:bottom w:val="single" w:sz="8" w:color="ACACAC"/>
            </w:tcBorders>
            <w:shd w:val="clear" w:color="auto" w:fill="ACACAC"/>
          </w:tcPr>
          <w:p>
            <w:pPr>
              <w:spacing w:after="0"/>
              <w:rPr>
                <w:sz w:val="20"/>
                <w:szCs w:val="20"/>
                <w:color w:val="auto"/>
              </w:rPr>
            </w:pPr>
          </w:p>
        </w:tc>
        <w:tc>
          <w:tcPr>
            <w:tcW w:w="94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2022</w:t>
            </w:r>
          </w:p>
        </w:tc>
        <w:tc>
          <w:tcPr>
            <w:tcW w:w="240" w:type="dxa"/>
            <w:vAlign w:val="bottom"/>
            <w:tcBorders>
              <w:bottom w:val="single" w:sz="8" w:color="ACACAC"/>
            </w:tcBorders>
            <w:shd w:val="clear" w:color="auto" w:fill="ACACAC"/>
          </w:tcPr>
          <w:p>
            <w:pPr>
              <w:spacing w:after="0"/>
              <w:rPr>
                <w:sz w:val="20"/>
                <w:szCs w:val="20"/>
                <w:color w:val="auto"/>
              </w:rPr>
            </w:pPr>
          </w:p>
        </w:tc>
        <w:tc>
          <w:tcPr>
            <w:tcW w:w="10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2021</w:t>
            </w:r>
          </w:p>
        </w:tc>
        <w:tc>
          <w:tcPr>
            <w:tcW w:w="1480" w:type="dxa"/>
            <w:vAlign w:val="bottom"/>
            <w:tcBorders>
              <w:bottom w:val="single" w:sz="8" w:color="ACACAC"/>
            </w:tcBorders>
            <w:shd w:val="clear" w:color="auto" w:fill="ACACAC"/>
          </w:tcPr>
          <w:p>
            <w:pPr>
              <w:jc w:val="right"/>
              <w:spacing w:after="0"/>
              <w:rPr>
                <w:sz w:val="20"/>
                <w:szCs w:val="20"/>
                <w:color w:val="auto"/>
              </w:rPr>
            </w:pPr>
            <w:r>
              <w:rPr>
                <w:rFonts w:ascii="Arial" w:cs="Arial" w:eastAsia="Arial" w:hAnsi="Arial"/>
                <w:sz w:val="14"/>
                <w:szCs w:val="14"/>
                <w:b w:val="1"/>
                <w:bCs w:val="1"/>
                <w:color w:val="FFFFFF"/>
              </w:rPr>
              <w:t>Change</w:t>
            </w:r>
          </w:p>
        </w:tc>
        <w:tc>
          <w:tcPr>
            <w:tcW w:w="20" w:type="dxa"/>
            <w:vAlign w:val="bottom"/>
            <w:tcBorders>
              <w:bottom w:val="single" w:sz="8" w:color="ACACAC"/>
            </w:tcBorders>
            <w:shd w:val="clear" w:color="auto" w:fill="ACACAC"/>
          </w:tcPr>
          <w:p>
            <w:pPr>
              <w:spacing w:after="0"/>
              <w:rPr>
                <w:sz w:val="20"/>
                <w:szCs w:val="20"/>
                <w:color w:val="auto"/>
              </w:rPr>
            </w:pPr>
          </w:p>
        </w:tc>
      </w:tr>
      <w:tr>
        <w:trPr>
          <w:trHeight w:val="250"/>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Borders>
              <w:bottom w:val="single" w:sz="8" w:color="F4F4F4"/>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24.5</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30.1</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(18.6)%</w:t>
            </w:r>
          </w:p>
        </w:tc>
        <w:tc>
          <w:tcPr>
            <w:tcW w:w="20" w:type="dxa"/>
            <w:vAlign w:val="bottom"/>
          </w:tcPr>
          <w:p>
            <w:pPr>
              <w:spacing w:after="0"/>
              <w:rPr>
                <w:sz w:val="21"/>
                <w:szCs w:val="21"/>
                <w:color w:val="auto"/>
              </w:rPr>
            </w:pPr>
          </w:p>
        </w:tc>
      </w:tr>
      <w:tr>
        <w:trPr>
          <w:trHeight w:val="243"/>
        </w:trPr>
        <w:tc>
          <w:tcPr>
            <w:tcW w:w="71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(36.9)</w:t>
            </w: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c>
          <w:tcPr>
            <w:tcW w:w="1480" w:type="dxa"/>
            <w:vAlign w:val="bottom"/>
          </w:tcPr>
          <w:p>
            <w:pPr>
              <w:jc w:val="right"/>
              <w:spacing w:after="0"/>
              <w:rPr>
                <w:sz w:val="20"/>
                <w:szCs w:val="20"/>
                <w:color w:val="auto"/>
              </w:rPr>
            </w:pPr>
            <w:r>
              <w:rPr>
                <w:rFonts w:ascii="Arial" w:cs="Arial" w:eastAsia="Arial" w:hAnsi="Arial"/>
                <w:sz w:val="18"/>
                <w:szCs w:val="18"/>
                <w:color w:val="auto"/>
              </w:rPr>
              <w:t>189.2 %</w:t>
            </w:r>
          </w:p>
        </w:tc>
        <w:tc>
          <w:tcPr>
            <w:tcW w:w="20" w:type="dxa"/>
            <w:vAlign w:val="bottom"/>
          </w:tcPr>
          <w:p>
            <w:pPr>
              <w:spacing w:after="0"/>
              <w:rPr>
                <w:sz w:val="21"/>
                <w:szCs w:val="21"/>
                <w:color w:val="auto"/>
              </w:rPr>
            </w:pPr>
          </w:p>
        </w:tc>
      </w:tr>
      <w:tr>
        <w:trPr>
          <w:trHeight w:val="27"/>
        </w:trPr>
        <w:tc>
          <w:tcPr>
            <w:tcW w:w="7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712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(325.4)</w:t>
            </w:r>
          </w:p>
        </w:tc>
        <w:tc>
          <w:tcPr>
            <w:tcW w:w="240" w:type="dxa"/>
            <w:vAlign w:val="bottom"/>
            <w:tcBorders>
              <w:bottom w:val="single" w:sz="8" w:color="F4F4F4"/>
            </w:tcBorders>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(379.6)</w:t>
            </w:r>
          </w:p>
        </w:tc>
        <w:tc>
          <w:tcPr>
            <w:tcW w:w="148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(14.3)%</w:t>
            </w:r>
          </w:p>
        </w:tc>
        <w:tc>
          <w:tcPr>
            <w:tcW w:w="20" w:type="dxa"/>
            <w:vAlign w:val="bottom"/>
          </w:tcPr>
          <w:p>
            <w:pPr>
              <w:spacing w:after="0"/>
              <w:rPr>
                <w:sz w:val="21"/>
                <w:szCs w:val="21"/>
                <w:color w:val="auto"/>
              </w:rPr>
            </w:pPr>
          </w:p>
        </w:tc>
      </w:tr>
      <w:tr>
        <w:trPr>
          <w:trHeight w:val="20"/>
        </w:trPr>
        <w:tc>
          <w:tcPr>
            <w:tcW w:w="7120" w:type="dxa"/>
            <w:vAlign w:val="bottom"/>
            <w:shd w:val="clear" w:color="auto" w:fill="71BF43"/>
          </w:tcPr>
          <w:p>
            <w:pPr>
              <w:spacing w:after="0" w:line="20" w:lineRule="exact"/>
              <w:rPr>
                <w:sz w:val="1"/>
                <w:szCs w:val="1"/>
                <w:color w:val="auto"/>
              </w:rPr>
            </w:pPr>
          </w:p>
        </w:tc>
        <w:tc>
          <w:tcPr>
            <w:tcW w:w="380" w:type="dxa"/>
            <w:vAlign w:val="bottom"/>
            <w:shd w:val="clear" w:color="auto" w:fill="71BF43"/>
          </w:tcPr>
          <w:p>
            <w:pPr>
              <w:spacing w:after="0" w:line="20" w:lineRule="exact"/>
              <w:rPr>
                <w:sz w:val="1"/>
                <w:szCs w:val="1"/>
                <w:color w:val="auto"/>
              </w:rPr>
            </w:pPr>
          </w:p>
        </w:tc>
        <w:tc>
          <w:tcPr>
            <w:tcW w:w="94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1080" w:type="dxa"/>
            <w:vAlign w:val="bottom"/>
            <w:shd w:val="clear" w:color="auto" w:fill="71BF43"/>
          </w:tcPr>
          <w:p>
            <w:pPr>
              <w:spacing w:after="0" w:line="20" w:lineRule="exact"/>
              <w:rPr>
                <w:sz w:val="1"/>
                <w:szCs w:val="1"/>
                <w:color w:val="auto"/>
              </w:rPr>
            </w:pPr>
          </w:p>
        </w:tc>
        <w:tc>
          <w:tcPr>
            <w:tcW w:w="148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-676910</wp:posOffset>
            </wp:positionV>
            <wp:extent cx="262318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623185" cy="8890"/>
                    </a:xfrm>
                    <a:prstGeom prst="rect">
                      <a:avLst/>
                    </a:prstGeom>
                    <a:noFill/>
                  </pic:spPr>
                </pic:pic>
              </a:graphicData>
            </a:graphic>
          </wp:anchor>
        </w:drawing>
      </w:r>
    </w:p>
    <w:p>
      <w:pPr>
        <w:spacing w:after="0" w:line="236" w:lineRule="exact"/>
        <w:rPr>
          <w:sz w:val="20"/>
          <w:szCs w:val="20"/>
          <w:color w:val="auto"/>
        </w:rPr>
      </w:pPr>
    </w:p>
    <w:p>
      <w:pPr>
        <w:jc w:val="both"/>
        <w:ind w:right="20"/>
        <w:spacing w:after="0" w:line="251" w:lineRule="auto"/>
        <w:rPr>
          <w:sz w:val="20"/>
          <w:szCs w:val="20"/>
          <w:color w:val="auto"/>
        </w:rPr>
      </w:pPr>
      <w:r>
        <w:rPr>
          <w:rFonts w:ascii="Arial" w:cs="Arial" w:eastAsia="Arial" w:hAnsi="Arial"/>
          <w:sz w:val="18"/>
          <w:szCs w:val="18"/>
          <w:color w:val="auto"/>
        </w:rPr>
        <w:t>Our principal sources of liquidity are our operating cash flow, funds available under the 2020 Credit Facility and cash on hand. Our operating cash flow depends on continued customer renewal of our subscription and maintenance arrangements, market acceptance of our solutions and services and our customers' ability to pay. Based on current estimates of revenue and expenses, we believe that the currently available sources of funds and anticipated cash flows from operations will be adequate for at least the next twelve months to finance our operations, fund anticipated capital expenditures and meet our debt obligations. We also believe that we will be able to continue to meet our long-term cash requirements due to our anticipated cash flow from operations, solid financial position and ability to access capital from financial markets. To the extent we undertake future material acquisitions or, investments or unanticipated capital or operating expenditures, including in connection with the Security Incident, we may require additional capital. In that context, we regularly evaluate opportunities to enhance our capital structure, including through potential debt or equity issuances.</w:t>
      </w:r>
    </w:p>
    <w:p>
      <w:pPr>
        <w:spacing w:after="0" w:line="158"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As a well-known seasoned issuer, we filed an automatic shelf registration statement for an undetermined amount of debt and equity securities with the SEC on January 14, 2022. Under this universal shelf registration statement we may offer and sell, from time to time, debt securities, common stock, preferred stock, depositary shares, warrants, stock purchase contracts and stock purchase units. Subject to certain conditions, this registration statement will be effective through January 13, 2024.</w:t>
      </w:r>
    </w:p>
    <w:p>
      <w:pPr>
        <w:spacing w:after="0" w:line="150" w:lineRule="exact"/>
        <w:rPr>
          <w:sz w:val="20"/>
          <w:szCs w:val="20"/>
          <w:color w:val="auto"/>
        </w:rPr>
      </w:pPr>
    </w:p>
    <w:p>
      <w:pPr>
        <w:jc w:val="both"/>
        <w:ind w:right="20"/>
        <w:spacing w:after="0" w:line="254" w:lineRule="auto"/>
        <w:rPr>
          <w:sz w:val="20"/>
          <w:szCs w:val="20"/>
          <w:color w:val="auto"/>
        </w:rPr>
      </w:pPr>
      <w:r>
        <w:rPr>
          <w:rFonts w:ascii="Arial" w:cs="Arial" w:eastAsia="Arial" w:hAnsi="Arial"/>
          <w:sz w:val="18"/>
          <w:szCs w:val="18"/>
          <w:color w:val="auto"/>
        </w:rPr>
        <w:t>At March 31, 2022, our total cash and cash equivalents balance included approximately $18.4 million of cash that was held by operations outside the U.S. While these funds may not be needed to fund our U.S. operations for at least the next twelve months, if we need these funds, we may be required to accrue and pay taxes to repatriate the funds. We currently do not intend nor anticipate a need to repatriate our cash held outside the U.S.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Cash Flow</w:t>
      </w:r>
    </w:p>
    <w:p>
      <w:pPr>
        <w:spacing w:after="0" w:line="193"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Our cash flows from operations are derived principally from: (i) our earnings from on-going operations prior to non-cash expenses such as depreciation, amortization, stock-based compensation, amortization of deferred financing costs and debt discount and adjustments to our provision for credit losses and sales returns; and (ii) changes in our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329"/>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38" w:name="page39"/>
    <w:bookmarkEnd w:id="3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Working capital changes are composed of changes in accounts receivable, prepaid expenses and other assets, trade accounts payable, accrued expenses and other liabilities, and deferred revenue.</w:t>
      </w:r>
    </w:p>
    <w:p>
      <w:pPr>
        <w:spacing w:after="0" w:line="14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Net cash provided by operating activities decreased by $5.6 million during the three months ended March 31, 2022, when compared to the same period in 2021, primarily due to a $13.8 million decrease in net income adjusted for non-cash expenses and a $8.2 million increase in cash flow from operations associated with working capital.</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increase in cash flow from operations associated with working capital during the three months ended March 31, 2022, when compared to the same period in 2021, was primarily due to:</w:t>
      </w:r>
    </w:p>
    <w:p>
      <w:pPr>
        <w:spacing w:after="0" w:line="144" w:lineRule="exact"/>
        <w:rPr>
          <w:sz w:val="20"/>
          <w:szCs w:val="20"/>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fluctuations in the timing of vendor payments; and</w:t>
      </w:r>
    </w:p>
    <w:p>
      <w:pPr>
        <w:spacing w:after="0" w:line="171" w:lineRule="exact"/>
        <w:rPr>
          <w:rFonts w:ascii="Arial" w:cs="Arial" w:eastAsia="Arial" w:hAnsi="Arial"/>
          <w:sz w:val="18"/>
          <w:szCs w:val="18"/>
          <w:color w:val="auto"/>
        </w:rPr>
      </w:pPr>
    </w:p>
    <w:p>
      <w:pPr>
        <w:ind w:left="620" w:hanging="288"/>
        <w:spacing w:after="0"/>
        <w:tabs>
          <w:tab w:leader="none" w:pos="6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increase in taxes payable; partially offset by</w:t>
      </w:r>
    </w:p>
    <w:p>
      <w:pPr>
        <w:spacing w:after="0" w:line="171" w:lineRule="exact"/>
        <w:rPr>
          <w:rFonts w:ascii="Arial" w:cs="Arial" w:eastAsia="Arial" w:hAnsi="Arial"/>
          <w:sz w:val="18"/>
          <w:szCs w:val="18"/>
          <w:color w:val="auto"/>
        </w:rPr>
      </w:pPr>
    </w:p>
    <w:p>
      <w:pPr>
        <w:ind w:right="1580" w:firstLine="332"/>
        <w:spacing w:after="0" w:line="438" w:lineRule="auto"/>
        <w:tabs>
          <w:tab w:leader="none" w:pos="616"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payment of assumed EVERFI accrued bonuses and other payroll-related liabilities during the first quarter of 2022. </w:t>
      </w:r>
      <w:r>
        <w:rPr>
          <w:rFonts w:ascii="Arial" w:cs="Arial" w:eastAsia="Arial" w:hAnsi="Arial"/>
          <w:sz w:val="18"/>
          <w:szCs w:val="18"/>
          <w:u w:val="single" w:color="auto"/>
          <w:color w:val="auto"/>
        </w:rPr>
        <w:t>Security Incident update</w:t>
      </w:r>
    </w:p>
    <w:p>
      <w:pPr>
        <w:spacing w:after="0" w:line="1" w:lineRule="exact"/>
        <w:rPr>
          <w:sz w:val="20"/>
          <w:szCs w:val="20"/>
          <w:color w:val="auto"/>
        </w:rPr>
      </w:pPr>
    </w:p>
    <w:p>
      <w:pPr>
        <w:jc w:val="both"/>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As discussed in Note 10 to our unaudited, condensed consolidated financial statements included in this report, total costs related to the Security Incident that we expect will be recoverable exceeded the limit of our insurance coverage during the first quarter of 2022. Accordingly, we expect that the Security Incident will continue to negatively impact our GAAP profitability and GAAP cash flow for the foreseeable future (see discussion regarding our non-GAAP financial measures beginning on page </w:t>
      </w:r>
      <w:hyperlink w:anchor="page33">
        <w:r>
          <w:rPr>
            <w:rFonts w:ascii="Arial" w:cs="Arial" w:eastAsia="Arial" w:hAnsi="Arial"/>
            <w:sz w:val="18"/>
            <w:szCs w:val="18"/>
            <w:color w:val="auto"/>
          </w:rPr>
          <w:t>32)</w:t>
        </w:r>
      </w:hyperlink>
      <w:r>
        <w:rPr>
          <w:rFonts w:ascii="Arial" w:cs="Arial" w:eastAsia="Arial" w:hAnsi="Arial"/>
          <w:sz w:val="18"/>
          <w:szCs w:val="18"/>
          <w:color w:val="auto"/>
        </w:rPr>
        <w:t>. For full year 2022, we currently expect net cash outlays of approximately $25 million to $35 million for ongoing legal fees related to the Security Incident. In line with our policy, legal fees, are expensed as incurred. We have not recorded a liability for a loss contingency related to the Security Incident as of March 31, 2022 because we are unable at this time to reasonably estimate the possible loss or range of loss.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Cash Flow</w:t>
      </w:r>
    </w:p>
    <w:p>
      <w:pPr>
        <w:spacing w:after="0" w:line="19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Net cash used in investing activities of $36.9 million increased by $24.2 million during the three months ended March 31, 2022, when compared to the same period in 2021.</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the three months ended March 31, 2022, we used $20.0 million for our acquisition of EVERFI comprised of (i) $17.4 million that had not been paid by EVERFI to its former option holders as of December 31, 2021, solely due to the timing of the acquisition on the last day of 2021; and (ii) $2.6 million that was paid to a number of EVERFI's selling shareholders after determining they would be paid in cash, rather than shares of our common stock.</w:t>
      </w:r>
    </w:p>
    <w:p>
      <w:pPr>
        <w:spacing w:after="0" w:line="15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used $ 12.7 million for software development costs, which was up $3.4 million from cash spent during the same period in 2021, primarily due to the inclusion of EVERFI's software and content development activities. We also spent $4.3 million of cash for purchases of property and equipment during the three months ended March 31, 2022, which was a decrease of $0.8 million when compared to the same period in 2021.</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Cash Flow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2022, we had a net increase in borrowings of $25.6 million.</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paid $34.7 million to satisfy tax obligations of employees upon settlement of equity awards during the three months ended March 31, 2022 compared to $18.4 million during the same period in 2021. The increase was primarily attributable to the timing of our annual short-term incentive (bonus) awards vesting during the first quarter of 2022, while similar awards vested during the second quarter of 2021. The amount of taxes paid by us on behalf of employees related to the settlement of equity awards varies from period to period based upon the timing of grants and vesting, as well as the market price for shares of our common stock at the time of settlement. Most of our equity awards currently vest in our first quarter.</w:t>
      </w:r>
    </w:p>
    <w:p>
      <w:pPr>
        <w:spacing w:after="0" w:line="1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three months ended March 31, 2022, cash flow from financing activities associated with changes in restricted cash due to customers decreased $315.3 million, compared to a decrease of $353.6 million during the same period in 2021. This line in the statement of cash flows represents the change in the amount of restricted cash held and payable by us to customers from one period to the next.</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38</w:t>
      </w:r>
      <w:r>
        <w:rPr>
          <w:sz w:val="20"/>
          <w:szCs w:val="20"/>
          <w:color w:val="auto"/>
        </w:rPr>
        <w:tab/>
      </w:r>
      <w:r>
        <w:rPr>
          <w:sz w:val="1"/>
          <w:szCs w:val="1"/>
          <w:color w:val="auto"/>
        </w:rPr>
        <w:drawing>
          <wp:inline distT="0" distB="0" distL="0" distR="0">
            <wp:extent cx="651510" cy="17145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39" w:name="page40"/>
    <w:bookmarkEnd w:id="3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repurchase program</w:t>
      </w:r>
    </w:p>
    <w:p>
      <w:pPr>
        <w:spacing w:after="0" w:line="17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December 2021, our Board of Directors reauthorized and replenished our stock repurchase program that authorizes us to purchase up to $250.0 million of our outstanding shares of common stock. The program does not have an expiration date. Under the stock repurchase program, we are authorized to repurchase shares from time to time in accordance with applicable laws both on the open market, including under trading plans established pursuant to Rule 10b5-1 under the Securities Exchange Act of 1934, as amended, and in privately negotiated transactions. The timing and amount of repurchases depends on several factors, including market and business conditions, the trading price of our common stock and the nature of other investment opportunities. The repurchase program may be limited, suspended or discontinued at any time without prior notice. During the three months ended March 31, 2022, we did not purchase any shares. The remaining amount available to purchase stock under the stock repurchase program was $250.0 million as of March 31, 2022.</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2020 Credit Facility</w:t>
      </w:r>
    </w:p>
    <w:p>
      <w:pPr>
        <w:spacing w:after="0" w:line="17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Historically, we have drawn on our credit facility from time to time to help us meet financial needs, primarily due to the seasonality of our cash flows from operations and financing for business acquisitions. At March 31, 2022, our available borrowing capacity under the 2020 Credit Facility was $209.7 million. The 2020 Credit Facility matures in October 2025.</w:t>
      </w:r>
    </w:p>
    <w:p>
      <w:pPr>
        <w:spacing w:after="0" w:line="14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At March 31, 2022, the carrying amount of our debt under the 2020 Credit Facility was $922.0 million. Our average daily borrowings during the three months ended March 31, 2022 were $909.4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financial covenants under the 2020 Credit Facility:</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990" w:type="dxa"/>
            <w:vAlign w:val="bottom"/>
            <w:tcBorders>
              <w:bottom w:val="single" w:sz="8" w:color="ACACAC"/>
            </w:tcBorders>
            <w:shd w:val="clear" w:color="auto" w:fill="ACACAC"/>
          </w:tcPr>
          <w:p>
            <w:pPr>
              <w:ind w:left="40"/>
              <w:spacing w:after="0"/>
              <w:rPr>
                <w:sz w:val="20"/>
                <w:szCs w:val="20"/>
                <w:color w:val="auto"/>
              </w:rPr>
            </w:pPr>
            <w:r>
              <w:rPr>
                <w:rFonts w:ascii="Arial" w:cs="Arial" w:eastAsia="Arial" w:hAnsi="Arial"/>
                <w:sz w:val="14"/>
                <w:szCs w:val="14"/>
                <w:b w:val="1"/>
                <w:bCs w:val="1"/>
                <w:color w:val="FFFFFF"/>
              </w:rPr>
              <w:t>Financial covenant</w:t>
            </w:r>
          </w:p>
        </w:tc>
        <w:tc>
          <w:tcPr>
            <w:tcW w:w="286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4"/>
                <w:szCs w:val="14"/>
                <w:b w:val="1"/>
                <w:bCs w:val="1"/>
                <w:color w:val="FFFFFF"/>
              </w:rPr>
              <w:t>Requirement</w:t>
            </w:r>
          </w:p>
        </w:tc>
        <w:tc>
          <w:tcPr>
            <w:tcW w:w="3370" w:type="dxa"/>
            <w:vAlign w:val="bottom"/>
            <w:tcBorders>
              <w:bottom w:val="single" w:sz="8" w:color="ACACAC"/>
            </w:tcBorders>
            <w:shd w:val="clear" w:color="auto" w:fill="ACACAC"/>
          </w:tcPr>
          <w:p>
            <w:pPr>
              <w:jc w:val="center"/>
              <w:spacing w:after="0"/>
              <w:rPr>
                <w:sz w:val="20"/>
                <w:szCs w:val="20"/>
                <w:color w:val="auto"/>
              </w:rPr>
            </w:pPr>
            <w:r>
              <w:rPr>
                <w:rFonts w:ascii="Arial" w:cs="Arial" w:eastAsia="Arial" w:hAnsi="Arial"/>
                <w:sz w:val="14"/>
                <w:szCs w:val="14"/>
                <w:b w:val="1"/>
                <w:bCs w:val="1"/>
                <w:color w:val="FFFFFF"/>
              </w:rPr>
              <w:t>Ratio as of March 31, 2022</w:t>
            </w:r>
          </w:p>
        </w:tc>
      </w:tr>
      <w:tr>
        <w:trPr>
          <w:trHeight w:val="324"/>
        </w:trPr>
        <w:tc>
          <w:tcPr>
            <w:tcW w:w="4990" w:type="dxa"/>
            <w:vAlign w:val="bottom"/>
            <w:shd w:val="clear" w:color="auto" w:fill="F4F4F4"/>
          </w:tcPr>
          <w:p>
            <w:pPr>
              <w:ind w:left="20"/>
              <w:spacing w:after="0"/>
              <w:rPr>
                <w:sz w:val="20"/>
                <w:szCs w:val="20"/>
                <w:color w:val="auto"/>
              </w:rPr>
            </w:pPr>
            <w:r>
              <w:rPr>
                <w:rFonts w:ascii="Arial" w:cs="Arial" w:eastAsia="Arial" w:hAnsi="Arial"/>
                <w:sz w:val="18"/>
                <w:szCs w:val="18"/>
                <w:color w:val="auto"/>
              </w:rPr>
              <w:t>Net leverage ratio</w:t>
            </w:r>
            <w:r>
              <w:rPr>
                <w:rFonts w:ascii="Arial" w:cs="Arial" w:eastAsia="Arial" w:hAnsi="Arial"/>
                <w:sz w:val="23"/>
                <w:szCs w:val="23"/>
                <w:color w:val="auto"/>
                <w:vertAlign w:val="superscript"/>
              </w:rPr>
              <w:t>(1)</w:t>
            </w:r>
          </w:p>
        </w:tc>
        <w:tc>
          <w:tcPr>
            <w:tcW w:w="286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9"/>
              </w:rPr>
              <w:t>≤ 4.25 to 1.00</w:t>
            </w:r>
          </w:p>
        </w:tc>
        <w:tc>
          <w:tcPr>
            <w:tcW w:w="3370" w:type="dxa"/>
            <w:vAlign w:val="bottom"/>
            <w:shd w:val="clear" w:color="auto" w:fill="F4F4F4"/>
          </w:tcPr>
          <w:p>
            <w:pPr>
              <w:jc w:val="center"/>
              <w:spacing w:after="0"/>
              <w:rPr>
                <w:sz w:val="20"/>
                <w:szCs w:val="20"/>
                <w:color w:val="auto"/>
              </w:rPr>
            </w:pPr>
            <w:r>
              <w:rPr>
                <w:rFonts w:ascii="Arial" w:cs="Arial" w:eastAsia="Arial" w:hAnsi="Arial"/>
                <w:sz w:val="18"/>
                <w:szCs w:val="18"/>
                <w:color w:val="auto"/>
                <w:w w:val="98"/>
              </w:rPr>
              <w:t>3.57 to 1.00</w:t>
            </w:r>
          </w:p>
        </w:tc>
      </w:tr>
      <w:tr>
        <w:trPr>
          <w:trHeight w:val="243"/>
        </w:trPr>
        <w:tc>
          <w:tcPr>
            <w:tcW w:w="4990" w:type="dxa"/>
            <w:vAlign w:val="bottom"/>
          </w:tcPr>
          <w:p>
            <w:pPr>
              <w:ind w:left="20"/>
              <w:spacing w:after="0"/>
              <w:rPr>
                <w:sz w:val="20"/>
                <w:szCs w:val="20"/>
                <w:color w:val="auto"/>
              </w:rPr>
            </w:pPr>
            <w:r>
              <w:rPr>
                <w:rFonts w:ascii="Arial" w:cs="Arial" w:eastAsia="Arial" w:hAnsi="Arial"/>
                <w:sz w:val="18"/>
                <w:szCs w:val="18"/>
                <w:color w:val="auto"/>
              </w:rPr>
              <w:t>Interest coverage ratio</w:t>
            </w:r>
          </w:p>
        </w:tc>
        <w:tc>
          <w:tcPr>
            <w:tcW w:w="2860" w:type="dxa"/>
            <w:vAlign w:val="bottom"/>
          </w:tcPr>
          <w:p>
            <w:pPr>
              <w:jc w:val="center"/>
              <w:spacing w:after="0"/>
              <w:rPr>
                <w:sz w:val="20"/>
                <w:szCs w:val="20"/>
                <w:color w:val="auto"/>
              </w:rPr>
            </w:pPr>
            <w:r>
              <w:rPr>
                <w:rFonts w:ascii="Arial" w:cs="Arial" w:eastAsia="Arial" w:hAnsi="Arial"/>
                <w:sz w:val="18"/>
                <w:szCs w:val="18"/>
                <w:color w:val="auto"/>
                <w:w w:val="99"/>
              </w:rPr>
              <w:t>≥ 2.50 to 1.00</w:t>
            </w:r>
          </w:p>
        </w:tc>
        <w:tc>
          <w:tcPr>
            <w:tcW w:w="3370" w:type="dxa"/>
            <w:vAlign w:val="bottom"/>
          </w:tcPr>
          <w:p>
            <w:pPr>
              <w:jc w:val="center"/>
              <w:spacing w:after="0"/>
              <w:rPr>
                <w:sz w:val="20"/>
                <w:szCs w:val="20"/>
                <w:color w:val="auto"/>
              </w:rPr>
            </w:pPr>
            <w:r>
              <w:rPr>
                <w:rFonts w:ascii="Arial" w:cs="Arial" w:eastAsia="Arial" w:hAnsi="Arial"/>
                <w:sz w:val="18"/>
                <w:szCs w:val="18"/>
                <w:color w:val="auto"/>
              </w:rPr>
              <w:t>14.59 to 1.00</w:t>
            </w:r>
          </w:p>
        </w:tc>
      </w:tr>
      <w:tr>
        <w:trPr>
          <w:trHeight w:val="27"/>
        </w:trPr>
        <w:tc>
          <w:tcPr>
            <w:tcW w:w="4990" w:type="dxa"/>
            <w:vAlign w:val="bottom"/>
            <w:tcBorders>
              <w:bottom w:val="single" w:sz="8" w:color="71BF43"/>
            </w:tcBorders>
          </w:tcPr>
          <w:p>
            <w:pPr>
              <w:spacing w:after="0"/>
              <w:rPr>
                <w:sz w:val="2"/>
                <w:szCs w:val="2"/>
                <w:color w:val="auto"/>
              </w:rPr>
            </w:pPr>
          </w:p>
        </w:tc>
        <w:tc>
          <w:tcPr>
            <w:tcW w:w="2860" w:type="dxa"/>
            <w:vAlign w:val="bottom"/>
            <w:tcBorders>
              <w:bottom w:val="single" w:sz="8" w:color="71BF43"/>
            </w:tcBorders>
          </w:tcPr>
          <w:p>
            <w:pPr>
              <w:spacing w:after="0"/>
              <w:rPr>
                <w:sz w:val="2"/>
                <w:szCs w:val="2"/>
                <w:color w:val="auto"/>
              </w:rPr>
            </w:pPr>
          </w:p>
        </w:tc>
        <w:tc>
          <w:tcPr>
            <w:tcW w:w="3370" w:type="dxa"/>
            <w:vAlign w:val="bottom"/>
            <w:tcBorders>
              <w:bottom w:val="single" w:sz="8" w:color="71BF43"/>
            </w:tcBorders>
          </w:tcPr>
          <w:p>
            <w:pPr>
              <w:spacing w:after="0"/>
              <w:rPr>
                <w:sz w:val="2"/>
                <w:szCs w:val="2"/>
                <w:color w:val="auto"/>
              </w:rPr>
            </w:pPr>
          </w:p>
        </w:tc>
      </w:tr>
    </w:tbl>
    <w:p>
      <w:pPr>
        <w:spacing w:after="0" w:line="99" w:lineRule="exact"/>
        <w:rPr>
          <w:sz w:val="20"/>
          <w:szCs w:val="20"/>
          <w:color w:val="auto"/>
        </w:rPr>
      </w:pPr>
    </w:p>
    <w:p>
      <w:pPr>
        <w:ind w:left="340" w:hanging="332"/>
        <w:spacing w:after="0" w:line="258" w:lineRule="auto"/>
        <w:tabs>
          <w:tab w:leader="none" w:pos="354" w:val="left"/>
        </w:tabs>
        <w:numPr>
          <w:ilvl w:val="0"/>
          <w:numId w:val="39"/>
        </w:numPr>
        <w:rPr>
          <w:rFonts w:ascii="Arial" w:cs="Arial" w:eastAsia="Arial" w:hAnsi="Arial"/>
          <w:sz w:val="14"/>
          <w:szCs w:val="14"/>
          <w:color w:val="auto"/>
        </w:rPr>
      </w:pPr>
      <w:r>
        <w:rPr>
          <w:rFonts w:ascii="Arial" w:cs="Arial" w:eastAsia="Arial" w:hAnsi="Arial"/>
          <w:sz w:val="14"/>
          <w:szCs w:val="14"/>
          <w:color w:val="auto"/>
        </w:rPr>
        <w:t>Under the terms of the 2020 Credit Facility, the Net Leverage Ratio requirement may be increased by up to 0.50 provided we satisfy certain requirements, including a permitted business acquisition, and provided that the maximum Net Leverage Ratio shall not exceed 4.25 to 1.00.</w:t>
      </w:r>
    </w:p>
    <w:p>
      <w:pPr>
        <w:spacing w:after="0" w:line="13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Under the 2020 Credit Facility, we also have restrictions on our ability to declare and pay dividends and our ability to repurchase shares of our common stock. In order to pay any cash dividends and/or repurchase shares of stock: (i) no default or event of default shall have occurred and be continuing under the 2020 Credit Facility, and (ii) our pro forma net leverage ratio, as set forth in the 2020 Credit Facility, must be 0.25 less than the net leverage ratio requirement at the time of dividend declaration or share repurchase. At March 31, 2022, we were in compliance with our debt covenants under the 2020 Credit Facility. See Note 8 to our unaudited, condensed consolidated financial statements included in this report for additional information regarding the 2020 Credit Facility.</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240" w:type="dxa"/>
            <w:vAlign w:val="bottom"/>
            <w:shd w:val="clear" w:color="auto" w:fill="ACACAC"/>
          </w:tcPr>
          <w:p>
            <w:pPr>
              <w:spacing w:after="0"/>
              <w:rPr>
                <w:sz w:val="18"/>
                <w:szCs w:val="18"/>
                <w:color w:val="auto"/>
              </w:rPr>
            </w:pPr>
          </w:p>
        </w:tc>
        <w:tc>
          <w:tcPr>
            <w:tcW w:w="380" w:type="dxa"/>
            <w:vAlign w:val="bottom"/>
            <w:shd w:val="clear" w:color="auto" w:fill="ACACAC"/>
          </w:tcPr>
          <w:p>
            <w:pPr>
              <w:spacing w:after="0"/>
              <w:rPr>
                <w:sz w:val="18"/>
                <w:szCs w:val="18"/>
                <w:color w:val="auto"/>
              </w:rPr>
            </w:pPr>
          </w:p>
        </w:tc>
        <w:tc>
          <w:tcPr>
            <w:tcW w:w="2700" w:type="dxa"/>
            <w:vAlign w:val="bottom"/>
            <w:gridSpan w:val="4"/>
            <w:shd w:val="clear" w:color="auto" w:fill="ACACAC"/>
          </w:tcPr>
          <w:p>
            <w:pPr>
              <w:ind w:left="780"/>
              <w:spacing w:after="0"/>
              <w:rPr>
                <w:sz w:val="20"/>
                <w:szCs w:val="20"/>
                <w:color w:val="auto"/>
              </w:rPr>
            </w:pPr>
            <w:r>
              <w:rPr>
                <w:rFonts w:ascii="Arial" w:cs="Arial" w:eastAsia="Arial" w:hAnsi="Arial"/>
                <w:sz w:val="14"/>
                <w:szCs w:val="14"/>
                <w:b w:val="1"/>
                <w:bCs w:val="1"/>
                <w:color w:val="FFFFFF"/>
              </w:rPr>
              <w:t>Payments due by period</w:t>
            </w:r>
          </w:p>
        </w:tc>
        <w:tc>
          <w:tcPr>
            <w:tcW w:w="9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240" w:type="dxa"/>
            <w:vAlign w:val="bottom"/>
            <w:shd w:val="clear" w:color="auto" w:fill="ACACAC"/>
          </w:tcPr>
          <w:p>
            <w:pPr>
              <w:spacing w:after="0"/>
              <w:rPr>
                <w:sz w:val="16"/>
                <w:szCs w:val="16"/>
                <w:color w:val="auto"/>
              </w:rPr>
            </w:pPr>
          </w:p>
        </w:tc>
        <w:tc>
          <w:tcPr>
            <w:tcW w:w="380" w:type="dxa"/>
            <w:vAlign w:val="bottom"/>
            <w:shd w:val="clear" w:color="auto" w:fill="ACACAC"/>
          </w:tcPr>
          <w:p>
            <w:pPr>
              <w:spacing w:after="0"/>
              <w:rPr>
                <w:sz w:val="16"/>
                <w:szCs w:val="16"/>
                <w:color w:val="auto"/>
              </w:rPr>
            </w:pPr>
          </w:p>
        </w:tc>
        <w:tc>
          <w:tcPr>
            <w:tcW w:w="940" w:type="dxa"/>
            <w:vAlign w:val="bottom"/>
            <w:shd w:val="clear" w:color="auto" w:fill="ACACAC"/>
          </w:tcPr>
          <w:p>
            <w:pPr>
              <w:ind w:left="260"/>
              <w:spacing w:after="0"/>
              <w:rPr>
                <w:sz w:val="20"/>
                <w:szCs w:val="20"/>
                <w:color w:val="auto"/>
              </w:rPr>
            </w:pPr>
            <w:r>
              <w:rPr>
                <w:rFonts w:ascii="Arial" w:cs="Arial" w:eastAsia="Arial" w:hAnsi="Arial"/>
                <w:sz w:val="14"/>
                <w:szCs w:val="14"/>
                <w:b w:val="1"/>
                <w:bCs w:val="1"/>
                <w:color w:val="FFFFFF"/>
              </w:rPr>
              <w:t>Less than</w:t>
            </w:r>
          </w:p>
        </w:tc>
        <w:tc>
          <w:tcPr>
            <w:tcW w:w="380" w:type="dxa"/>
            <w:vAlign w:val="bottom"/>
            <w:shd w:val="clear" w:color="auto" w:fill="ACACAC"/>
          </w:tcPr>
          <w:p>
            <w:pPr>
              <w:spacing w:after="0"/>
              <w:rPr>
                <w:sz w:val="16"/>
                <w:szCs w:val="16"/>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More than</w:t>
            </w:r>
          </w:p>
        </w:tc>
        <w:tc>
          <w:tcPr>
            <w:tcW w:w="420" w:type="dxa"/>
            <w:vAlign w:val="bottom"/>
            <w:shd w:val="clear" w:color="auto" w:fill="ACACAC"/>
          </w:tcPr>
          <w:p>
            <w:pPr>
              <w:spacing w:after="0"/>
              <w:rPr>
                <w:sz w:val="16"/>
                <w:szCs w:val="16"/>
                <w:color w:val="auto"/>
              </w:rPr>
            </w:pPr>
          </w:p>
        </w:tc>
        <w:tc>
          <w:tcPr>
            <w:tcW w:w="920" w:type="dxa"/>
            <w:vAlign w:val="bottom"/>
            <w:vMerge w:val="restart"/>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r>
              <w:rPr>
                <w:rFonts w:ascii="Arial" w:cs="Arial" w:eastAsia="Arial" w:hAnsi="Arial"/>
                <w:sz w:val="18"/>
                <w:szCs w:val="18"/>
                <w:b w:val="1"/>
                <w:bCs w:val="1"/>
                <w:color w:val="FFFFFF"/>
                <w:vertAlign w:val="superscript"/>
              </w:rPr>
              <w:t>(1)</w:t>
            </w:r>
          </w:p>
        </w:tc>
        <w:tc>
          <w:tcPr>
            <w:tcW w:w="0" w:type="dxa"/>
            <w:vAlign w:val="bottom"/>
          </w:tcPr>
          <w:p>
            <w:pPr>
              <w:spacing w:after="0"/>
              <w:rPr>
                <w:sz w:val="1"/>
                <w:szCs w:val="1"/>
                <w:color w:val="auto"/>
              </w:rPr>
            </w:pPr>
          </w:p>
        </w:tc>
      </w:tr>
      <w:tr>
        <w:trPr>
          <w:trHeight w:val="202"/>
        </w:trPr>
        <w:tc>
          <w:tcPr>
            <w:tcW w:w="7240" w:type="dxa"/>
            <w:vAlign w:val="bottom"/>
            <w:shd w:val="clear" w:color="auto" w:fill="ACACAC"/>
          </w:tcPr>
          <w:p>
            <w:pPr>
              <w:ind w:left="20"/>
              <w:spacing w:after="0"/>
              <w:rPr>
                <w:sz w:val="20"/>
                <w:szCs w:val="20"/>
                <w:color w:val="auto"/>
              </w:rPr>
            </w:pPr>
            <w:r>
              <w:rPr>
                <w:rFonts w:ascii="Arial" w:cs="Arial" w:eastAsia="Arial" w:hAnsi="Arial"/>
                <w:sz w:val="14"/>
                <w:szCs w:val="14"/>
                <w:b w:val="1"/>
                <w:bCs w:val="1"/>
                <w:color w:val="FFFFFF"/>
              </w:rPr>
              <w:t>(in millions)</w:t>
            </w:r>
          </w:p>
        </w:tc>
        <w:tc>
          <w:tcPr>
            <w:tcW w:w="380" w:type="dxa"/>
            <w:vAlign w:val="bottom"/>
            <w:shd w:val="clear" w:color="auto" w:fill="ACACAC"/>
          </w:tcPr>
          <w:p>
            <w:pPr>
              <w:spacing w:after="0"/>
              <w:rPr>
                <w:sz w:val="17"/>
                <w:szCs w:val="17"/>
                <w:color w:val="auto"/>
              </w:rPr>
            </w:pPr>
          </w:p>
        </w:tc>
        <w:tc>
          <w:tcPr>
            <w:tcW w:w="940" w:type="dxa"/>
            <w:vAlign w:val="bottom"/>
            <w:shd w:val="clear" w:color="auto" w:fill="ACACAC"/>
          </w:tcPr>
          <w:p>
            <w:pPr>
              <w:ind w:left="520"/>
              <w:spacing w:after="0"/>
              <w:rPr>
                <w:sz w:val="20"/>
                <w:szCs w:val="20"/>
                <w:color w:val="auto"/>
              </w:rPr>
            </w:pPr>
            <w:r>
              <w:rPr>
                <w:rFonts w:ascii="Arial" w:cs="Arial" w:eastAsia="Arial" w:hAnsi="Arial"/>
                <w:sz w:val="14"/>
                <w:szCs w:val="14"/>
                <w:b w:val="1"/>
                <w:bCs w:val="1"/>
                <w:color w:val="FFFFFF"/>
                <w:w w:val="98"/>
              </w:rPr>
              <w:t>1 year</w:t>
            </w:r>
          </w:p>
        </w:tc>
        <w:tc>
          <w:tcPr>
            <w:tcW w:w="380" w:type="dxa"/>
            <w:vAlign w:val="bottom"/>
            <w:shd w:val="clear" w:color="auto" w:fill="ACACAC"/>
          </w:tcPr>
          <w:p>
            <w:pPr>
              <w:spacing w:after="0"/>
              <w:rPr>
                <w:sz w:val="17"/>
                <w:szCs w:val="17"/>
                <w:color w:val="auto"/>
              </w:rPr>
            </w:pPr>
          </w:p>
        </w:tc>
        <w:tc>
          <w:tcPr>
            <w:tcW w:w="9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1 year</w:t>
            </w:r>
          </w:p>
        </w:tc>
        <w:tc>
          <w:tcPr>
            <w:tcW w:w="420" w:type="dxa"/>
            <w:vAlign w:val="bottom"/>
            <w:shd w:val="clear" w:color="auto" w:fill="ACACAC"/>
          </w:tcPr>
          <w:p>
            <w:pPr>
              <w:spacing w:after="0"/>
              <w:rPr>
                <w:sz w:val="17"/>
                <w:szCs w:val="17"/>
                <w:color w:val="auto"/>
              </w:rPr>
            </w:pPr>
          </w:p>
        </w:tc>
        <w:tc>
          <w:tcPr>
            <w:tcW w:w="920" w:type="dxa"/>
            <w:vAlign w:val="bottom"/>
            <w:vMerge w:val="continue"/>
            <w:shd w:val="clear" w:color="auto" w:fill="ACACA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2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Recorded contractual obligations:</w:t>
            </w:r>
          </w:p>
        </w:tc>
        <w:tc>
          <w:tcPr>
            <w:tcW w:w="38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spacing w:after="0"/>
              <w:rPr>
                <w:sz w:val="21"/>
                <w:szCs w:val="21"/>
                <w:color w:val="auto"/>
              </w:rPr>
            </w:pPr>
          </w:p>
        </w:tc>
        <w:tc>
          <w:tcPr>
            <w:tcW w:w="3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spacing w:after="0"/>
              <w:rPr>
                <w:sz w:val="21"/>
                <w:szCs w:val="21"/>
                <w:color w:val="auto"/>
              </w:rPr>
            </w:pPr>
          </w:p>
        </w:tc>
        <w:tc>
          <w:tcPr>
            <w:tcW w:w="4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Debt</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Pr>
          <w:p>
            <w:pPr>
              <w:ind w:left="520"/>
              <w:spacing w:after="0"/>
              <w:rPr>
                <w:sz w:val="20"/>
                <w:szCs w:val="20"/>
                <w:color w:val="auto"/>
              </w:rPr>
            </w:pPr>
            <w:r>
              <w:rPr>
                <w:rFonts w:ascii="Arial" w:cs="Arial" w:eastAsia="Arial" w:hAnsi="Arial"/>
                <w:sz w:val="18"/>
                <w:szCs w:val="18"/>
                <w:color w:val="auto"/>
              </w:rPr>
              <w:t>18.1</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967.5</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985.7</w:t>
            </w: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Operating leases</w:t>
            </w:r>
          </w:p>
        </w:tc>
        <w:tc>
          <w:tcPr>
            <w:tcW w:w="38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ind w:left="520"/>
              <w:spacing w:after="0"/>
              <w:rPr>
                <w:sz w:val="20"/>
                <w:szCs w:val="20"/>
                <w:color w:val="auto"/>
              </w:rPr>
            </w:pPr>
            <w:r>
              <w:rPr>
                <w:rFonts w:ascii="Arial" w:cs="Arial" w:eastAsia="Arial" w:hAnsi="Arial"/>
                <w:sz w:val="18"/>
                <w:szCs w:val="18"/>
                <w:color w:val="auto"/>
              </w:rPr>
              <w:t>11.4</w:t>
            </w:r>
          </w:p>
        </w:tc>
        <w:tc>
          <w:tcPr>
            <w:tcW w:w="3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60.9</w:t>
            </w:r>
          </w:p>
        </w:tc>
        <w:tc>
          <w:tcPr>
            <w:tcW w:w="4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72.3</w:t>
            </w:r>
          </w:p>
        </w:tc>
        <w:tc>
          <w:tcPr>
            <w:tcW w:w="0" w:type="dxa"/>
            <w:vAlign w:val="bottom"/>
          </w:tcPr>
          <w:p>
            <w:pPr>
              <w:spacing w:after="0"/>
              <w:rPr>
                <w:sz w:val="1"/>
                <w:szCs w:val="1"/>
                <w:color w:val="auto"/>
              </w:rPr>
            </w:pPr>
          </w:p>
        </w:tc>
      </w:tr>
      <w:tr>
        <w:trPr>
          <w:trHeight w:val="243"/>
        </w:trPr>
        <w:tc>
          <w:tcPr>
            <w:tcW w:w="7240" w:type="dxa"/>
            <w:vAlign w:val="bottom"/>
          </w:tcPr>
          <w:p>
            <w:pPr>
              <w:ind w:left="20"/>
              <w:spacing w:after="0"/>
              <w:rPr>
                <w:sz w:val="20"/>
                <w:szCs w:val="20"/>
                <w:color w:val="auto"/>
              </w:rPr>
            </w:pPr>
            <w:r>
              <w:rPr>
                <w:rFonts w:ascii="Arial" w:cs="Arial" w:eastAsia="Arial" w:hAnsi="Arial"/>
                <w:sz w:val="18"/>
                <w:szCs w:val="18"/>
                <w:b w:val="1"/>
                <w:bCs w:val="1"/>
                <w:color w:val="auto"/>
              </w:rPr>
              <w:t>Unrecorded contractual obligations:</w:t>
            </w:r>
          </w:p>
        </w:tc>
        <w:tc>
          <w:tcPr>
            <w:tcW w:w="3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40" w:type="dxa"/>
            <w:vAlign w:val="bottom"/>
            <w:tcBorders>
              <w:bottom w:val="single" w:sz="8" w:color="F4F4F4"/>
            </w:tcBorders>
            <w:shd w:val="clear" w:color="auto" w:fill="F4F4F4"/>
          </w:tcPr>
          <w:p>
            <w:pPr>
              <w:ind w:left="140"/>
              <w:spacing w:after="0"/>
              <w:rPr>
                <w:sz w:val="20"/>
                <w:szCs w:val="20"/>
                <w:color w:val="auto"/>
              </w:rPr>
            </w:pPr>
            <w:r>
              <w:rPr>
                <w:rFonts w:ascii="Arial" w:cs="Arial" w:eastAsia="Arial" w:hAnsi="Arial"/>
                <w:sz w:val="18"/>
                <w:szCs w:val="18"/>
                <w:color w:val="auto"/>
              </w:rPr>
              <w:t>Purchase obligations</w:t>
            </w:r>
          </w:p>
        </w:tc>
        <w:tc>
          <w:tcPr>
            <w:tcW w:w="380" w:type="dxa"/>
            <w:vAlign w:val="bottom"/>
            <w:tcBorders>
              <w:bottom w:val="single" w:sz="8" w:color="F4F4F4"/>
            </w:tcBorders>
            <w:shd w:val="clear" w:color="auto" w:fill="F4F4F4"/>
          </w:tcPr>
          <w:p>
            <w:pPr>
              <w:spacing w:after="0"/>
              <w:rPr>
                <w:sz w:val="21"/>
                <w:szCs w:val="21"/>
                <w:color w:val="auto"/>
              </w:rPr>
            </w:pPr>
          </w:p>
        </w:tc>
        <w:tc>
          <w:tcPr>
            <w:tcW w:w="940" w:type="dxa"/>
            <w:vAlign w:val="bottom"/>
            <w:tcBorders>
              <w:bottom w:val="single" w:sz="8" w:color="F4F4F4"/>
            </w:tcBorders>
            <w:shd w:val="clear" w:color="auto" w:fill="F4F4F4"/>
          </w:tcPr>
          <w:p>
            <w:pPr>
              <w:ind w:left="520"/>
              <w:spacing w:after="0"/>
              <w:rPr>
                <w:sz w:val="20"/>
                <w:szCs w:val="20"/>
                <w:color w:val="auto"/>
              </w:rPr>
            </w:pPr>
            <w:r>
              <w:rPr>
                <w:rFonts w:ascii="Arial" w:cs="Arial" w:eastAsia="Arial" w:hAnsi="Arial"/>
                <w:sz w:val="18"/>
                <w:szCs w:val="18"/>
                <w:color w:val="auto"/>
              </w:rPr>
              <w:t>20.6</w:t>
            </w:r>
          </w:p>
        </w:tc>
        <w:tc>
          <w:tcPr>
            <w:tcW w:w="380" w:type="dxa"/>
            <w:vAlign w:val="bottom"/>
            <w:tcBorders>
              <w:bottom w:val="single" w:sz="8" w:color="F4F4F4"/>
            </w:tcBorders>
            <w:shd w:val="clear" w:color="auto" w:fill="F4F4F4"/>
          </w:tcPr>
          <w:p>
            <w:pPr>
              <w:spacing w:after="0"/>
              <w:rPr>
                <w:sz w:val="21"/>
                <w:szCs w:val="21"/>
                <w:color w:val="auto"/>
              </w:rPr>
            </w:pPr>
          </w:p>
        </w:tc>
        <w:tc>
          <w:tcPr>
            <w:tcW w:w="9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11.1</w:t>
            </w:r>
          </w:p>
        </w:tc>
        <w:tc>
          <w:tcPr>
            <w:tcW w:w="42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43"/>
        </w:trPr>
        <w:tc>
          <w:tcPr>
            <w:tcW w:w="7240" w:type="dxa"/>
            <w:vAlign w:val="bottom"/>
          </w:tcPr>
          <w:p>
            <w:pPr>
              <w:ind w:left="140"/>
              <w:spacing w:after="0"/>
              <w:rPr>
                <w:sz w:val="20"/>
                <w:szCs w:val="20"/>
                <w:color w:val="auto"/>
              </w:rPr>
            </w:pPr>
            <w:r>
              <w:rPr>
                <w:rFonts w:ascii="Arial" w:cs="Arial" w:eastAsia="Arial" w:hAnsi="Arial"/>
                <w:sz w:val="18"/>
                <w:szCs w:val="18"/>
                <w:color w:val="auto"/>
              </w:rPr>
              <w:t>Interest payments on debt</w:t>
            </w:r>
          </w:p>
        </w:tc>
        <w:tc>
          <w:tcPr>
            <w:tcW w:w="380" w:type="dxa"/>
            <w:vAlign w:val="bottom"/>
          </w:tcPr>
          <w:p>
            <w:pPr>
              <w:spacing w:after="0"/>
              <w:rPr>
                <w:sz w:val="21"/>
                <w:szCs w:val="21"/>
                <w:color w:val="auto"/>
              </w:rPr>
            </w:pPr>
          </w:p>
        </w:tc>
        <w:tc>
          <w:tcPr>
            <w:tcW w:w="940" w:type="dxa"/>
            <w:vAlign w:val="bottom"/>
          </w:tcPr>
          <w:p>
            <w:pPr>
              <w:ind w:left="520"/>
              <w:spacing w:after="0"/>
              <w:rPr>
                <w:sz w:val="20"/>
                <w:szCs w:val="20"/>
                <w:color w:val="auto"/>
              </w:rPr>
            </w:pPr>
            <w:r>
              <w:rPr>
                <w:rFonts w:ascii="Arial" w:cs="Arial" w:eastAsia="Arial" w:hAnsi="Arial"/>
                <w:sz w:val="18"/>
                <w:szCs w:val="18"/>
                <w:color w:val="auto"/>
              </w:rPr>
              <w:t>30.8</w:t>
            </w:r>
          </w:p>
        </w:tc>
        <w:tc>
          <w:tcPr>
            <w:tcW w:w="3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131.9</w:t>
            </w:r>
          </w:p>
        </w:tc>
        <w:tc>
          <w:tcPr>
            <w:tcW w:w="0" w:type="dxa"/>
            <w:vAlign w:val="bottom"/>
          </w:tcPr>
          <w:p>
            <w:pPr>
              <w:spacing w:after="0"/>
              <w:rPr>
                <w:sz w:val="1"/>
                <w:szCs w:val="1"/>
                <w:color w:val="auto"/>
              </w:rPr>
            </w:pPr>
          </w:p>
        </w:tc>
      </w:tr>
      <w:tr>
        <w:trPr>
          <w:trHeight w:val="27"/>
        </w:trPr>
        <w:tc>
          <w:tcPr>
            <w:tcW w:w="7240" w:type="dxa"/>
            <w:vAlign w:val="bottom"/>
            <w:tcBorders>
              <w:bottom w:val="single" w:sz="8" w:color="F4F4F4"/>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7240" w:type="dxa"/>
            <w:vAlign w:val="bottom"/>
            <w:tcBorders>
              <w:bottom w:val="single" w:sz="8" w:color="71BF43"/>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 contractual obligations</w:t>
            </w:r>
            <w:r>
              <w:rPr>
                <w:rFonts w:ascii="Arial" w:cs="Arial" w:eastAsia="Arial" w:hAnsi="Arial"/>
                <w:sz w:val="23"/>
                <w:szCs w:val="23"/>
                <w:b w:val="1"/>
                <w:bCs w:val="1"/>
                <w:color w:val="auto"/>
                <w:vertAlign w:val="superscript"/>
              </w:rPr>
              <w:t>(1)</w:t>
            </w:r>
          </w:p>
        </w:tc>
        <w:tc>
          <w:tcPr>
            <w:tcW w:w="380" w:type="dxa"/>
            <w:vAlign w:val="bottom"/>
            <w:tcBorders>
              <w:bottom w:val="single" w:sz="8" w:color="71BF43"/>
            </w:tcBorders>
            <w:shd w:val="clear" w:color="auto" w:fill="F4F4F4"/>
          </w:tcPr>
          <w:p>
            <w:pPr>
              <w:jc w:val="right"/>
              <w:ind w:right="1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71BF43"/>
            </w:tcBorders>
            <w:shd w:val="clear" w:color="auto" w:fill="F4F4F4"/>
          </w:tcPr>
          <w:p>
            <w:pPr>
              <w:ind w:left="520"/>
              <w:spacing w:after="0"/>
              <w:rPr>
                <w:sz w:val="20"/>
                <w:szCs w:val="20"/>
                <w:color w:val="auto"/>
              </w:rPr>
            </w:pPr>
            <w:r>
              <w:rPr>
                <w:rFonts w:ascii="Arial" w:cs="Arial" w:eastAsia="Arial" w:hAnsi="Arial"/>
                <w:sz w:val="18"/>
                <w:szCs w:val="18"/>
                <w:color w:val="auto"/>
              </w:rPr>
              <w:t>80.9</w:t>
            </w:r>
          </w:p>
        </w:tc>
        <w:tc>
          <w:tcPr>
            <w:tcW w:w="380" w:type="dxa"/>
            <w:vAlign w:val="bottom"/>
            <w:tcBorders>
              <w:bottom w:val="single" w:sz="8" w:color="71BF43"/>
            </w:tcBorders>
            <w:shd w:val="clear" w:color="auto" w:fill="F4F4F4"/>
          </w:tcPr>
          <w:p>
            <w:pPr>
              <w:jc w:val="right"/>
              <w:ind w:right="1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1,140.7</w:t>
            </w:r>
          </w:p>
        </w:tc>
        <w:tc>
          <w:tcPr>
            <w:tcW w:w="420" w:type="dxa"/>
            <w:vAlign w:val="bottom"/>
            <w:tcBorders>
              <w:bottom w:val="single" w:sz="8" w:color="71BF43"/>
            </w:tcBorders>
            <w:shd w:val="clear" w:color="auto" w:fill="F4F4F4"/>
          </w:tcPr>
          <w:p>
            <w:pPr>
              <w:jc w:val="right"/>
              <w:ind w:right="2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71BF43"/>
            </w:tcBorders>
            <w:shd w:val="clear" w:color="auto" w:fill="F4F4F4"/>
          </w:tcPr>
          <w:p>
            <w:pPr>
              <w:jc w:val="right"/>
              <w:spacing w:after="0"/>
              <w:rPr>
                <w:sz w:val="20"/>
                <w:szCs w:val="20"/>
                <w:color w:val="auto"/>
              </w:rPr>
            </w:pPr>
            <w:r>
              <w:rPr>
                <w:rFonts w:ascii="Arial" w:cs="Arial" w:eastAsia="Arial" w:hAnsi="Arial"/>
                <w:sz w:val="18"/>
                <w:szCs w:val="18"/>
                <w:color w:val="auto"/>
              </w:rPr>
              <w:t>1,221.5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4591050</wp:posOffset>
            </wp:positionH>
            <wp:positionV relativeFrom="paragraph">
              <wp:posOffset>-1490980</wp:posOffset>
            </wp:positionV>
            <wp:extent cx="25457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66"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individual amounts may not sum to the total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486410</wp:posOffset>
            </wp:positionV>
            <wp:extent cx="659765" cy="1714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2022, we had total remaining principal payments of $ 985.7 million. These payments represent principal payments only, under the following assumptions: (i) that the amounts outstanding under the 2020 Credit Facility, our real estate loans and our other debt at March 31, 2022 will remain outstanding until maturity, with minimum payments occurring as currently scheduled, and (ii) that there are no assumed future borrowings on the 2020 Revolving Facility for the purposes of determining minimum commitment amounts. See Note 8 to our unaudited, condensed consolidated financial statements in this report for more information.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payments on debt</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In addition to principal payments, as of March 31, 2022, we expect to pay interest expense over the life of our debt obligations of approximately $131.9 million. These payments represent our estimated future interest payments on debt using our debt balances and the related weighted average effective interest rates as of March 31, 2022, which includes the effect of interest rate swap agreements. The actual interest expense recognized in our consolidated statements of comprehensive income will depend on the amount of debt, the length of time the debt is outstanding and the interest rate, which could be different from our assumptions on our remaining principal payments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of March 31, 2022, we had remaining operating lease payments of $ 72.3 million. These payments have not been reduced by sublease income, incentive payments, reimbursement of leasehold improvements or the amount representing imputed interest of $12.6 million. Our operating leases are generally for corporate offices, subleased offices and certain equipment and furniture. Given our remote-first workforce strategy and real estate footprint optimization efforts, as discussed above, we do not anticipate entering any new, material operating leases for offices for the foreseeable future. See Note 10 to our unaudited, condensed consolidated financial statements in this report for more information.</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obligations</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March 31, 2022, we had remaining purchase obligations of $ 31.7 million. These purchase obligations are for third-party technology used in our solutions and for other services we purchase as part of our normal operations. In certain cases, these arrangements require a minimum annual purchase commitment by us. Our purchase obligations are not recorded as liabilities on our consolidated balance sheets as of March 31, 2022, as we had not received the related services. See Note 10 to our unaudited, condensed consolidated financial statements in this report for more information.</w:t>
      </w:r>
    </w:p>
    <w:p>
      <w:pPr>
        <w:spacing w:after="0" w:line="15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total liability for uncertain tax positions as of March 31, 2022 and December 31, 2021, was $3.8 million and $3.7 million, respectively. Our accrued interest and penalties related to tax positions taken on our tax returns was insignificant as of March 31, 2022 and December 31, 2021.</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40</w:t>
      </w:r>
      <w:r>
        <w:rPr>
          <w:sz w:val="20"/>
          <w:szCs w:val="20"/>
          <w:color w:val="auto"/>
        </w:rPr>
        <w:tab/>
      </w:r>
      <w:r>
        <w:rPr>
          <w:sz w:val="1"/>
          <w:szCs w:val="1"/>
          <w:color w:val="auto"/>
        </w:rPr>
        <w:drawing>
          <wp:inline distT="0" distB="0" distL="0" distR="0">
            <wp:extent cx="651510" cy="171450"/>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1" w:name="page42"/>
    <w:bookmarkEnd w:id="4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Approximately 17% of our total revenue for the three months ended March 31, 2022 was generated from operations outside the U.S. We do not have significant operations in countries in which the economy is considered to be highly inflationary. Our consolidated financial statements are denominated in U.S. dollars and, accordingly, changes in the exchange rate between foreign currencies and the U.S. dollar will affect the translation of our subsidiaries’ financial results into U.S. dollars for purposes of reporting our consolidated financial results. The accumulated currency translation adjustment, recorded within accumulated other comprehensive loss as a component of stockholders’ equity, was a loss of $0.9 million as of March 31, 2022 and a gain of $1.3 million as of December 31, 2021.</w:t>
      </w:r>
    </w:p>
    <w:p>
      <w:pPr>
        <w:spacing w:after="0" w:line="154"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The vast majority of our contracts are entered into by our U.S. or U.K. entities. The contracts entered into by the U.S. entity are almost always denominated in U.S. dollars or Canadian dollars, and contracts entered into by our U.K., Australian and Irish subsidiaries are generally denominated in British Pounds, Australian dollars and Euros, respectively. Historically, as the U.S. dollar weakened, foreign currency translation resulted in an increase in our revenues and expenses denominated in non-U.S. currencies. Conversely, as the U.S. dollar strengthened, foreign currency translation resulted in a decrease in our revenue and expenses denominated in non-U.S. currencies. During the three months ended March 31, 2022, foreign translation resulted in decreases in our revenues and expenses denominated in non-U.S. currencies. Though we have exposure to fluctuations in currency exchange rates, primarily those between the U.S. dollar and both the British Pound and Canadian dollar, the impact has generally not been material to our consolidated results of operations or financial position. For the three months ended March 31, 2022, the fluctuation in foreign currency exchange rates reduced our total revenue and our income from operations by $0.9 million and $0.2 million, respectively. We will continue monitoring such exposure and take action as appropriate. To determine the impacts on revenue (or income from operations) from fluctuations in currency exchange rates, current period revenues (or income from operations) from entities reporting in foreign currencies were translated into U.S. dollars using the comparable prior year period's weighted average foreign currency exchange rates. These impacts are non-GAAP financial information and are not in accordance with, or an alternative to, information prepared in accordance with GAAP.</w:t>
      </w:r>
    </w:p>
    <w:p>
      <w:pPr>
        <w:spacing w:after="0" w:line="24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There have been no significant changes in our critical accounting policies and estimates during the three months ended March 31, 2022 as compared to those disclosed in “Management’s Discussion and Analysis of Financial Condition and Results of Operations” included in our Annual Report on Form 10-K for the fiscal year ended December 31, 2021.</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Recently Issued Accounting Pronouncements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a discussion of the impact that recently issued accounting pronouncements are expected to have on our financial position and results of operations when adopted in the future, see Note 2 to our unaudited, condensed consolidated financial statements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212090</wp:posOffset>
            </wp:positionV>
            <wp:extent cx="659765" cy="1714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330"/>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2" w:name="page43"/>
    <w:bookmarkEnd w:id="4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8"/>
          <w:szCs w:val="28"/>
          <w:b w:val="1"/>
          <w:bCs w:val="1"/>
          <w:color w:val="71BF43"/>
        </w:rPr>
        <w:t>ITEM 3. QUANTITATIVE AND QUALITATIVE DISCLOSURES ABOUT MARKET RISK</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We have market rate sensitivity for interest rates and foreign currency exchange rates.</w:t>
      </w:r>
    </w:p>
    <w:p>
      <w:pPr>
        <w:spacing w:after="0" w:line="261"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Interest Rate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Our variable rate debt is our primary financial instrument with market risk exposure for changing interest rates. We manage our variable rate interest rate risk through a combination of short-term and long-term borrowings and the use of derivative instruments entered into for hedging purposes. Our interest rate exposure includes LIBOR and SOFR rates. The Financial Conduct Authority in the U.K. has stated that it plans to phase out all tenors of LIBOR by June 2023. We do not currently anticipate a significant impact to our financial position or results of operations as a result of this action as we expect that our financial contracts currently indexed to LIBOR will either expire or be modified without significant financial impact before the phase out occurs. Due to the nature of our debt, the materiality of the fair values of the derivative instruments and the highly liquid, short-term nature and level of our cash and cash equivalents as of March 31, 2022, we believe that the risk of exposure to changing interest rates for those positions is immaterial. There were no significant changes in how we manage interest rate risk between December 31, 2021 and March 31, 2022.</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Foreign Currency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For a discussion of our exposure to foreign currency exchange rate fluctuations, see “Management’s Discussion and Analysis of Financial Condition and Results of Operations — Foreign Currency Exchange Rates” in this report.</w:t>
      </w:r>
    </w:p>
    <w:p>
      <w:pPr>
        <w:spacing w:after="0" w:line="213"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4. CONTROLS AND PROCEDURES</w:t>
      </w: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Evaluation of Disclosure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Disclosure controls and procedures (as defined in Securities Exchange Act Rule 13a-15(e) and 15d-15(e)) are designed only to provide reasonable assurance that they will meet their objectives. As of the end of the period covered by this report, we carried out an evaluation, under the supervision and with the participation of our management, including our Chief Executive Officer (principal executive officer) and Chief Financial Officer (principal financial and accounting officer), of the effectiveness of our disclosure controls and procedures (as defined in Rule 13a-15(e) and 15d-15(e)) pursuant to Securities Exchange Act Rule 13a-15(b). Based upon that evaluation, our Chief Executive Officer and Chief Financial Officer have concluded that our disclosure controls and procedures are effective to provide the reasonable assurance discussed above.</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Changes in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Although we do not believe it materially affected, or is reasonably likely to materially affect, our internal control over financial reporting, our evaluation of the effectiveness of internal control over financial reporting as of March 31, 2022 excluded EVERFI as permitted by the guidance issued by the Office of the Chief Accountant of the Securities and Exchange Commission (not to extend more than one year beyond the date of the acquisition or for more than one annual reporting period). The acquisition of EVERFI was completed on December 31, 2021. As of and for the quarter ended March 31, 2022, EVERFI's assets represented approximately 3% of our consolidated total assets and its revenue represented approximately 10% of our consolidated total revenue. We are working to integrate EVERFI into our overall internal control over financial reporting processes.</w:t>
      </w:r>
    </w:p>
    <w:p>
      <w:pPr>
        <w:spacing w:after="0" w:line="15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No changes in internal control over financial reporting occurred during the most recent fiscal quarter ended March 31, 2022 with respect to our operations, which have materially affected, or are reasonably likely to materially affect, our internal control over financial reporting.</w:t>
      </w:r>
    </w:p>
    <w:p>
      <w:pPr>
        <w:spacing w:after="0" w:line="304"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42</w:t>
      </w:r>
      <w:r>
        <w:rPr>
          <w:sz w:val="20"/>
          <w:szCs w:val="20"/>
          <w:color w:val="auto"/>
        </w:rPr>
        <w:tab/>
      </w:r>
      <w:r>
        <w:rPr>
          <w:sz w:val="1"/>
          <w:szCs w:val="1"/>
          <w:color w:val="auto"/>
        </w:rPr>
        <w:drawing>
          <wp:inline distT="0" distB="0" distL="0" distR="0">
            <wp:extent cx="651510" cy="17145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3" w:name="page44"/>
    <w:bookmarkEnd w:id="4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80"/>
        <w:spacing w:after="0"/>
        <w:rPr>
          <w:sz w:val="20"/>
          <w:szCs w:val="20"/>
          <w:color w:val="auto"/>
        </w:rPr>
      </w:pPr>
      <w:r>
        <w:rPr>
          <w:rFonts w:ascii="Arial" w:cs="Arial" w:eastAsia="Arial" w:hAnsi="Arial"/>
          <w:sz w:val="40"/>
          <w:szCs w:val="40"/>
          <w:b w:val="1"/>
          <w:bCs w:val="1"/>
          <w:color w:val="50535A"/>
        </w:rPr>
        <w:t>PART II.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-263525</wp:posOffset>
            </wp:positionV>
            <wp:extent cx="171450" cy="21463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71450" cy="21463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 LEGAL PROCEEDINGS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For a discussion of our legal proceedings, see Note 10 to our unaudited, condensed consolidated financial statements in this report.</w:t>
      </w:r>
    </w:p>
    <w:p>
      <w:pPr>
        <w:spacing w:after="0" w:line="240"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1A. RISK FACTORS</w:t>
      </w:r>
    </w:p>
    <w:p>
      <w:pPr>
        <w:spacing w:after="0" w:line="20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supplementing Item 1A. Risk Factors in our Annual Report on Form 10-K for the year ended December 31, 2021, as filed with the Securities and Exchange Commission on March 1, 2022 (the “Annual Report”). The following risk factors should be read in conjunction with the risk factors set forth in that Annual Report.</w:t>
      </w:r>
    </w:p>
    <w:p>
      <w:pPr>
        <w:spacing w:after="0" w:line="238"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Operational Risks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6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b w:val="1"/>
          <w:bCs w:val="1"/>
          <w:i w:val="1"/>
          <w:iCs w:val="1"/>
          <w:color w:val="auto"/>
        </w:rPr>
        <w:t>The Security Incident has had, and may continue to have numerous adverse effects on our business, results of operations, financial condition and cash flows.</w:t>
      </w:r>
    </w:p>
    <w:p>
      <w:pPr>
        <w:spacing w:after="0" w:line="12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As previously disclosed, on July 16, 2020, we contacted certain customers to inform them about the Security Incident, including that in May 2020 we discovered and stopped a ransomware attack. Prior to our successfully preventing the cybercriminal from blocking our system access and fully encrypting files, and ultimately expelling them from our system with no significant disruption to our operations, the cybercriminal removed a copy of a subset of data from our self-hosted environment. Although the nature of the incident, our research and third party (including law enforcement) investigation have provided no reason to believe that any data went beyond the cybercriminal, was or will be misused, or will be disseminated or otherwise made available publicly, our investigation into the Security Incident remains ongoing and may provide additional information.</w:t>
      </w:r>
    </w:p>
    <w:p>
      <w:pPr>
        <w:spacing w:after="0" w:line="153"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To date, we have received approximately 260 Customer Reimbursement Requests and approximately 400 reservations of the right to seek expense recovery in the future from customers or their attorneys in the U.S., U.K. and Canada related to the Security Incident (none of which have as yet been filed in court). In addition, insurance companies representing various customers’ interests through subrogation claims have contacted us. Customer and insurer subrogation claims generally seek reimbursement of their costs and expenses associated with notifying their own customers of the Security Incident and taking steps to assure that personal information has not been compromised as a result of the Security Incident. In addition, presently, we are a defendant in 19 putative consumer class action cases [17 in U.S. federal courts (which have been consolidated under multi district litigation to a single federal court) and 2 in Canadian courts] alleging harm from the Security Incident. The plaintiffs in these cases, who generally purport to represent various classes of individual constituents of our customers, generally claim to have been harmed by alleged actions and/or omissions by us in connection with the Security Incident and assert a variety of common law and statutory claims seeking monetary damages, injunctive relief, costs and attorneys’ fees, and other related relief. To date, we also have received a consolidated, multi-state Civil Investigative Demand issued on behalf of 49 state Attorneys General and the District of Columbia and a separate Civil Investigative Demand from the office of the California Attorney General relating to the Security Incident. In addition, we are subject to pending governmental actions or investigations by the U.S. Federal Trade Commission, the U.S. Department of Health and Human Services, the SEC, the Office of the Australian Information Commissioner and the Office of the Privacy Commissioner of Canada. (See Note 10 to our unaudited, condensed consolidated financial statements included in this report for a more detailed description of the Security Incident and related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227330</wp:posOffset>
            </wp:positionV>
            <wp:extent cx="659765" cy="17145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43</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may be named as a party in additional lawsuits, other claims may be asserted by or on behalf of our customers or their constituents, and we may be subject to additional governmental inquires, requests or investigations. Responding to and resolving these current and any future lawsuits, claims and/or investigations could result in material remedial and other expenses that will not be covered by insurance. Governmental authorities also may seek to impose undertakings, injunctive relief, consent decrees, or other civil or criminal penalties, which could, among other things, materially increase our data security costs or otherwise require us to alter how we operate our business. Although we intend to defend ourselves vigorously against the claims asserted against us, we cannot predict the potential outcomes, cost and expenses associated with current and any future claims, lawsuits, inquiries and investigations.</w:t>
      </w:r>
    </w:p>
    <w:p>
      <w:pPr>
        <w:spacing w:after="0" w:line="15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any legislative or regulatory changes adopted in reaction to the Security Incident or other companies’ data breaches could require us to make modifications to the operation of our business that could have an adverse effect and/or increase or accelerate our compliance costs.</w:t>
      </w:r>
    </w:p>
    <w:p>
      <w:pPr>
        <w:spacing w:after="0" w:line="148"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Significant management time and Company resources have been, and are expected to continue to be, devoted to the Security Incident. For example, we currently expect net cash outlays of $ 25 million to $35 million for ongoing legal fees related to the Security Incident for full year 2022. Although we carry insurance against certain losses related to the Security Incident, we exceeded the limit of that insurance coverage during the first quarter of 2022. As a result, we will be responsible for all expenses or other losses (including penalties, fines or other judgments) or all types of claims that may arise in connection with the Security Incident, which could materially and adversely affect our liquidity and results of operations. (See Note 10 to our unaudited, condensed consolidated financial statements included in this report.) If any such fines or penalties were great enough that we could not pay them through funds generated from operating activities and/or cause a default under our credit facility, we may be forced to renegotiate or obtain a waiver under our credit facility and/or seek additional debt or equity financing. Such renegotiation or financing may not be available on acceptable terms, or at all. In these circumstances, if we were unable to obtain sufficient financing, we may not be able to meet our obligations as they come due.</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addition, publicity or developments related to the Security Incident could in the future have a range of other adverse effects on our business or prospects, including causing or contributing to loss of customer confidence, reduced customer demand, reduced customer retention, strategic growth opportunities, and associated retention and recruiting difficulties, some or all of which could be material.</w:t>
      </w:r>
    </w:p>
    <w:p>
      <w:pPr>
        <w:spacing w:after="0" w:line="308" w:lineRule="exact"/>
        <w:rPr>
          <w:sz w:val="20"/>
          <w:szCs w:val="20"/>
          <w:color w:val="auto"/>
        </w:rPr>
      </w:pPr>
    </w:p>
    <w:p>
      <w:pPr>
        <w:ind w:left="20"/>
        <w:spacing w:after="0"/>
        <w:tabs>
          <w:tab w:leader="none" w:pos="473" w:val="left"/>
        </w:tabs>
        <w:rPr>
          <w:sz w:val="20"/>
          <w:szCs w:val="20"/>
          <w:color w:val="auto"/>
        </w:rPr>
      </w:pPr>
      <w:r>
        <w:rPr>
          <w:rFonts w:ascii="Arial" w:cs="Arial" w:eastAsia="Arial" w:hAnsi="Arial"/>
          <w:sz w:val="14"/>
          <w:szCs w:val="14"/>
          <w:color w:val="auto"/>
        </w:rPr>
        <w:t>44</w:t>
      </w:r>
      <w:r>
        <w:rPr>
          <w:sz w:val="20"/>
          <w:szCs w:val="20"/>
          <w:color w:val="auto"/>
        </w:rPr>
        <w:tab/>
      </w:r>
      <w:r>
        <w:rPr>
          <w:sz w:val="1"/>
          <w:szCs w:val="1"/>
          <w:color w:val="auto"/>
        </w:rPr>
        <w:drawing>
          <wp:inline distT="0" distB="0" distL="0" distR="0">
            <wp:extent cx="651510" cy="17145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1510" cy="171450"/>
                    </a:xfrm>
                    <a:prstGeom prst="rect">
                      <a:avLst/>
                    </a:prstGeom>
                    <a:noFill/>
                    <a:ln>
                      <a:noFill/>
                    </a:ln>
                  </pic:spPr>
                </pic:pic>
              </a:graphicData>
            </a:graphic>
          </wp:inline>
        </w:drawing>
      </w:r>
      <w:r>
        <w:rPr>
          <w:rFonts w:ascii="Arial" w:cs="Arial" w:eastAsia="Arial" w:hAnsi="Arial"/>
          <w:sz w:val="14"/>
          <w:szCs w:val="14"/>
          <w:color w:val="auto"/>
        </w:rPr>
        <w:t xml:space="preserve">  First Quarter 2022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175895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right="1540"/>
        <w:spacing w:after="0" w:line="278" w:lineRule="auto"/>
        <w:rPr>
          <w:sz w:val="20"/>
          <w:szCs w:val="20"/>
          <w:color w:val="auto"/>
        </w:rPr>
      </w:pPr>
      <w:r>
        <w:rPr>
          <w:rFonts w:ascii="Arial" w:cs="Arial" w:eastAsia="Arial" w:hAnsi="Arial"/>
          <w:sz w:val="29"/>
          <w:szCs w:val="29"/>
          <w:b w:val="1"/>
          <w:bCs w:val="1"/>
          <w:color w:val="71BF43"/>
        </w:rPr>
        <w:t>ITEM 2. UNREGISTERED SALES OF EQUITY SECURITIES AND USE OF PROCEEDS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following table provides information about shares of common stock acquired or repurchased during the three months ended March 31, 2022 under the stock repurchase program then in effect, as well as common stock withheld by us to satisfy the minimum tax obligations of employees due upon vesting of restricted stock awards and units.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40" w:type="dxa"/>
            <w:vAlign w:val="bottom"/>
            <w:shd w:val="clear" w:color="auto" w:fill="ACACAC"/>
          </w:tcPr>
          <w:p>
            <w:pPr>
              <w:spacing w:after="0"/>
              <w:rPr>
                <w:sz w:val="16"/>
                <w:szCs w:val="16"/>
                <w:color w:val="auto"/>
              </w:rPr>
            </w:pPr>
          </w:p>
        </w:tc>
        <w:tc>
          <w:tcPr>
            <w:tcW w:w="136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460" w:type="dxa"/>
            <w:vAlign w:val="bottom"/>
            <w:shd w:val="clear" w:color="auto" w:fill="ACACAC"/>
          </w:tcPr>
          <w:p>
            <w:pPr>
              <w:spacing w:after="0"/>
              <w:rPr>
                <w:sz w:val="16"/>
                <w:szCs w:val="16"/>
                <w:color w:val="auto"/>
              </w:rPr>
            </w:pPr>
          </w:p>
        </w:tc>
        <w:tc>
          <w:tcPr>
            <w:tcW w:w="920" w:type="dxa"/>
            <w:vAlign w:val="bottom"/>
            <w:shd w:val="clear" w:color="auto" w:fill="ACACAC"/>
          </w:tcPr>
          <w:p>
            <w:pPr>
              <w:spacing w:after="0"/>
              <w:rPr>
                <w:sz w:val="16"/>
                <w:szCs w:val="16"/>
                <w:color w:val="auto"/>
              </w:rPr>
            </w:pPr>
          </w:p>
        </w:tc>
        <w:tc>
          <w:tcPr>
            <w:tcW w:w="120" w:type="dxa"/>
            <w:vAlign w:val="bottom"/>
            <w:shd w:val="clear" w:color="auto" w:fill="ACACAC"/>
          </w:tcPr>
          <w:p>
            <w:pPr>
              <w:spacing w:after="0"/>
              <w:rPr>
                <w:sz w:val="16"/>
                <w:szCs w:val="16"/>
                <w:color w:val="auto"/>
              </w:rPr>
            </w:pPr>
          </w:p>
        </w:tc>
        <w:tc>
          <w:tcPr>
            <w:tcW w:w="1360" w:type="dxa"/>
            <w:vAlign w:val="bottom"/>
            <w:shd w:val="clear" w:color="auto" w:fill="ACACAC"/>
          </w:tcPr>
          <w:p>
            <w:pPr>
              <w:spacing w:after="0"/>
              <w:rPr>
                <w:sz w:val="16"/>
                <w:szCs w:val="16"/>
                <w:color w:val="auto"/>
              </w:rPr>
            </w:pPr>
          </w:p>
        </w:tc>
        <w:tc>
          <w:tcPr>
            <w:tcW w:w="100" w:type="dxa"/>
            <w:vAlign w:val="bottom"/>
            <w:shd w:val="clear" w:color="auto" w:fill="ACACAC"/>
          </w:tcPr>
          <w:p>
            <w:pPr>
              <w:spacing w:after="0"/>
              <w:rPr>
                <w:sz w:val="16"/>
                <w:szCs w:val="16"/>
                <w:color w:val="auto"/>
              </w:rPr>
            </w:pPr>
          </w:p>
        </w:tc>
        <w:tc>
          <w:tcPr>
            <w:tcW w:w="240" w:type="dxa"/>
            <w:vAlign w:val="bottom"/>
            <w:shd w:val="clear" w:color="auto" w:fill="ACACAC"/>
          </w:tcPr>
          <w:p>
            <w:pPr>
              <w:spacing w:after="0"/>
              <w:rPr>
                <w:sz w:val="16"/>
                <w:szCs w:val="16"/>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Approximate</w:t>
            </w:r>
          </w:p>
        </w:tc>
        <w:tc>
          <w:tcPr>
            <w:tcW w:w="20" w:type="dxa"/>
            <w:vAlign w:val="bottom"/>
            <w:shd w:val="clear" w:color="auto" w:fill="ACACAC"/>
          </w:tcPr>
          <w:p>
            <w:pPr>
              <w:spacing w:after="0"/>
              <w:rPr>
                <w:sz w:val="16"/>
                <w:szCs w:val="16"/>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 number</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dollar value</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spacing w:after="0"/>
              <w:rPr>
                <w:sz w:val="14"/>
                <w:szCs w:val="14"/>
                <w:color w:val="auto"/>
              </w:rPr>
            </w:pP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purchased as</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that may yet</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spacing w:after="0"/>
              <w:rPr>
                <w:sz w:val="14"/>
                <w:szCs w:val="14"/>
                <w:color w:val="auto"/>
              </w:rPr>
            </w:pP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Average</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part of</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be purchased</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Total</w:t>
            </w: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price</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publicly</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under the</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number</w:t>
            </w: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paid</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announced</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plans or</w:t>
            </w:r>
          </w:p>
        </w:tc>
        <w:tc>
          <w:tcPr>
            <w:tcW w:w="20" w:type="dxa"/>
            <w:vAlign w:val="bottom"/>
            <w:shd w:val="clear" w:color="auto" w:fill="ACACAC"/>
          </w:tcPr>
          <w:p>
            <w:pPr>
              <w:spacing w:after="0"/>
              <w:rPr>
                <w:sz w:val="14"/>
                <w:szCs w:val="14"/>
                <w:color w:val="auto"/>
              </w:rPr>
            </w:pPr>
          </w:p>
        </w:tc>
      </w:tr>
      <w:tr>
        <w:trPr>
          <w:trHeight w:val="162"/>
        </w:trPr>
        <w:tc>
          <w:tcPr>
            <w:tcW w:w="544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of shares</w:t>
            </w:r>
          </w:p>
        </w:tc>
        <w:tc>
          <w:tcPr>
            <w:tcW w:w="100" w:type="dxa"/>
            <w:vAlign w:val="bottom"/>
            <w:shd w:val="clear" w:color="auto" w:fill="ACACAC"/>
          </w:tcPr>
          <w:p>
            <w:pPr>
              <w:spacing w:after="0"/>
              <w:rPr>
                <w:sz w:val="14"/>
                <w:szCs w:val="14"/>
                <w:color w:val="auto"/>
              </w:rPr>
            </w:pPr>
          </w:p>
        </w:tc>
        <w:tc>
          <w:tcPr>
            <w:tcW w:w="460" w:type="dxa"/>
            <w:vAlign w:val="bottom"/>
            <w:shd w:val="clear" w:color="auto" w:fill="ACACAC"/>
          </w:tcPr>
          <w:p>
            <w:pPr>
              <w:spacing w:after="0"/>
              <w:rPr>
                <w:sz w:val="14"/>
                <w:szCs w:val="14"/>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per</w:t>
            </w:r>
          </w:p>
        </w:tc>
        <w:tc>
          <w:tcPr>
            <w:tcW w:w="120" w:type="dxa"/>
            <w:vAlign w:val="bottom"/>
            <w:shd w:val="clear" w:color="auto" w:fill="ACACAC"/>
          </w:tcPr>
          <w:p>
            <w:pPr>
              <w:spacing w:after="0"/>
              <w:rPr>
                <w:sz w:val="14"/>
                <w:szCs w:val="14"/>
                <w:color w:val="auto"/>
              </w:rPr>
            </w:pPr>
          </w:p>
        </w:tc>
        <w:tc>
          <w:tcPr>
            <w:tcW w:w="136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plans or</w:t>
            </w:r>
          </w:p>
        </w:tc>
        <w:tc>
          <w:tcPr>
            <w:tcW w:w="100" w:type="dxa"/>
            <w:vAlign w:val="bottom"/>
            <w:shd w:val="clear" w:color="auto" w:fill="ACACAC"/>
          </w:tcPr>
          <w:p>
            <w:pPr>
              <w:spacing w:after="0"/>
              <w:rPr>
                <w:sz w:val="14"/>
                <w:szCs w:val="14"/>
                <w:color w:val="auto"/>
              </w:rPr>
            </w:pPr>
          </w:p>
        </w:tc>
        <w:tc>
          <w:tcPr>
            <w:tcW w:w="240" w:type="dxa"/>
            <w:vAlign w:val="bottom"/>
            <w:shd w:val="clear" w:color="auto" w:fill="ACACAC"/>
          </w:tcPr>
          <w:p>
            <w:pPr>
              <w:spacing w:after="0"/>
              <w:rPr>
                <w:sz w:val="14"/>
                <w:szCs w:val="14"/>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programs</w:t>
            </w:r>
          </w:p>
        </w:tc>
        <w:tc>
          <w:tcPr>
            <w:tcW w:w="20" w:type="dxa"/>
            <w:vAlign w:val="bottom"/>
            <w:shd w:val="clear" w:color="auto" w:fill="ACACAC"/>
          </w:tcPr>
          <w:p>
            <w:pPr>
              <w:spacing w:after="0"/>
              <w:rPr>
                <w:sz w:val="14"/>
                <w:szCs w:val="14"/>
                <w:color w:val="auto"/>
              </w:rPr>
            </w:pPr>
          </w:p>
        </w:tc>
      </w:tr>
      <w:tr>
        <w:trPr>
          <w:trHeight w:val="216"/>
        </w:trPr>
        <w:tc>
          <w:tcPr>
            <w:tcW w:w="5440" w:type="dxa"/>
            <w:vAlign w:val="bottom"/>
            <w:shd w:val="clear" w:color="auto" w:fill="ACACAC"/>
          </w:tcPr>
          <w:p>
            <w:pPr>
              <w:ind w:left="40"/>
              <w:spacing w:after="0"/>
              <w:rPr>
                <w:sz w:val="20"/>
                <w:szCs w:val="20"/>
                <w:color w:val="auto"/>
              </w:rPr>
            </w:pPr>
            <w:r>
              <w:rPr>
                <w:rFonts w:ascii="Arial" w:cs="Arial" w:eastAsia="Arial" w:hAnsi="Arial"/>
                <w:sz w:val="14"/>
                <w:szCs w:val="14"/>
                <w:b w:val="1"/>
                <w:bCs w:val="1"/>
                <w:color w:val="FFFFFF"/>
              </w:rPr>
              <w:t>Period</w:t>
            </w:r>
          </w:p>
        </w:tc>
        <w:tc>
          <w:tcPr>
            <w:tcW w:w="1360" w:type="dxa"/>
            <w:vAlign w:val="bottom"/>
            <w:shd w:val="clear" w:color="auto" w:fill="ACACAC"/>
          </w:tcPr>
          <w:p>
            <w:pPr>
              <w:jc w:val="right"/>
              <w:spacing w:after="0" w:line="202" w:lineRule="exact"/>
              <w:rPr>
                <w:sz w:val="20"/>
                <w:szCs w:val="20"/>
                <w:color w:val="auto"/>
              </w:rPr>
            </w:pPr>
            <w:r>
              <w:rPr>
                <w:rFonts w:ascii="Arial" w:cs="Arial" w:eastAsia="Arial" w:hAnsi="Arial"/>
                <w:sz w:val="14"/>
                <w:szCs w:val="14"/>
                <w:b w:val="1"/>
                <w:bCs w:val="1"/>
                <w:color w:val="FFFFFF"/>
              </w:rPr>
              <w:t>purchased</w:t>
            </w:r>
            <w:r>
              <w:rPr>
                <w:rFonts w:ascii="Arial" w:cs="Arial" w:eastAsia="Arial" w:hAnsi="Arial"/>
                <w:sz w:val="18"/>
                <w:szCs w:val="18"/>
                <w:b w:val="1"/>
                <w:bCs w:val="1"/>
                <w:color w:val="FFFFFF"/>
                <w:vertAlign w:val="superscript"/>
              </w:rPr>
              <w:t>(1)</w:t>
            </w:r>
          </w:p>
        </w:tc>
        <w:tc>
          <w:tcPr>
            <w:tcW w:w="100" w:type="dxa"/>
            <w:vAlign w:val="bottom"/>
            <w:shd w:val="clear" w:color="auto" w:fill="ACACAC"/>
          </w:tcPr>
          <w:p>
            <w:pPr>
              <w:spacing w:after="0"/>
              <w:rPr>
                <w:sz w:val="18"/>
                <w:szCs w:val="18"/>
                <w:color w:val="auto"/>
              </w:rPr>
            </w:pPr>
          </w:p>
        </w:tc>
        <w:tc>
          <w:tcPr>
            <w:tcW w:w="460" w:type="dxa"/>
            <w:vAlign w:val="bottom"/>
            <w:shd w:val="clear" w:color="auto" w:fill="ACACAC"/>
          </w:tcPr>
          <w:p>
            <w:pPr>
              <w:spacing w:after="0"/>
              <w:rPr>
                <w:sz w:val="18"/>
                <w:szCs w:val="18"/>
                <w:color w:val="auto"/>
              </w:rPr>
            </w:pPr>
          </w:p>
        </w:tc>
        <w:tc>
          <w:tcPr>
            <w:tcW w:w="92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share</w:t>
            </w:r>
          </w:p>
        </w:tc>
        <w:tc>
          <w:tcPr>
            <w:tcW w:w="120" w:type="dxa"/>
            <w:vAlign w:val="bottom"/>
            <w:shd w:val="clear" w:color="auto" w:fill="ACACAC"/>
          </w:tcPr>
          <w:p>
            <w:pPr>
              <w:spacing w:after="0"/>
              <w:rPr>
                <w:sz w:val="18"/>
                <w:szCs w:val="18"/>
                <w:color w:val="auto"/>
              </w:rPr>
            </w:pPr>
          </w:p>
        </w:tc>
        <w:tc>
          <w:tcPr>
            <w:tcW w:w="1360" w:type="dxa"/>
            <w:vAlign w:val="bottom"/>
            <w:shd w:val="clear" w:color="auto" w:fill="ACACAC"/>
          </w:tcPr>
          <w:p>
            <w:pPr>
              <w:jc w:val="right"/>
              <w:spacing w:after="0" w:line="202" w:lineRule="exact"/>
              <w:rPr>
                <w:sz w:val="20"/>
                <w:szCs w:val="20"/>
                <w:color w:val="auto"/>
              </w:rPr>
            </w:pPr>
            <w:r>
              <w:rPr>
                <w:rFonts w:ascii="Arial" w:cs="Arial" w:eastAsia="Arial" w:hAnsi="Arial"/>
                <w:sz w:val="14"/>
                <w:szCs w:val="14"/>
                <w:b w:val="1"/>
                <w:bCs w:val="1"/>
                <w:color w:val="FFFFFF"/>
              </w:rPr>
              <w:t>programs</w:t>
            </w:r>
            <w:r>
              <w:rPr>
                <w:rFonts w:ascii="Arial" w:cs="Arial" w:eastAsia="Arial" w:hAnsi="Arial"/>
                <w:sz w:val="18"/>
                <w:szCs w:val="18"/>
                <w:b w:val="1"/>
                <w:bCs w:val="1"/>
                <w:color w:val="FFFFFF"/>
                <w:vertAlign w:val="superscript"/>
              </w:rPr>
              <w:t>(2)</w:t>
            </w:r>
          </w:p>
        </w:tc>
        <w:tc>
          <w:tcPr>
            <w:tcW w:w="10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1140" w:type="dxa"/>
            <w:vAlign w:val="bottom"/>
            <w:shd w:val="clear" w:color="auto" w:fill="ACACAC"/>
          </w:tcPr>
          <w:p>
            <w:pPr>
              <w:jc w:val="right"/>
              <w:spacing w:after="0"/>
              <w:rPr>
                <w:sz w:val="20"/>
                <w:szCs w:val="20"/>
                <w:color w:val="auto"/>
              </w:rPr>
            </w:pPr>
            <w:r>
              <w:rPr>
                <w:rFonts w:ascii="Arial" w:cs="Arial" w:eastAsia="Arial" w:hAnsi="Arial"/>
                <w:sz w:val="14"/>
                <w:szCs w:val="14"/>
                <w:b w:val="1"/>
                <w:bCs w:val="1"/>
                <w:color w:val="FFFFFF"/>
              </w:rPr>
              <w:t>(in thousands)</w:t>
            </w:r>
          </w:p>
        </w:tc>
        <w:tc>
          <w:tcPr>
            <w:tcW w:w="20" w:type="dxa"/>
            <w:vAlign w:val="bottom"/>
            <w:shd w:val="clear" w:color="auto" w:fill="ACACAC"/>
          </w:tcPr>
          <w:p>
            <w:pPr>
              <w:spacing w:after="0"/>
              <w:rPr>
                <w:sz w:val="18"/>
                <w:szCs w:val="18"/>
                <w:color w:val="auto"/>
              </w:rPr>
            </w:pPr>
          </w:p>
        </w:tc>
      </w:tr>
      <w:tr>
        <w:trPr>
          <w:trHeight w:val="250"/>
        </w:trPr>
        <w:tc>
          <w:tcPr>
            <w:tcW w:w="54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Beginning balance, January 1, 2022</w:t>
            </w: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spacing w:after="0"/>
              <w:rPr>
                <w:sz w:val="21"/>
                <w:szCs w:val="21"/>
                <w:color w:val="auto"/>
              </w:rPr>
            </w:pPr>
          </w:p>
        </w:tc>
        <w:tc>
          <w:tcPr>
            <w:tcW w:w="120" w:type="dxa"/>
            <w:vAlign w:val="bottom"/>
            <w:tcBorders>
              <w:bottom w:val="single" w:sz="8" w:color="F4F4F4"/>
            </w:tcBorders>
            <w:shd w:val="clear" w:color="auto" w:fill="F4F4F4"/>
          </w:tcPr>
          <w:p>
            <w:pPr>
              <w:spacing w:after="0"/>
              <w:rPr>
                <w:sz w:val="21"/>
                <w:szCs w:val="21"/>
                <w:color w:val="auto"/>
              </w:rPr>
            </w:pPr>
          </w:p>
        </w:tc>
        <w:tc>
          <w:tcPr>
            <w:tcW w:w="136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January 1, 2022 through January 31, 2022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1"/>
                <w:szCs w:val="21"/>
                <w:color w:val="auto"/>
              </w:rPr>
            </w:pPr>
          </w:p>
        </w:tc>
      </w:tr>
      <w:tr>
        <w:trPr>
          <w:trHeight w:val="27"/>
        </w:trPr>
        <w:tc>
          <w:tcPr>
            <w:tcW w:w="54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4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color w:val="auto"/>
              </w:rPr>
              <w:t>February 1, 2022 through February 28, 2022</w:t>
            </w:r>
          </w:p>
        </w:tc>
        <w:tc>
          <w:tcPr>
            <w:tcW w:w="13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533,139</w:t>
            </w: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spacing w:after="0"/>
              <w:rPr>
                <w:sz w:val="21"/>
                <w:szCs w:val="21"/>
                <w:color w:val="auto"/>
              </w:rPr>
            </w:pP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65.04</w:t>
            </w:r>
          </w:p>
        </w:tc>
        <w:tc>
          <w:tcPr>
            <w:tcW w:w="12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gridSpan w:val="2"/>
            <w:shd w:val="clear" w:color="auto" w:fill="F4F4F4"/>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4F4F4"/>
            </w:tcBorders>
            <w:shd w:val="clear" w:color="auto" w:fill="F4F4F4"/>
          </w:tcPr>
          <w:p>
            <w:pPr>
              <w:spacing w:after="0"/>
              <w:rPr>
                <w:sz w:val="21"/>
                <w:szCs w:val="21"/>
                <w:color w:val="auto"/>
              </w:rPr>
            </w:pP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1"/>
                <w:szCs w:val="21"/>
                <w:color w:val="auto"/>
              </w:rPr>
            </w:pP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March 1, 2022 through March 31, 2022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40" w:type="dxa"/>
            <w:vAlign w:val="bottom"/>
          </w:tcPr>
          <w:p>
            <w:pPr>
              <w:jc w:val="right"/>
              <w:ind w:right="2"/>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1"/>
                <w:szCs w:val="21"/>
                <w:color w:val="auto"/>
              </w:rPr>
            </w:pPr>
          </w:p>
        </w:tc>
      </w:tr>
      <w:tr>
        <w:trPr>
          <w:trHeight w:val="27"/>
        </w:trPr>
        <w:tc>
          <w:tcPr>
            <w:tcW w:w="544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F4F4F4"/>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F4F4F4"/>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440" w:type="dxa"/>
            <w:vAlign w:val="bottom"/>
            <w:tcBorders>
              <w:bottom w:val="single" w:sz="8" w:color="F4F4F4"/>
            </w:tcBorders>
            <w:shd w:val="clear" w:color="auto" w:fill="F4F4F4"/>
          </w:tcPr>
          <w:p>
            <w:pPr>
              <w:ind w:left="20"/>
              <w:spacing w:after="0"/>
              <w:rPr>
                <w:sz w:val="20"/>
                <w:szCs w:val="20"/>
                <w:color w:val="auto"/>
              </w:rPr>
            </w:pPr>
            <w:r>
              <w:rPr>
                <w:rFonts w:ascii="Arial" w:cs="Arial" w:eastAsia="Arial" w:hAnsi="Arial"/>
                <w:sz w:val="18"/>
                <w:szCs w:val="18"/>
                <w:b w:val="1"/>
                <w:bCs w:val="1"/>
                <w:color w:val="auto"/>
              </w:rPr>
              <w:t>Total</w:t>
            </w:r>
          </w:p>
        </w:tc>
        <w:tc>
          <w:tcPr>
            <w:tcW w:w="136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533,139</w:t>
            </w:r>
          </w:p>
        </w:tc>
        <w:tc>
          <w:tcPr>
            <w:tcW w:w="100" w:type="dxa"/>
            <w:vAlign w:val="bottom"/>
            <w:tcBorders>
              <w:bottom w:val="single" w:sz="8" w:color="F4F4F4"/>
            </w:tcBorders>
            <w:shd w:val="clear" w:color="auto" w:fill="F4F4F4"/>
          </w:tcPr>
          <w:p>
            <w:pPr>
              <w:spacing w:after="0"/>
              <w:rPr>
                <w:sz w:val="21"/>
                <w:szCs w:val="21"/>
                <w:color w:val="auto"/>
              </w:rPr>
            </w:pPr>
          </w:p>
        </w:tc>
        <w:tc>
          <w:tcPr>
            <w:tcW w:w="460" w:type="dxa"/>
            <w:vAlign w:val="bottom"/>
            <w:tcBorders>
              <w:bottom w:val="single" w:sz="8" w:color="F4F4F4"/>
            </w:tcBorders>
            <w:shd w:val="clear" w:color="auto" w:fill="F4F4F4"/>
          </w:tcPr>
          <w:p>
            <w:pPr>
              <w:jc w:val="right"/>
              <w:ind w:right="2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65.04</w:t>
            </w:r>
          </w:p>
        </w:tc>
        <w:tc>
          <w:tcPr>
            <w:tcW w:w="120" w:type="dxa"/>
            <w:vAlign w:val="bottom"/>
            <w:tcBorders>
              <w:bottom w:val="single" w:sz="8" w:color="F4F4F4"/>
            </w:tcBorders>
            <w:shd w:val="clear" w:color="auto" w:fill="F4F4F4"/>
          </w:tcPr>
          <w:p>
            <w:pPr>
              <w:spacing w:after="0"/>
              <w:rPr>
                <w:sz w:val="21"/>
                <w:szCs w:val="21"/>
                <w:color w:val="auto"/>
              </w:rPr>
            </w:pPr>
          </w:p>
        </w:tc>
        <w:tc>
          <w:tcPr>
            <w:tcW w:w="1460" w:type="dxa"/>
            <w:vAlign w:val="bottom"/>
            <w:tcBorders>
              <w:bottom w:val="single" w:sz="8" w:color="F4F4F4"/>
            </w:tcBorders>
            <w:gridSpan w:val="2"/>
            <w:shd w:val="clear" w:color="auto" w:fill="F4F4F4"/>
          </w:tcPr>
          <w:p>
            <w:pPr>
              <w:ind w:left="1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F4F4F4"/>
            </w:tcBorders>
            <w:shd w:val="clear" w:color="auto" w:fill="F4F4F4"/>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F4F4F4"/>
            </w:tcBorders>
            <w:shd w:val="clear" w:color="auto" w:fill="F4F4F4"/>
          </w:tcPr>
          <w:p>
            <w:pPr>
              <w:jc w:val="right"/>
              <w:ind w:right="2"/>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21"/>
                <w:szCs w:val="21"/>
                <w:color w:val="auto"/>
              </w:rPr>
            </w:pPr>
          </w:p>
        </w:tc>
      </w:tr>
      <w:tr>
        <w:trPr>
          <w:trHeight w:val="20"/>
        </w:trPr>
        <w:tc>
          <w:tcPr>
            <w:tcW w:w="5440" w:type="dxa"/>
            <w:vAlign w:val="bottom"/>
            <w:shd w:val="clear" w:color="auto" w:fill="71BF43"/>
          </w:tcPr>
          <w:p>
            <w:pPr>
              <w:spacing w:after="0" w:line="20" w:lineRule="exact"/>
              <w:rPr>
                <w:sz w:val="1"/>
                <w:szCs w:val="1"/>
                <w:color w:val="auto"/>
              </w:rPr>
            </w:pPr>
          </w:p>
        </w:tc>
        <w:tc>
          <w:tcPr>
            <w:tcW w:w="13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460" w:type="dxa"/>
            <w:vAlign w:val="bottom"/>
            <w:shd w:val="clear" w:color="auto" w:fill="71BF43"/>
          </w:tcPr>
          <w:p>
            <w:pPr>
              <w:spacing w:after="0" w:line="20" w:lineRule="exact"/>
              <w:rPr>
                <w:sz w:val="1"/>
                <w:szCs w:val="1"/>
                <w:color w:val="auto"/>
              </w:rPr>
            </w:pPr>
          </w:p>
        </w:tc>
        <w:tc>
          <w:tcPr>
            <w:tcW w:w="920" w:type="dxa"/>
            <w:vAlign w:val="bottom"/>
            <w:shd w:val="clear" w:color="auto" w:fill="71BF43"/>
          </w:tcPr>
          <w:p>
            <w:pPr>
              <w:spacing w:after="0" w:line="20" w:lineRule="exact"/>
              <w:rPr>
                <w:sz w:val="1"/>
                <w:szCs w:val="1"/>
                <w:color w:val="auto"/>
              </w:rPr>
            </w:pPr>
          </w:p>
        </w:tc>
        <w:tc>
          <w:tcPr>
            <w:tcW w:w="120" w:type="dxa"/>
            <w:vAlign w:val="bottom"/>
            <w:shd w:val="clear" w:color="auto" w:fill="71BF43"/>
          </w:tcPr>
          <w:p>
            <w:pPr>
              <w:spacing w:after="0" w:line="20" w:lineRule="exact"/>
              <w:rPr>
                <w:sz w:val="1"/>
                <w:szCs w:val="1"/>
                <w:color w:val="auto"/>
              </w:rPr>
            </w:pPr>
          </w:p>
        </w:tc>
        <w:tc>
          <w:tcPr>
            <w:tcW w:w="1360" w:type="dxa"/>
            <w:vAlign w:val="bottom"/>
            <w:shd w:val="clear" w:color="auto" w:fill="71BF43"/>
          </w:tcPr>
          <w:p>
            <w:pPr>
              <w:spacing w:after="0" w:line="20" w:lineRule="exact"/>
              <w:rPr>
                <w:sz w:val="1"/>
                <w:szCs w:val="1"/>
                <w:color w:val="auto"/>
              </w:rPr>
            </w:pPr>
          </w:p>
        </w:tc>
        <w:tc>
          <w:tcPr>
            <w:tcW w:w="100" w:type="dxa"/>
            <w:vAlign w:val="bottom"/>
            <w:shd w:val="clear" w:color="auto" w:fill="71BF43"/>
          </w:tcPr>
          <w:p>
            <w:pPr>
              <w:spacing w:after="0" w:line="20" w:lineRule="exact"/>
              <w:rPr>
                <w:sz w:val="1"/>
                <w:szCs w:val="1"/>
                <w:color w:val="auto"/>
              </w:rPr>
            </w:pPr>
          </w:p>
        </w:tc>
        <w:tc>
          <w:tcPr>
            <w:tcW w:w="240" w:type="dxa"/>
            <w:vAlign w:val="bottom"/>
            <w:shd w:val="clear" w:color="auto" w:fill="71BF43"/>
          </w:tcPr>
          <w:p>
            <w:pPr>
              <w:spacing w:after="0" w:line="20" w:lineRule="exact"/>
              <w:rPr>
                <w:sz w:val="1"/>
                <w:szCs w:val="1"/>
                <w:color w:val="auto"/>
              </w:rPr>
            </w:pPr>
          </w:p>
        </w:tc>
        <w:tc>
          <w:tcPr>
            <w:tcW w:w="1140" w:type="dxa"/>
            <w:vAlign w:val="bottom"/>
            <w:shd w:val="clear" w:color="auto" w:fill="71BF4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86" w:lineRule="exact"/>
        <w:rPr>
          <w:sz w:val="20"/>
          <w:szCs w:val="20"/>
          <w:color w:val="auto"/>
        </w:rPr>
      </w:pPr>
    </w:p>
    <w:p>
      <w:pPr>
        <w:ind w:left="340" w:right="20" w:hanging="332"/>
        <w:spacing w:after="0" w:line="241" w:lineRule="auto"/>
        <w:tabs>
          <w:tab w:leader="none" w:pos="354"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Includes 533,139 shares in February withheld by us to satisfy the minimum tax obligations of employees due upon vesting of restricted stock awards and units. The level of this acquisition activity varies from period to period based upon the timing of award grants and vesting.</w:t>
      </w:r>
    </w:p>
    <w:p>
      <w:pPr>
        <w:ind w:left="340" w:right="40" w:hanging="332"/>
        <w:spacing w:after="0" w:line="258" w:lineRule="auto"/>
        <w:tabs>
          <w:tab w:leader="none" w:pos="354"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 December 2021, our Board of Directors reauthorized and replenished our stock repurchase program to authorize us to purchase up to $250.0 million of our outstanding shares of common stock. The program does not have an expiration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214630</wp:posOffset>
            </wp:positionV>
            <wp:extent cx="659765" cy="17145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0320" w:type="dxa"/>
            <w:vAlign w:val="bottom"/>
          </w:tcPr>
          <w:p>
            <w:pPr>
              <w:ind w:left="7680"/>
              <w:spacing w:after="0"/>
              <w:rPr>
                <w:sz w:val="20"/>
                <w:szCs w:val="20"/>
                <w:color w:val="auto"/>
              </w:rPr>
            </w:pPr>
            <w:r>
              <w:rPr>
                <w:rFonts w:ascii="Arial" w:cs="Arial" w:eastAsia="Arial" w:hAnsi="Arial"/>
                <w:sz w:val="14"/>
                <w:szCs w:val="14"/>
                <w:color w:val="auto"/>
              </w:rPr>
              <w:t>First Quarter 2022 Form 10-Q</w:t>
            </w:r>
          </w:p>
        </w:tc>
        <w:tc>
          <w:tcPr>
            <w:tcW w:w="9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316"/>
        </w:trPr>
        <w:tc>
          <w:tcPr>
            <w:tcW w:w="1032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bookmarkStart w:id="46" w:name="page47"/>
    <w:bookmarkEnd w:id="4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9"/>
          <w:szCs w:val="29"/>
          <w:b w:val="1"/>
          <w:bCs w:val="1"/>
          <w:color w:val="71BF43"/>
        </w:rPr>
        <w:t>ITEM 6. EXHIBITS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exhibits listed below are filed or incorporated by reference as part of this Quarterly Report on Form 10-Q:</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0" w:type="dxa"/>
            <w:vAlign w:val="bottom"/>
            <w:shd w:val="clear" w:color="auto" w:fill="ACACAC"/>
          </w:tcPr>
          <w:p>
            <w:pPr>
              <w:spacing w:after="0"/>
              <w:rPr>
                <w:sz w:val="18"/>
                <w:szCs w:val="18"/>
                <w:color w:val="auto"/>
              </w:rPr>
            </w:pPr>
          </w:p>
        </w:tc>
        <w:tc>
          <w:tcPr>
            <w:tcW w:w="100" w:type="dxa"/>
            <w:vAlign w:val="bottom"/>
            <w:shd w:val="clear" w:color="auto" w:fill="ACACAC"/>
          </w:tcPr>
          <w:p>
            <w:pPr>
              <w:spacing w:after="0"/>
              <w:rPr>
                <w:sz w:val="18"/>
                <w:szCs w:val="18"/>
                <w:color w:val="auto"/>
              </w:rPr>
            </w:pPr>
          </w:p>
        </w:tc>
        <w:tc>
          <w:tcPr>
            <w:tcW w:w="360" w:type="dxa"/>
            <w:vAlign w:val="bottom"/>
            <w:shd w:val="clear" w:color="auto" w:fill="ACACAC"/>
          </w:tcPr>
          <w:p>
            <w:pPr>
              <w:spacing w:after="0"/>
              <w:rPr>
                <w:sz w:val="18"/>
                <w:szCs w:val="18"/>
                <w:color w:val="auto"/>
              </w:rPr>
            </w:pPr>
          </w:p>
        </w:tc>
        <w:tc>
          <w:tcPr>
            <w:tcW w:w="140" w:type="dxa"/>
            <w:vAlign w:val="bottom"/>
            <w:shd w:val="clear" w:color="auto" w:fill="ACACAC"/>
          </w:tcPr>
          <w:p>
            <w:pPr>
              <w:spacing w:after="0"/>
              <w:rPr>
                <w:sz w:val="18"/>
                <w:szCs w:val="18"/>
                <w:color w:val="auto"/>
              </w:rPr>
            </w:pPr>
          </w:p>
        </w:tc>
        <w:tc>
          <w:tcPr>
            <w:tcW w:w="960" w:type="dxa"/>
            <w:vAlign w:val="bottom"/>
            <w:shd w:val="clear" w:color="auto" w:fill="ACACAC"/>
          </w:tcPr>
          <w:p>
            <w:pPr>
              <w:spacing w:after="0"/>
              <w:rPr>
                <w:sz w:val="18"/>
                <w:szCs w:val="18"/>
                <w:color w:val="auto"/>
              </w:rPr>
            </w:pPr>
          </w:p>
        </w:tc>
        <w:tc>
          <w:tcPr>
            <w:tcW w:w="2840" w:type="dxa"/>
            <w:vAlign w:val="bottom"/>
            <w:shd w:val="clear" w:color="auto" w:fill="ACACAC"/>
          </w:tcPr>
          <w:p>
            <w:pPr>
              <w:spacing w:after="0"/>
              <w:rPr>
                <w:sz w:val="18"/>
                <w:szCs w:val="18"/>
                <w:color w:val="auto"/>
              </w:rPr>
            </w:pPr>
          </w:p>
        </w:tc>
        <w:tc>
          <w:tcPr>
            <w:tcW w:w="22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60" w:type="dxa"/>
            <w:vAlign w:val="bottom"/>
            <w:shd w:val="clear" w:color="auto" w:fill="ACACAC"/>
          </w:tcPr>
          <w:p>
            <w:pPr>
              <w:spacing w:after="0"/>
              <w:rPr>
                <w:sz w:val="18"/>
                <w:szCs w:val="18"/>
                <w:color w:val="auto"/>
              </w:rPr>
            </w:pPr>
          </w:p>
        </w:tc>
        <w:tc>
          <w:tcPr>
            <w:tcW w:w="640" w:type="dxa"/>
            <w:vAlign w:val="bottom"/>
            <w:shd w:val="clear" w:color="auto" w:fill="ACACAC"/>
          </w:tcPr>
          <w:p>
            <w:pPr>
              <w:spacing w:after="0"/>
              <w:rPr>
                <w:sz w:val="18"/>
                <w:szCs w:val="18"/>
                <w:color w:val="auto"/>
              </w:rPr>
            </w:pPr>
          </w:p>
        </w:tc>
        <w:tc>
          <w:tcPr>
            <w:tcW w:w="40" w:type="dxa"/>
            <w:vAlign w:val="bottom"/>
            <w:shd w:val="clear" w:color="auto" w:fill="ACACAC"/>
          </w:tcPr>
          <w:p>
            <w:pPr>
              <w:spacing w:after="0"/>
              <w:rPr>
                <w:sz w:val="18"/>
                <w:szCs w:val="18"/>
                <w:color w:val="auto"/>
              </w:rPr>
            </w:pPr>
          </w:p>
        </w:tc>
        <w:tc>
          <w:tcPr>
            <w:tcW w:w="12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c>
          <w:tcPr>
            <w:tcW w:w="240" w:type="dxa"/>
            <w:vAlign w:val="bottom"/>
            <w:shd w:val="clear" w:color="auto" w:fill="ACACAC"/>
          </w:tcPr>
          <w:p>
            <w:pPr>
              <w:spacing w:after="0"/>
              <w:rPr>
                <w:sz w:val="18"/>
                <w:szCs w:val="18"/>
                <w:color w:val="auto"/>
              </w:rPr>
            </w:pPr>
          </w:p>
        </w:tc>
        <w:tc>
          <w:tcPr>
            <w:tcW w:w="1080" w:type="dxa"/>
            <w:vAlign w:val="bottom"/>
            <w:shd w:val="clear" w:color="auto" w:fill="ACACAC"/>
          </w:tcPr>
          <w:p>
            <w:pPr>
              <w:spacing w:after="0"/>
              <w:rPr>
                <w:sz w:val="18"/>
                <w:szCs w:val="18"/>
                <w:color w:val="auto"/>
              </w:rPr>
            </w:pPr>
          </w:p>
        </w:tc>
        <w:tc>
          <w:tcPr>
            <w:tcW w:w="840" w:type="dxa"/>
            <w:vAlign w:val="bottom"/>
            <w:shd w:val="clear" w:color="auto" w:fill="ACACAC"/>
          </w:tcPr>
          <w:p>
            <w:pPr>
              <w:spacing w:after="0"/>
              <w:rPr>
                <w:sz w:val="18"/>
                <w:szCs w:val="18"/>
                <w:color w:val="auto"/>
              </w:rPr>
            </w:pPr>
          </w:p>
        </w:tc>
        <w:tc>
          <w:tcPr>
            <w:tcW w:w="1620" w:type="dxa"/>
            <w:vAlign w:val="bottom"/>
            <w:shd w:val="clear" w:color="auto" w:fill="ACACAC"/>
          </w:tcPr>
          <w:p>
            <w:pPr>
              <w:ind w:left="160"/>
              <w:spacing w:after="0"/>
              <w:rPr>
                <w:sz w:val="20"/>
                <w:szCs w:val="20"/>
                <w:color w:val="auto"/>
              </w:rPr>
            </w:pPr>
            <w:r>
              <w:rPr>
                <w:rFonts w:ascii="Arial" w:cs="Arial" w:eastAsia="Arial" w:hAnsi="Arial"/>
                <w:sz w:val="14"/>
                <w:szCs w:val="14"/>
                <w:b w:val="1"/>
                <w:bCs w:val="1"/>
                <w:color w:val="FFFFFF"/>
              </w:rPr>
              <w:t>Filed In</w:t>
            </w:r>
          </w:p>
        </w:tc>
        <w:tc>
          <w:tcPr>
            <w:tcW w:w="1100" w:type="dxa"/>
            <w:vAlign w:val="bottom"/>
            <w:shd w:val="clear" w:color="auto" w:fill="ACACAC"/>
          </w:tcPr>
          <w:p>
            <w:pPr>
              <w:spacing w:after="0"/>
              <w:rPr>
                <w:sz w:val="18"/>
                <w:szCs w:val="18"/>
                <w:color w:val="auto"/>
              </w:rPr>
            </w:pPr>
          </w:p>
        </w:tc>
        <w:tc>
          <w:tcPr>
            <w:tcW w:w="20" w:type="dxa"/>
            <w:vAlign w:val="bottom"/>
            <w:shd w:val="clear" w:color="auto" w:fill="ACACAC"/>
          </w:tcPr>
          <w:p>
            <w:pPr>
              <w:spacing w:after="0"/>
              <w:rPr>
                <w:sz w:val="18"/>
                <w:szCs w:val="18"/>
                <w:color w:val="auto"/>
              </w:rPr>
            </w:pPr>
          </w:p>
        </w:tc>
      </w:tr>
      <w:tr>
        <w:trPr>
          <w:trHeight w:val="201"/>
        </w:trPr>
        <w:tc>
          <w:tcPr>
            <w:tcW w:w="1080" w:type="dxa"/>
            <w:vAlign w:val="bottom"/>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Exhibit</w:t>
            </w:r>
          </w:p>
        </w:tc>
        <w:tc>
          <w:tcPr>
            <w:tcW w:w="140" w:type="dxa"/>
            <w:vAlign w:val="bottom"/>
            <w:shd w:val="clear" w:color="auto" w:fill="ACACAC"/>
          </w:tcPr>
          <w:p>
            <w:pPr>
              <w:spacing w:after="0"/>
              <w:rPr>
                <w:sz w:val="17"/>
                <w:szCs w:val="17"/>
                <w:color w:val="auto"/>
              </w:rPr>
            </w:pPr>
          </w:p>
        </w:tc>
        <w:tc>
          <w:tcPr>
            <w:tcW w:w="960" w:type="dxa"/>
            <w:vAlign w:val="bottom"/>
            <w:shd w:val="clear" w:color="auto" w:fill="ACACAC"/>
          </w:tcPr>
          <w:p>
            <w:pPr>
              <w:spacing w:after="0"/>
              <w:rPr>
                <w:sz w:val="17"/>
                <w:szCs w:val="17"/>
                <w:color w:val="auto"/>
              </w:rPr>
            </w:pPr>
          </w:p>
        </w:tc>
        <w:tc>
          <w:tcPr>
            <w:tcW w:w="2840" w:type="dxa"/>
            <w:vAlign w:val="bottom"/>
            <w:shd w:val="clear" w:color="auto" w:fill="ACACAC"/>
          </w:tcPr>
          <w:p>
            <w:pPr>
              <w:spacing w:after="0"/>
              <w:rPr>
                <w:sz w:val="17"/>
                <w:szCs w:val="17"/>
                <w:color w:val="auto"/>
              </w:rPr>
            </w:pPr>
          </w:p>
        </w:tc>
        <w:tc>
          <w:tcPr>
            <w:tcW w:w="220" w:type="dxa"/>
            <w:vAlign w:val="bottom"/>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60" w:type="dxa"/>
            <w:vAlign w:val="bottom"/>
            <w:shd w:val="clear" w:color="auto" w:fill="ACACAC"/>
          </w:tcPr>
          <w:p>
            <w:pPr>
              <w:spacing w:after="0"/>
              <w:rPr>
                <w:sz w:val="17"/>
                <w:szCs w:val="17"/>
                <w:color w:val="auto"/>
              </w:rPr>
            </w:pPr>
          </w:p>
        </w:tc>
        <w:tc>
          <w:tcPr>
            <w:tcW w:w="640" w:type="dxa"/>
            <w:vAlign w:val="bottom"/>
            <w:shd w:val="clear" w:color="auto" w:fill="ACACAC"/>
          </w:tcPr>
          <w:p>
            <w:pPr>
              <w:spacing w:after="0"/>
              <w:rPr>
                <w:sz w:val="17"/>
                <w:szCs w:val="17"/>
                <w:color w:val="auto"/>
              </w:rPr>
            </w:pPr>
          </w:p>
        </w:tc>
        <w:tc>
          <w:tcPr>
            <w:tcW w:w="40" w:type="dxa"/>
            <w:vAlign w:val="bottom"/>
            <w:shd w:val="clear" w:color="auto" w:fill="ACACAC"/>
          </w:tcPr>
          <w:p>
            <w:pPr>
              <w:spacing w:after="0"/>
              <w:rPr>
                <w:sz w:val="17"/>
                <w:szCs w:val="17"/>
                <w:color w:val="auto"/>
              </w:rPr>
            </w:pPr>
          </w:p>
        </w:tc>
        <w:tc>
          <w:tcPr>
            <w:tcW w:w="12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c>
          <w:tcPr>
            <w:tcW w:w="240" w:type="dxa"/>
            <w:vAlign w:val="bottom"/>
            <w:shd w:val="clear" w:color="auto" w:fill="ACACAC"/>
          </w:tcPr>
          <w:p>
            <w:pPr>
              <w:spacing w:after="0"/>
              <w:rPr>
                <w:sz w:val="17"/>
                <w:szCs w:val="17"/>
                <w:color w:val="auto"/>
              </w:rPr>
            </w:pPr>
          </w:p>
        </w:tc>
        <w:tc>
          <w:tcPr>
            <w:tcW w:w="1080" w:type="dxa"/>
            <w:vAlign w:val="bottom"/>
            <w:shd w:val="clear" w:color="auto" w:fill="ACACAC"/>
          </w:tcPr>
          <w:p>
            <w:pPr>
              <w:jc w:val="center"/>
              <w:ind w:right="17"/>
              <w:spacing w:after="0"/>
              <w:rPr>
                <w:sz w:val="20"/>
                <w:szCs w:val="20"/>
                <w:color w:val="auto"/>
              </w:rPr>
            </w:pPr>
            <w:r>
              <w:rPr>
                <w:rFonts w:ascii="Arial" w:cs="Arial" w:eastAsia="Arial" w:hAnsi="Arial"/>
                <w:sz w:val="14"/>
                <w:szCs w:val="14"/>
                <w:b w:val="1"/>
                <w:bCs w:val="1"/>
                <w:color w:val="FFFFFF"/>
              </w:rPr>
              <w:t>Filed</w:t>
            </w:r>
          </w:p>
        </w:tc>
        <w:tc>
          <w:tcPr>
            <w:tcW w:w="840" w:type="dxa"/>
            <w:vAlign w:val="bottom"/>
            <w:shd w:val="clear" w:color="auto" w:fill="ACACAC"/>
          </w:tcPr>
          <w:p>
            <w:pPr>
              <w:spacing w:after="0"/>
              <w:rPr>
                <w:sz w:val="17"/>
                <w:szCs w:val="17"/>
                <w:color w:val="auto"/>
              </w:rPr>
            </w:pPr>
          </w:p>
        </w:tc>
        <w:tc>
          <w:tcPr>
            <w:tcW w:w="1620" w:type="dxa"/>
            <w:vAlign w:val="bottom"/>
            <w:shd w:val="clear" w:color="auto" w:fill="ACACAC"/>
          </w:tcPr>
          <w:p>
            <w:pPr>
              <w:spacing w:after="0"/>
              <w:rPr>
                <w:sz w:val="17"/>
                <w:szCs w:val="17"/>
                <w:color w:val="auto"/>
              </w:rPr>
            </w:pPr>
          </w:p>
        </w:tc>
        <w:tc>
          <w:tcPr>
            <w:tcW w:w="1100" w:type="dxa"/>
            <w:vAlign w:val="bottom"/>
            <w:shd w:val="clear" w:color="auto" w:fill="ACACAC"/>
          </w:tcPr>
          <w:p>
            <w:pPr>
              <w:spacing w:after="0"/>
              <w:rPr>
                <w:sz w:val="17"/>
                <w:szCs w:val="17"/>
                <w:color w:val="auto"/>
              </w:rPr>
            </w:pPr>
          </w:p>
        </w:tc>
        <w:tc>
          <w:tcPr>
            <w:tcW w:w="20" w:type="dxa"/>
            <w:vAlign w:val="bottom"/>
            <w:shd w:val="clear" w:color="auto" w:fill="ACACAC"/>
          </w:tcPr>
          <w:p>
            <w:pPr>
              <w:spacing w:after="0"/>
              <w:rPr>
                <w:sz w:val="17"/>
                <w:szCs w:val="17"/>
                <w:color w:val="auto"/>
              </w:rPr>
            </w:pPr>
          </w:p>
        </w:tc>
      </w:tr>
      <w:tr>
        <w:trPr>
          <w:trHeight w:val="196"/>
        </w:trPr>
        <w:tc>
          <w:tcPr>
            <w:tcW w:w="1080" w:type="dxa"/>
            <w:vAlign w:val="bottom"/>
            <w:tcBorders>
              <w:bottom w:val="single" w:sz="8" w:color="ACACAC"/>
            </w:tcBorders>
            <w:gridSpan w:val="3"/>
            <w:shd w:val="clear" w:color="auto" w:fill="ACACAC"/>
          </w:tcPr>
          <w:p>
            <w:pPr>
              <w:jc w:val="right"/>
              <w:spacing w:after="0"/>
              <w:rPr>
                <w:sz w:val="20"/>
                <w:szCs w:val="20"/>
                <w:color w:val="auto"/>
              </w:rPr>
            </w:pPr>
            <w:r>
              <w:rPr>
                <w:rFonts w:ascii="Arial" w:cs="Arial" w:eastAsia="Arial" w:hAnsi="Arial"/>
                <w:sz w:val="14"/>
                <w:szCs w:val="14"/>
                <w:b w:val="1"/>
                <w:bCs w:val="1"/>
                <w:color w:val="FFFFFF"/>
              </w:rPr>
              <w:t>Number</w:t>
            </w:r>
          </w:p>
        </w:tc>
        <w:tc>
          <w:tcPr>
            <w:tcW w:w="140" w:type="dxa"/>
            <w:vAlign w:val="bottom"/>
            <w:tcBorders>
              <w:bottom w:val="single" w:sz="8" w:color="ACACAC"/>
            </w:tcBorders>
            <w:shd w:val="clear" w:color="auto" w:fill="ACACAC"/>
          </w:tcPr>
          <w:p>
            <w:pPr>
              <w:spacing w:after="0"/>
              <w:rPr>
                <w:sz w:val="17"/>
                <w:szCs w:val="17"/>
                <w:color w:val="auto"/>
              </w:rPr>
            </w:pPr>
          </w:p>
        </w:tc>
        <w:tc>
          <w:tcPr>
            <w:tcW w:w="960" w:type="dxa"/>
            <w:vAlign w:val="bottom"/>
            <w:tcBorders>
              <w:bottom w:val="single" w:sz="8" w:color="ACACAC"/>
            </w:tcBorders>
            <w:shd w:val="clear" w:color="auto" w:fill="ACACAC"/>
          </w:tcPr>
          <w:p>
            <w:pPr>
              <w:spacing w:after="0"/>
              <w:rPr>
                <w:sz w:val="17"/>
                <w:szCs w:val="17"/>
                <w:color w:val="auto"/>
              </w:rPr>
            </w:pPr>
          </w:p>
        </w:tc>
        <w:tc>
          <w:tcPr>
            <w:tcW w:w="4420" w:type="dxa"/>
            <w:vAlign w:val="bottom"/>
            <w:tcBorders>
              <w:bottom w:val="single" w:sz="8" w:color="ACACAC"/>
            </w:tcBorders>
            <w:gridSpan w:val="9"/>
            <w:shd w:val="clear" w:color="auto" w:fill="ACACAC"/>
          </w:tcPr>
          <w:p>
            <w:pPr>
              <w:ind w:left="820"/>
              <w:spacing w:after="0"/>
              <w:rPr>
                <w:sz w:val="20"/>
                <w:szCs w:val="20"/>
                <w:color w:val="auto"/>
              </w:rPr>
            </w:pPr>
            <w:r>
              <w:rPr>
                <w:rFonts w:ascii="Arial" w:cs="Arial" w:eastAsia="Arial" w:hAnsi="Arial"/>
                <w:sz w:val="14"/>
                <w:szCs w:val="14"/>
                <w:b w:val="1"/>
                <w:bCs w:val="1"/>
                <w:color w:val="FFFFFF"/>
              </w:rPr>
              <w:t>Description of Document</w:t>
            </w:r>
          </w:p>
        </w:tc>
        <w:tc>
          <w:tcPr>
            <w:tcW w:w="1080" w:type="dxa"/>
            <w:vAlign w:val="bottom"/>
            <w:tcBorders>
              <w:bottom w:val="single" w:sz="8" w:color="ACACAC"/>
            </w:tcBorders>
            <w:shd w:val="clear" w:color="auto" w:fill="ACACAC"/>
          </w:tcPr>
          <w:p>
            <w:pPr>
              <w:jc w:val="center"/>
              <w:ind w:right="17"/>
              <w:spacing w:after="0"/>
              <w:rPr>
                <w:sz w:val="20"/>
                <w:szCs w:val="20"/>
                <w:color w:val="auto"/>
              </w:rPr>
            </w:pPr>
            <w:r>
              <w:rPr>
                <w:rFonts w:ascii="Arial" w:cs="Arial" w:eastAsia="Arial" w:hAnsi="Arial"/>
                <w:sz w:val="14"/>
                <w:szCs w:val="14"/>
                <w:b w:val="1"/>
                <w:bCs w:val="1"/>
                <w:color w:val="FFFFFF"/>
              </w:rPr>
              <w:t>Herewith</w:t>
            </w:r>
          </w:p>
        </w:tc>
        <w:tc>
          <w:tcPr>
            <w:tcW w:w="840" w:type="dxa"/>
            <w:vAlign w:val="bottom"/>
            <w:tcBorders>
              <w:bottom w:val="single" w:sz="8" w:color="ACACAC"/>
            </w:tcBorders>
            <w:shd w:val="clear" w:color="auto" w:fill="ACACAC"/>
          </w:tcPr>
          <w:p>
            <w:pPr>
              <w:jc w:val="center"/>
              <w:ind w:left="79"/>
              <w:spacing w:after="0"/>
              <w:rPr>
                <w:sz w:val="20"/>
                <w:szCs w:val="20"/>
                <w:color w:val="auto"/>
              </w:rPr>
            </w:pPr>
            <w:r>
              <w:rPr>
                <w:rFonts w:ascii="Arial" w:cs="Arial" w:eastAsia="Arial" w:hAnsi="Arial"/>
                <w:sz w:val="14"/>
                <w:szCs w:val="14"/>
                <w:b w:val="1"/>
                <w:bCs w:val="1"/>
                <w:color w:val="FFFFFF"/>
              </w:rPr>
              <w:t>Form</w:t>
            </w:r>
          </w:p>
        </w:tc>
        <w:tc>
          <w:tcPr>
            <w:tcW w:w="1620" w:type="dxa"/>
            <w:vAlign w:val="bottom"/>
            <w:tcBorders>
              <w:bottom w:val="single" w:sz="8" w:color="ACACAC"/>
            </w:tcBorders>
            <w:shd w:val="clear" w:color="auto" w:fill="ACACAC"/>
          </w:tcPr>
          <w:p>
            <w:pPr>
              <w:jc w:val="center"/>
              <w:ind w:left="82"/>
              <w:spacing w:after="0"/>
              <w:rPr>
                <w:sz w:val="20"/>
                <w:szCs w:val="20"/>
                <w:color w:val="auto"/>
              </w:rPr>
            </w:pPr>
            <w:r>
              <w:rPr>
                <w:rFonts w:ascii="Arial" w:cs="Arial" w:eastAsia="Arial" w:hAnsi="Arial"/>
                <w:sz w:val="14"/>
                <w:szCs w:val="14"/>
                <w:b w:val="1"/>
                <w:bCs w:val="1"/>
                <w:color w:val="FFFFFF"/>
              </w:rPr>
              <w:t>Exhibit Number</w:t>
            </w:r>
          </w:p>
        </w:tc>
        <w:tc>
          <w:tcPr>
            <w:tcW w:w="1100" w:type="dxa"/>
            <w:vAlign w:val="bottom"/>
            <w:tcBorders>
              <w:bottom w:val="single" w:sz="8" w:color="ACACAC"/>
            </w:tcBorders>
            <w:shd w:val="clear" w:color="auto" w:fill="ACACAC"/>
          </w:tcPr>
          <w:p>
            <w:pPr>
              <w:ind w:left="180"/>
              <w:spacing w:after="0"/>
              <w:rPr>
                <w:sz w:val="20"/>
                <w:szCs w:val="20"/>
                <w:color w:val="auto"/>
              </w:rPr>
            </w:pPr>
            <w:r>
              <w:rPr>
                <w:rFonts w:ascii="Arial" w:cs="Arial" w:eastAsia="Arial" w:hAnsi="Arial"/>
                <w:sz w:val="14"/>
                <w:szCs w:val="14"/>
                <w:b w:val="1"/>
                <w:bCs w:val="1"/>
                <w:color w:val="FFFFFF"/>
              </w:rPr>
              <w:t>Filing Date</w:t>
            </w:r>
          </w:p>
        </w:tc>
        <w:tc>
          <w:tcPr>
            <w:tcW w:w="20" w:type="dxa"/>
            <w:vAlign w:val="bottom"/>
            <w:tcBorders>
              <w:bottom w:val="single" w:sz="8" w:color="ACACAC"/>
            </w:tcBorders>
            <w:shd w:val="clear" w:color="auto" w:fill="ACACAC"/>
          </w:tcPr>
          <w:p>
            <w:pPr>
              <w:spacing w:after="0"/>
              <w:rPr>
                <w:sz w:val="17"/>
                <w:szCs w:val="17"/>
                <w:color w:val="auto"/>
              </w:rPr>
            </w:pPr>
          </w:p>
        </w:tc>
      </w:tr>
      <w:tr>
        <w:trPr>
          <w:trHeight w:val="256"/>
        </w:trPr>
        <w:tc>
          <w:tcPr>
            <w:tcW w:w="620" w:type="dxa"/>
            <w:vAlign w:val="bottom"/>
            <w:shd w:val="clear" w:color="auto" w:fill="F4F4F4"/>
          </w:tcPr>
          <w:p>
            <w:pPr>
              <w:spacing w:after="0"/>
              <w:rPr>
                <w:sz w:val="22"/>
                <w:szCs w:val="22"/>
                <w:color w:val="auto"/>
              </w:rPr>
            </w:pPr>
          </w:p>
        </w:tc>
        <w:tc>
          <w:tcPr>
            <w:tcW w:w="460" w:type="dxa"/>
            <w:vAlign w:val="bottom"/>
            <w:gridSpan w:val="2"/>
            <w:shd w:val="clear" w:color="auto" w:fill="F4F4F4"/>
          </w:tcPr>
          <w:p>
            <w:pPr>
              <w:jc w:val="right"/>
              <w:spacing w:after="0"/>
              <w:rPr>
                <w:rFonts w:ascii="Arial" w:cs="Arial" w:eastAsia="Arial" w:hAnsi="Arial"/>
                <w:sz w:val="18"/>
                <w:szCs w:val="18"/>
                <w:color w:val="0000FF"/>
                <w:w w:val="97"/>
              </w:rPr>
            </w:pPr>
            <w:hyperlink r:id="rId204">
              <w:r>
                <w:rPr>
                  <w:rFonts w:ascii="Arial" w:cs="Arial" w:eastAsia="Arial" w:hAnsi="Arial"/>
                  <w:sz w:val="18"/>
                  <w:szCs w:val="18"/>
                  <w:color w:val="0000FF"/>
                  <w:w w:val="97"/>
                </w:rPr>
                <w:t>10.01</w:t>
              </w:r>
            </w:hyperlink>
          </w:p>
        </w:tc>
        <w:tc>
          <w:tcPr>
            <w:tcW w:w="140" w:type="dxa"/>
            <w:vAlign w:val="bottom"/>
            <w:shd w:val="clear" w:color="auto" w:fill="F4F4F4"/>
          </w:tcPr>
          <w:p>
            <w:pPr>
              <w:spacing w:after="0"/>
              <w:rPr>
                <w:sz w:val="22"/>
                <w:szCs w:val="22"/>
                <w:color w:val="auto"/>
              </w:rPr>
            </w:pPr>
          </w:p>
        </w:tc>
        <w:tc>
          <w:tcPr>
            <w:tcW w:w="5380" w:type="dxa"/>
            <w:vAlign w:val="bottom"/>
            <w:gridSpan w:val="10"/>
            <w:shd w:val="clear" w:color="auto" w:fill="F4F4F4"/>
          </w:tcPr>
          <w:p>
            <w:pPr>
              <w:spacing w:after="0"/>
              <w:rPr>
                <w:rFonts w:ascii="Arial" w:cs="Arial" w:eastAsia="Arial" w:hAnsi="Arial"/>
                <w:sz w:val="18"/>
                <w:szCs w:val="18"/>
                <w:color w:val="0000FF"/>
              </w:rPr>
            </w:pPr>
            <w:hyperlink r:id="rId204">
              <w:r>
                <w:rPr>
                  <w:rFonts w:ascii="Arial" w:cs="Arial" w:eastAsia="Arial" w:hAnsi="Arial"/>
                  <w:sz w:val="18"/>
                  <w:szCs w:val="18"/>
                  <w:color w:val="0000FF"/>
                </w:rPr>
                <w:t>First Amendment to Credit Agreement, dated as of January 31,</w:t>
              </w:r>
            </w:hyperlink>
          </w:p>
        </w:tc>
        <w:tc>
          <w:tcPr>
            <w:tcW w:w="1080" w:type="dxa"/>
            <w:vAlign w:val="bottom"/>
            <w:shd w:val="clear" w:color="auto" w:fill="F4F4F4"/>
          </w:tcPr>
          <w:p>
            <w:pPr>
              <w:spacing w:after="0"/>
              <w:rPr>
                <w:sz w:val="22"/>
                <w:szCs w:val="22"/>
                <w:color w:val="auto"/>
              </w:rPr>
            </w:pPr>
          </w:p>
        </w:tc>
        <w:tc>
          <w:tcPr>
            <w:tcW w:w="840" w:type="dxa"/>
            <w:vAlign w:val="bottom"/>
            <w:shd w:val="clear" w:color="auto" w:fill="F4F4F4"/>
          </w:tcPr>
          <w:p>
            <w:pPr>
              <w:jc w:val="center"/>
              <w:ind w:left="79"/>
              <w:spacing w:after="0"/>
              <w:rPr>
                <w:sz w:val="20"/>
                <w:szCs w:val="20"/>
                <w:color w:val="auto"/>
              </w:rPr>
            </w:pPr>
            <w:r>
              <w:rPr>
                <w:rFonts w:ascii="Arial" w:cs="Arial" w:eastAsia="Arial" w:hAnsi="Arial"/>
                <w:sz w:val="18"/>
                <w:szCs w:val="18"/>
                <w:color w:val="auto"/>
                <w:w w:val="99"/>
              </w:rPr>
              <w:t>8-K</w:t>
            </w:r>
          </w:p>
        </w:tc>
        <w:tc>
          <w:tcPr>
            <w:tcW w:w="1620" w:type="dxa"/>
            <w:vAlign w:val="bottom"/>
            <w:shd w:val="clear" w:color="auto" w:fill="F4F4F4"/>
          </w:tcPr>
          <w:p>
            <w:pPr>
              <w:jc w:val="right"/>
              <w:ind w:right="482"/>
              <w:spacing w:after="0"/>
              <w:rPr>
                <w:sz w:val="20"/>
                <w:szCs w:val="20"/>
                <w:color w:val="auto"/>
              </w:rPr>
            </w:pPr>
            <w:r>
              <w:rPr>
                <w:rFonts w:ascii="Arial" w:cs="Arial" w:eastAsia="Arial" w:hAnsi="Arial"/>
                <w:sz w:val="18"/>
                <w:szCs w:val="18"/>
                <w:color w:val="auto"/>
              </w:rPr>
              <w:t>10.1</w:t>
            </w:r>
          </w:p>
        </w:tc>
        <w:tc>
          <w:tcPr>
            <w:tcW w:w="1100" w:type="dxa"/>
            <w:vAlign w:val="bottom"/>
            <w:shd w:val="clear" w:color="auto" w:fill="F4F4F4"/>
          </w:tcPr>
          <w:p>
            <w:pPr>
              <w:ind w:left="200"/>
              <w:spacing w:after="0"/>
              <w:rPr>
                <w:sz w:val="20"/>
                <w:szCs w:val="20"/>
                <w:color w:val="auto"/>
              </w:rPr>
            </w:pPr>
            <w:r>
              <w:rPr>
                <w:rFonts w:ascii="Arial" w:cs="Arial" w:eastAsia="Arial" w:hAnsi="Arial"/>
                <w:sz w:val="18"/>
                <w:szCs w:val="18"/>
                <w:color w:val="auto"/>
              </w:rPr>
              <w:t>2/3/2022</w:t>
            </w:r>
          </w:p>
        </w:tc>
        <w:tc>
          <w:tcPr>
            <w:tcW w:w="20" w:type="dxa"/>
            <w:vAlign w:val="bottom"/>
          </w:tcPr>
          <w:p>
            <w:pPr>
              <w:spacing w:after="0"/>
              <w:rPr>
                <w:sz w:val="22"/>
                <w:szCs w:val="22"/>
                <w:color w:val="auto"/>
              </w:rPr>
            </w:pPr>
          </w:p>
        </w:tc>
      </w:tr>
      <w:tr>
        <w:trPr>
          <w:trHeight w:val="196"/>
        </w:trPr>
        <w:tc>
          <w:tcPr>
            <w:tcW w:w="620" w:type="dxa"/>
            <w:vAlign w:val="bottom"/>
            <w:tcBorders>
              <w:top w:val="single" w:sz="8" w:color="F4F4F4"/>
            </w:tcBorders>
            <w:shd w:val="clear" w:color="auto" w:fill="F4F4F4"/>
          </w:tcPr>
          <w:p>
            <w:pPr>
              <w:spacing w:after="0"/>
              <w:rPr>
                <w:sz w:val="17"/>
                <w:szCs w:val="17"/>
                <w:color w:val="auto"/>
              </w:rPr>
            </w:pPr>
          </w:p>
        </w:tc>
        <w:tc>
          <w:tcPr>
            <w:tcW w:w="100" w:type="dxa"/>
            <w:vAlign w:val="bottom"/>
            <w:tcBorders>
              <w:top w:val="single" w:sz="8" w:color="0000FF"/>
            </w:tcBorders>
            <w:shd w:val="clear" w:color="auto" w:fill="F4F4F4"/>
          </w:tcPr>
          <w:p>
            <w:pPr>
              <w:spacing w:after="0"/>
              <w:rPr>
                <w:sz w:val="17"/>
                <w:szCs w:val="17"/>
                <w:color w:val="auto"/>
              </w:rPr>
            </w:pPr>
          </w:p>
        </w:tc>
        <w:tc>
          <w:tcPr>
            <w:tcW w:w="360" w:type="dxa"/>
            <w:vAlign w:val="bottom"/>
            <w:tcBorders>
              <w:top w:val="single" w:sz="8" w:color="0000FF"/>
            </w:tcBorders>
            <w:shd w:val="clear" w:color="auto" w:fill="F4F4F4"/>
          </w:tcPr>
          <w:p>
            <w:pPr>
              <w:spacing w:after="0"/>
              <w:rPr>
                <w:sz w:val="17"/>
                <w:szCs w:val="17"/>
                <w:color w:val="auto"/>
              </w:rPr>
            </w:pPr>
          </w:p>
        </w:tc>
        <w:tc>
          <w:tcPr>
            <w:tcW w:w="140" w:type="dxa"/>
            <w:vAlign w:val="bottom"/>
            <w:tcBorders>
              <w:top w:val="single" w:sz="8" w:color="F4F4F4"/>
            </w:tcBorders>
            <w:shd w:val="clear" w:color="auto" w:fill="F4F4F4"/>
          </w:tcPr>
          <w:p>
            <w:pPr>
              <w:spacing w:after="0"/>
              <w:rPr>
                <w:sz w:val="17"/>
                <w:szCs w:val="17"/>
                <w:color w:val="auto"/>
              </w:rPr>
            </w:pPr>
          </w:p>
        </w:tc>
        <w:tc>
          <w:tcPr>
            <w:tcW w:w="5000" w:type="dxa"/>
            <w:vAlign w:val="bottom"/>
            <w:tcBorders>
              <w:top w:val="single" w:sz="8" w:color="0000FF"/>
            </w:tcBorders>
            <w:gridSpan w:val="7"/>
            <w:shd w:val="clear" w:color="auto" w:fill="F4F4F4"/>
          </w:tcPr>
          <w:p>
            <w:pPr>
              <w:spacing w:after="0" w:line="196" w:lineRule="exact"/>
              <w:rPr>
                <w:rFonts w:ascii="Arial" w:cs="Arial" w:eastAsia="Arial" w:hAnsi="Arial"/>
                <w:sz w:val="18"/>
                <w:szCs w:val="18"/>
                <w:color w:val="0000FF"/>
              </w:rPr>
            </w:pPr>
            <w:hyperlink r:id="rId204">
              <w:r>
                <w:rPr>
                  <w:rFonts w:ascii="Arial" w:cs="Arial" w:eastAsia="Arial" w:hAnsi="Arial"/>
                  <w:sz w:val="18"/>
                  <w:szCs w:val="18"/>
                  <w:color w:val="0000FF"/>
                </w:rPr>
                <w:t>2022, by and among Blackbaud, Inc., the lenders party thereto</w:t>
              </w:r>
            </w:hyperlink>
          </w:p>
        </w:tc>
        <w:tc>
          <w:tcPr>
            <w:tcW w:w="380" w:type="dxa"/>
            <w:vAlign w:val="bottom"/>
            <w:tcBorders>
              <w:top w:val="single" w:sz="8" w:color="F4F4F4"/>
            </w:tcBorders>
            <w:gridSpan w:val="3"/>
            <w:shd w:val="clear" w:color="auto" w:fill="F4F4F4"/>
          </w:tcPr>
          <w:p>
            <w:pPr>
              <w:spacing w:after="0"/>
              <w:rPr>
                <w:sz w:val="17"/>
                <w:szCs w:val="17"/>
                <w:color w:val="auto"/>
              </w:rPr>
            </w:pPr>
          </w:p>
        </w:tc>
        <w:tc>
          <w:tcPr>
            <w:tcW w:w="1080" w:type="dxa"/>
            <w:vAlign w:val="bottom"/>
            <w:tcBorders>
              <w:top w:val="single" w:sz="8" w:color="F4F4F4"/>
            </w:tcBorders>
            <w:shd w:val="clear" w:color="auto" w:fill="F4F4F4"/>
          </w:tcPr>
          <w:p>
            <w:pPr>
              <w:spacing w:after="0"/>
              <w:rPr>
                <w:sz w:val="17"/>
                <w:szCs w:val="17"/>
                <w:color w:val="auto"/>
              </w:rPr>
            </w:pPr>
          </w:p>
        </w:tc>
        <w:tc>
          <w:tcPr>
            <w:tcW w:w="840" w:type="dxa"/>
            <w:vAlign w:val="bottom"/>
            <w:tcBorders>
              <w:top w:val="single" w:sz="8" w:color="F4F4F4"/>
            </w:tcBorders>
            <w:shd w:val="clear" w:color="auto" w:fill="F4F4F4"/>
          </w:tcPr>
          <w:p>
            <w:pPr>
              <w:spacing w:after="0"/>
              <w:rPr>
                <w:sz w:val="17"/>
                <w:szCs w:val="17"/>
                <w:color w:val="auto"/>
              </w:rPr>
            </w:pPr>
          </w:p>
        </w:tc>
        <w:tc>
          <w:tcPr>
            <w:tcW w:w="1620" w:type="dxa"/>
            <w:vAlign w:val="bottom"/>
            <w:tcBorders>
              <w:top w:val="single" w:sz="8" w:color="F4F4F4"/>
            </w:tcBorders>
            <w:shd w:val="clear" w:color="auto" w:fill="F4F4F4"/>
          </w:tcPr>
          <w:p>
            <w:pPr>
              <w:spacing w:after="0"/>
              <w:rPr>
                <w:sz w:val="17"/>
                <w:szCs w:val="17"/>
                <w:color w:val="auto"/>
              </w:rPr>
            </w:pPr>
          </w:p>
        </w:tc>
        <w:tc>
          <w:tcPr>
            <w:tcW w:w="1100" w:type="dxa"/>
            <w:vAlign w:val="bottom"/>
            <w:tcBorders>
              <w:top w:val="single" w:sz="8" w:color="F4F4F4"/>
            </w:tcBorders>
            <w:shd w:val="clear" w:color="auto" w:fill="F4F4F4"/>
          </w:tcPr>
          <w:p>
            <w:pPr>
              <w:spacing w:after="0"/>
              <w:rPr>
                <w:sz w:val="17"/>
                <w:szCs w:val="17"/>
                <w:color w:val="auto"/>
              </w:rPr>
            </w:pPr>
          </w:p>
        </w:tc>
        <w:tc>
          <w:tcPr>
            <w:tcW w:w="20" w:type="dxa"/>
            <w:vAlign w:val="bottom"/>
          </w:tcPr>
          <w:p>
            <w:pPr>
              <w:spacing w:after="0"/>
              <w:rPr>
                <w:sz w:val="17"/>
                <w:szCs w:val="17"/>
                <w:color w:val="auto"/>
              </w:rPr>
            </w:pPr>
          </w:p>
        </w:tc>
      </w:tr>
      <w:tr>
        <w:trPr>
          <w:trHeight w:val="244"/>
        </w:trPr>
        <w:tc>
          <w:tcPr>
            <w:tcW w:w="620" w:type="dxa"/>
            <w:vAlign w:val="bottom"/>
            <w:tcBorders>
              <w:top w:val="single" w:sz="8" w:color="F4F4F4"/>
              <w:bottom w:val="single" w:sz="8" w:color="F4F4F4"/>
            </w:tcBorders>
            <w:shd w:val="clear" w:color="auto" w:fill="F4F4F4"/>
          </w:tcPr>
          <w:p>
            <w:pPr>
              <w:spacing w:after="0"/>
              <w:rPr>
                <w:sz w:val="21"/>
                <w:szCs w:val="21"/>
                <w:color w:val="auto"/>
              </w:rPr>
            </w:pPr>
          </w:p>
        </w:tc>
        <w:tc>
          <w:tcPr>
            <w:tcW w:w="100" w:type="dxa"/>
            <w:vAlign w:val="bottom"/>
            <w:tcBorders>
              <w:top w:val="single" w:sz="8" w:color="F4F4F4"/>
              <w:bottom w:val="single" w:sz="8" w:color="F4F4F4"/>
            </w:tcBorders>
            <w:shd w:val="clear" w:color="auto" w:fill="F4F4F4"/>
          </w:tcPr>
          <w:p>
            <w:pPr>
              <w:spacing w:after="0"/>
              <w:rPr>
                <w:sz w:val="21"/>
                <w:szCs w:val="21"/>
                <w:color w:val="auto"/>
              </w:rPr>
            </w:pPr>
          </w:p>
        </w:tc>
        <w:tc>
          <w:tcPr>
            <w:tcW w:w="360" w:type="dxa"/>
            <w:vAlign w:val="bottom"/>
            <w:tcBorders>
              <w:top w:val="single" w:sz="8" w:color="F4F4F4"/>
              <w:bottom w:val="single" w:sz="8" w:color="F4F4F4"/>
            </w:tcBorders>
            <w:shd w:val="clear" w:color="auto" w:fill="F4F4F4"/>
          </w:tcPr>
          <w:p>
            <w:pPr>
              <w:spacing w:after="0"/>
              <w:rPr>
                <w:sz w:val="21"/>
                <w:szCs w:val="21"/>
                <w:color w:val="auto"/>
              </w:rPr>
            </w:pPr>
          </w:p>
        </w:tc>
        <w:tc>
          <w:tcPr>
            <w:tcW w:w="140" w:type="dxa"/>
            <w:vAlign w:val="bottom"/>
            <w:tcBorders>
              <w:top w:val="single" w:sz="8" w:color="F4F4F4"/>
              <w:bottom w:val="single" w:sz="8" w:color="F4F4F4"/>
            </w:tcBorders>
            <w:shd w:val="clear" w:color="auto" w:fill="F4F4F4"/>
          </w:tcPr>
          <w:p>
            <w:pPr>
              <w:spacing w:after="0"/>
              <w:rPr>
                <w:sz w:val="21"/>
                <w:szCs w:val="21"/>
                <w:color w:val="auto"/>
              </w:rPr>
            </w:pPr>
          </w:p>
        </w:tc>
        <w:tc>
          <w:tcPr>
            <w:tcW w:w="4020" w:type="dxa"/>
            <w:vAlign w:val="bottom"/>
            <w:tcBorders>
              <w:top w:val="single" w:sz="8" w:color="0000FF"/>
              <w:bottom w:val="single" w:sz="8" w:color="0000FF"/>
            </w:tcBorders>
            <w:gridSpan w:val="3"/>
            <w:shd w:val="clear" w:color="auto" w:fill="F4F4F4"/>
          </w:tcPr>
          <w:p>
            <w:pPr>
              <w:spacing w:after="0" w:line="196" w:lineRule="exact"/>
              <w:rPr>
                <w:rFonts w:ascii="Arial" w:cs="Arial" w:eastAsia="Arial" w:hAnsi="Arial"/>
                <w:sz w:val="18"/>
                <w:szCs w:val="18"/>
                <w:color w:val="0000FF"/>
                <w:w w:val="99"/>
              </w:rPr>
            </w:pPr>
            <w:hyperlink r:id="rId204">
              <w:r>
                <w:rPr>
                  <w:rFonts w:ascii="Arial" w:cs="Arial" w:eastAsia="Arial" w:hAnsi="Arial"/>
                  <w:sz w:val="18"/>
                  <w:szCs w:val="18"/>
                  <w:color w:val="0000FF"/>
                  <w:w w:val="99"/>
                </w:rPr>
                <w:t>and Bank of America N.A., as administrative agent</w:t>
              </w:r>
            </w:hyperlink>
          </w:p>
        </w:tc>
        <w:tc>
          <w:tcPr>
            <w:tcW w:w="940" w:type="dxa"/>
            <w:vAlign w:val="bottom"/>
            <w:tcBorders>
              <w:top w:val="single" w:sz="8" w:color="0000FF"/>
              <w:bottom w:val="single" w:sz="8" w:color="F4F4F4"/>
            </w:tcBorders>
            <w:gridSpan w:val="3"/>
            <w:shd w:val="clear" w:color="auto" w:fill="F4F4F4"/>
          </w:tcPr>
          <w:p>
            <w:pPr>
              <w:spacing w:after="0"/>
              <w:rPr>
                <w:sz w:val="21"/>
                <w:szCs w:val="21"/>
                <w:color w:val="auto"/>
              </w:rPr>
            </w:pPr>
          </w:p>
        </w:tc>
        <w:tc>
          <w:tcPr>
            <w:tcW w:w="420" w:type="dxa"/>
            <w:vAlign w:val="bottom"/>
            <w:tcBorders>
              <w:top w:val="single" w:sz="8" w:color="F4F4F4"/>
              <w:bottom w:val="single" w:sz="8" w:color="F4F4F4"/>
            </w:tcBorders>
            <w:gridSpan w:val="4"/>
            <w:shd w:val="clear" w:color="auto" w:fill="F4F4F4"/>
          </w:tcPr>
          <w:p>
            <w:pPr>
              <w:spacing w:after="0"/>
              <w:rPr>
                <w:sz w:val="21"/>
                <w:szCs w:val="21"/>
                <w:color w:val="auto"/>
              </w:rPr>
            </w:pPr>
          </w:p>
        </w:tc>
        <w:tc>
          <w:tcPr>
            <w:tcW w:w="1080" w:type="dxa"/>
            <w:vAlign w:val="bottom"/>
            <w:tcBorders>
              <w:top w:val="single" w:sz="8" w:color="F4F4F4"/>
              <w:bottom w:val="single" w:sz="8" w:color="F4F4F4"/>
            </w:tcBorders>
            <w:shd w:val="clear" w:color="auto" w:fill="F4F4F4"/>
          </w:tcPr>
          <w:p>
            <w:pPr>
              <w:spacing w:after="0"/>
              <w:rPr>
                <w:sz w:val="21"/>
                <w:szCs w:val="21"/>
                <w:color w:val="auto"/>
              </w:rPr>
            </w:pPr>
          </w:p>
        </w:tc>
        <w:tc>
          <w:tcPr>
            <w:tcW w:w="840" w:type="dxa"/>
            <w:vAlign w:val="bottom"/>
            <w:tcBorders>
              <w:top w:val="single" w:sz="8" w:color="F4F4F4"/>
              <w:bottom w:val="single" w:sz="8" w:color="F4F4F4"/>
            </w:tcBorders>
            <w:shd w:val="clear" w:color="auto" w:fill="F4F4F4"/>
          </w:tcPr>
          <w:p>
            <w:pPr>
              <w:spacing w:after="0"/>
              <w:rPr>
                <w:sz w:val="21"/>
                <w:szCs w:val="21"/>
                <w:color w:val="auto"/>
              </w:rPr>
            </w:pPr>
          </w:p>
        </w:tc>
        <w:tc>
          <w:tcPr>
            <w:tcW w:w="1620" w:type="dxa"/>
            <w:vAlign w:val="bottom"/>
            <w:tcBorders>
              <w:top w:val="single" w:sz="8" w:color="F4F4F4"/>
              <w:bottom w:val="single" w:sz="8" w:color="F4F4F4"/>
            </w:tcBorders>
            <w:shd w:val="clear" w:color="auto" w:fill="F4F4F4"/>
          </w:tcPr>
          <w:p>
            <w:pPr>
              <w:spacing w:after="0"/>
              <w:rPr>
                <w:sz w:val="21"/>
                <w:szCs w:val="21"/>
                <w:color w:val="auto"/>
              </w:rPr>
            </w:pPr>
          </w:p>
        </w:tc>
        <w:tc>
          <w:tcPr>
            <w:tcW w:w="1100" w:type="dxa"/>
            <w:vAlign w:val="bottom"/>
            <w:tcBorders>
              <w:top w:val="single" w:sz="8" w:color="F4F4F4"/>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720" w:type="dxa"/>
            <w:vAlign w:val="bottom"/>
            <w:gridSpan w:val="2"/>
          </w:tcPr>
          <w:p>
            <w:pPr>
              <w:spacing w:after="0"/>
              <w:rPr>
                <w:sz w:val="22"/>
                <w:szCs w:val="22"/>
                <w:color w:val="auto"/>
              </w:rPr>
            </w:pPr>
          </w:p>
        </w:tc>
        <w:tc>
          <w:tcPr>
            <w:tcW w:w="360" w:type="dxa"/>
            <w:vAlign w:val="bottom"/>
            <w:tcBorders>
              <w:bottom w:val="single" w:sz="8" w:color="0000FF"/>
            </w:tcBorders>
          </w:tcPr>
          <w:p>
            <w:pPr>
              <w:jc w:val="right"/>
              <w:spacing w:after="0"/>
              <w:rPr>
                <w:rFonts w:ascii="Arial" w:cs="Arial" w:eastAsia="Arial" w:hAnsi="Arial"/>
                <w:sz w:val="18"/>
                <w:szCs w:val="18"/>
                <w:color w:val="0000FF"/>
                <w:w w:val="96"/>
              </w:rPr>
            </w:pPr>
            <w:hyperlink w:anchor="page49">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1</w:t>
              </w:r>
            </w:hyperlink>
          </w:p>
        </w:tc>
        <w:tc>
          <w:tcPr>
            <w:tcW w:w="140" w:type="dxa"/>
            <w:vAlign w:val="bottom"/>
          </w:tcPr>
          <w:p>
            <w:pPr>
              <w:spacing w:after="0"/>
              <w:rPr>
                <w:sz w:val="22"/>
                <w:szCs w:val="22"/>
                <w:color w:val="auto"/>
              </w:rPr>
            </w:pPr>
          </w:p>
        </w:tc>
        <w:tc>
          <w:tcPr>
            <w:tcW w:w="4320" w:type="dxa"/>
            <w:vAlign w:val="bottom"/>
            <w:tcBorders>
              <w:bottom w:val="single" w:sz="8" w:color="0000FF"/>
            </w:tcBorders>
            <w:gridSpan w:val="5"/>
          </w:tcPr>
          <w:p>
            <w:pPr>
              <w:spacing w:after="0"/>
              <w:rPr>
                <w:rFonts w:ascii="Arial" w:cs="Arial" w:eastAsia="Arial" w:hAnsi="Arial"/>
                <w:sz w:val="18"/>
                <w:szCs w:val="18"/>
                <w:color w:val="0000FF"/>
                <w:w w:val="99"/>
              </w:rPr>
            </w:pPr>
            <w:hyperlink w:anchor="page49">
              <w:r>
                <w:rPr>
                  <w:rFonts w:ascii="Arial" w:cs="Arial" w:eastAsia="Arial" w:hAnsi="Arial"/>
                  <w:sz w:val="18"/>
                  <w:szCs w:val="18"/>
                  <w:color w:val="0000FF"/>
                  <w:w w:val="99"/>
                </w:rPr>
                <w:t>Certification by the Chief Executive Officer pursuant to</w:t>
              </w:r>
            </w:hyperlink>
          </w:p>
        </w:tc>
        <w:tc>
          <w:tcPr>
            <w:tcW w:w="1060" w:type="dxa"/>
            <w:vAlign w:val="bottom"/>
            <w:gridSpan w:val="5"/>
          </w:tcPr>
          <w:p>
            <w:pPr>
              <w:spacing w:after="0"/>
              <w:rPr>
                <w:sz w:val="22"/>
                <w:szCs w:val="22"/>
                <w:color w:val="auto"/>
              </w:rPr>
            </w:pPr>
          </w:p>
        </w:tc>
        <w:tc>
          <w:tcPr>
            <w:tcW w:w="1080" w:type="dxa"/>
            <w:vAlign w:val="bottom"/>
          </w:tcPr>
          <w:p>
            <w:pPr>
              <w:jc w:val="center"/>
              <w:ind w:right="37"/>
              <w:spacing w:after="0"/>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80" w:type="dxa"/>
            <w:vAlign w:val="bottom"/>
            <w:gridSpan w:val="10"/>
          </w:tcPr>
          <w:p>
            <w:pPr>
              <w:spacing w:after="0" w:line="196" w:lineRule="exact"/>
              <w:rPr>
                <w:rFonts w:ascii="Arial" w:cs="Arial" w:eastAsia="Arial" w:hAnsi="Arial"/>
                <w:sz w:val="18"/>
                <w:szCs w:val="18"/>
                <w:color w:val="0000FF"/>
              </w:rPr>
            </w:pPr>
            <w:hyperlink w:anchor="page49">
              <w:r>
                <w:rPr>
                  <w:rFonts w:ascii="Arial" w:cs="Arial" w:eastAsia="Arial" w:hAnsi="Arial"/>
                  <w:sz w:val="18"/>
                  <w:szCs w:val="18"/>
                  <w:color w:val="0000FF"/>
                </w:rPr>
                <w:t>Section 302 of the Sarbanes-Oxley Act of 2002.</w:t>
              </w:r>
            </w:hyperlink>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tcBorders>
              <w:top w:val="single" w:sz="8" w:color="0000FF"/>
            </w:tcBorders>
          </w:tcPr>
          <w:p>
            <w:pPr>
              <w:spacing w:after="0"/>
              <w:rPr>
                <w:sz w:val="4"/>
                <w:szCs w:val="4"/>
                <w:color w:val="auto"/>
              </w:rPr>
            </w:pPr>
          </w:p>
        </w:tc>
        <w:tc>
          <w:tcPr>
            <w:tcW w:w="2840" w:type="dxa"/>
            <w:vAlign w:val="bottom"/>
            <w:tcBorders>
              <w:top w:val="single" w:sz="8" w:color="0000FF"/>
            </w:tcBorders>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56"/>
        </w:trPr>
        <w:tc>
          <w:tcPr>
            <w:tcW w:w="720" w:type="dxa"/>
            <w:vAlign w:val="bottom"/>
            <w:tcBorders>
              <w:bottom w:val="single" w:sz="8" w:color="F4F4F4"/>
            </w:tcBorders>
            <w:gridSpan w:val="2"/>
            <w:shd w:val="clear" w:color="auto" w:fill="F4F4F4"/>
          </w:tcPr>
          <w:p>
            <w:pPr>
              <w:spacing w:after="0"/>
              <w:rPr>
                <w:sz w:val="22"/>
                <w:szCs w:val="22"/>
                <w:color w:val="auto"/>
              </w:rPr>
            </w:pPr>
          </w:p>
        </w:tc>
        <w:tc>
          <w:tcPr>
            <w:tcW w:w="360" w:type="dxa"/>
            <w:vAlign w:val="bottom"/>
            <w:tcBorders>
              <w:bottom w:val="single" w:sz="8" w:color="0000FF"/>
            </w:tcBorders>
            <w:shd w:val="clear" w:color="auto" w:fill="F4F4F4"/>
          </w:tcPr>
          <w:p>
            <w:pPr>
              <w:jc w:val="right"/>
              <w:spacing w:after="0"/>
              <w:rPr>
                <w:rFonts w:ascii="Arial" w:cs="Arial" w:eastAsia="Arial" w:hAnsi="Arial"/>
                <w:sz w:val="18"/>
                <w:szCs w:val="18"/>
                <w:color w:val="0000FF"/>
                <w:w w:val="96"/>
              </w:rPr>
            </w:pPr>
            <w:hyperlink w:anchor="page50">
              <w:r>
                <w:rPr>
                  <w:rFonts w:ascii="Arial" w:cs="Arial" w:eastAsia="Arial" w:hAnsi="Arial"/>
                  <w:sz w:val="18"/>
                  <w:szCs w:val="18"/>
                  <w:color w:val="0000FF"/>
                  <w:w w:val="96"/>
                </w:rPr>
                <w:t>31.</w:t>
              </w:r>
              <w:r>
                <w:rPr>
                  <w:rFonts w:ascii="Arial" w:cs="Arial" w:eastAsia="Arial" w:hAnsi="Arial"/>
                  <w:sz w:val="18"/>
                  <w:szCs w:val="18"/>
                  <w:u w:val="single" w:color="auto"/>
                  <w:color w:val="0000FF"/>
                  <w:w w:val="96"/>
                </w:rPr>
                <w:t>2</w:t>
              </w:r>
            </w:hyperlink>
          </w:p>
        </w:tc>
        <w:tc>
          <w:tcPr>
            <w:tcW w:w="140" w:type="dxa"/>
            <w:vAlign w:val="bottom"/>
            <w:tcBorders>
              <w:bottom w:val="single" w:sz="8" w:color="F4F4F4"/>
            </w:tcBorders>
            <w:shd w:val="clear" w:color="auto" w:fill="F4F4F4"/>
          </w:tcPr>
          <w:p>
            <w:pPr>
              <w:spacing w:after="0"/>
              <w:rPr>
                <w:sz w:val="22"/>
                <w:szCs w:val="22"/>
                <w:color w:val="auto"/>
              </w:rPr>
            </w:pPr>
          </w:p>
        </w:tc>
        <w:tc>
          <w:tcPr>
            <w:tcW w:w="4260" w:type="dxa"/>
            <w:vAlign w:val="bottom"/>
            <w:tcBorders>
              <w:bottom w:val="single" w:sz="8" w:color="0000FF"/>
            </w:tcBorders>
            <w:gridSpan w:val="4"/>
            <w:shd w:val="clear" w:color="auto" w:fill="F4F4F4"/>
          </w:tcPr>
          <w:p>
            <w:pPr>
              <w:spacing w:after="0"/>
              <w:rPr>
                <w:rFonts w:ascii="Arial" w:cs="Arial" w:eastAsia="Arial" w:hAnsi="Arial"/>
                <w:sz w:val="18"/>
                <w:szCs w:val="18"/>
                <w:color w:val="0000FF"/>
                <w:w w:val="99"/>
              </w:rPr>
            </w:pPr>
            <w:hyperlink w:anchor="page50">
              <w:r>
                <w:rPr>
                  <w:rFonts w:ascii="Arial" w:cs="Arial" w:eastAsia="Arial" w:hAnsi="Arial"/>
                  <w:sz w:val="18"/>
                  <w:szCs w:val="18"/>
                  <w:color w:val="0000FF"/>
                  <w:w w:val="99"/>
                </w:rPr>
                <w:t>Certification by the Chief Financial Officer pursuant to</w:t>
              </w:r>
            </w:hyperlink>
          </w:p>
        </w:tc>
        <w:tc>
          <w:tcPr>
            <w:tcW w:w="1120" w:type="dxa"/>
            <w:vAlign w:val="bottom"/>
            <w:tcBorders>
              <w:bottom w:val="single" w:sz="8" w:color="F4F4F4"/>
            </w:tcBorders>
            <w:gridSpan w:val="6"/>
            <w:shd w:val="clear" w:color="auto" w:fill="F4F4F4"/>
          </w:tcPr>
          <w:p>
            <w:pPr>
              <w:spacing w:after="0"/>
              <w:rPr>
                <w:sz w:val="22"/>
                <w:szCs w:val="22"/>
                <w:color w:val="auto"/>
              </w:rPr>
            </w:pPr>
          </w:p>
        </w:tc>
        <w:tc>
          <w:tcPr>
            <w:tcW w:w="1080" w:type="dxa"/>
            <w:vAlign w:val="bottom"/>
            <w:tcBorders>
              <w:bottom w:val="single" w:sz="8" w:color="F4F4F4"/>
            </w:tcBorders>
            <w:shd w:val="clear" w:color="auto" w:fill="F4F4F4"/>
          </w:tcPr>
          <w:p>
            <w:pPr>
              <w:jc w:val="center"/>
              <w:ind w:right="37"/>
              <w:spacing w:after="0"/>
              <w:rPr>
                <w:sz w:val="20"/>
                <w:szCs w:val="20"/>
                <w:color w:val="auto"/>
              </w:rPr>
            </w:pPr>
            <w:r>
              <w:rPr>
                <w:rFonts w:ascii="Arial" w:cs="Arial" w:eastAsia="Arial" w:hAnsi="Arial"/>
                <w:sz w:val="18"/>
                <w:szCs w:val="18"/>
                <w:color w:val="auto"/>
                <w:w w:val="99"/>
              </w:rPr>
              <w:t>X</w:t>
            </w:r>
          </w:p>
        </w:tc>
        <w:tc>
          <w:tcPr>
            <w:tcW w:w="840" w:type="dxa"/>
            <w:vAlign w:val="bottom"/>
            <w:tcBorders>
              <w:bottom w:val="single" w:sz="8" w:color="F4F4F4"/>
            </w:tcBorders>
            <w:shd w:val="clear" w:color="auto" w:fill="F4F4F4"/>
          </w:tcPr>
          <w:p>
            <w:pPr>
              <w:spacing w:after="0"/>
              <w:rPr>
                <w:sz w:val="22"/>
                <w:szCs w:val="22"/>
                <w:color w:val="auto"/>
              </w:rPr>
            </w:pPr>
          </w:p>
        </w:tc>
        <w:tc>
          <w:tcPr>
            <w:tcW w:w="1620" w:type="dxa"/>
            <w:vAlign w:val="bottom"/>
            <w:tcBorders>
              <w:bottom w:val="single" w:sz="8" w:color="F4F4F4"/>
            </w:tcBorders>
            <w:shd w:val="clear" w:color="auto" w:fill="F4F4F4"/>
          </w:tcPr>
          <w:p>
            <w:pPr>
              <w:spacing w:after="0"/>
              <w:rPr>
                <w:sz w:val="22"/>
                <w:szCs w:val="22"/>
                <w:color w:val="auto"/>
              </w:rPr>
            </w:pPr>
          </w:p>
        </w:tc>
        <w:tc>
          <w:tcPr>
            <w:tcW w:w="1100" w:type="dxa"/>
            <w:vAlign w:val="bottom"/>
            <w:tcBorders>
              <w:bottom w:val="single" w:sz="8" w:color="F4F4F4"/>
            </w:tcBorders>
            <w:shd w:val="clear" w:color="auto" w:fill="F4F4F4"/>
          </w:tcPr>
          <w:p>
            <w:pPr>
              <w:spacing w:after="0"/>
              <w:rPr>
                <w:sz w:val="22"/>
                <w:szCs w:val="22"/>
                <w:color w:val="auto"/>
              </w:rPr>
            </w:pPr>
          </w:p>
        </w:tc>
        <w:tc>
          <w:tcPr>
            <w:tcW w:w="20" w:type="dxa"/>
            <w:vAlign w:val="bottom"/>
          </w:tcPr>
          <w:p>
            <w:pPr>
              <w:spacing w:after="0"/>
              <w:rPr>
                <w:sz w:val="22"/>
                <w:szCs w:val="22"/>
                <w:color w:val="auto"/>
              </w:rPr>
            </w:pPr>
          </w:p>
        </w:tc>
      </w:tr>
      <w:tr>
        <w:trPr>
          <w:trHeight w:val="244"/>
        </w:trPr>
        <w:tc>
          <w:tcPr>
            <w:tcW w:w="620" w:type="dxa"/>
            <w:vAlign w:val="bottom"/>
            <w:tcBorders>
              <w:bottom w:val="single" w:sz="8" w:color="F4F4F4"/>
            </w:tcBorders>
            <w:shd w:val="clear" w:color="auto" w:fill="F4F4F4"/>
          </w:tcPr>
          <w:p>
            <w:pPr>
              <w:spacing w:after="0"/>
              <w:rPr>
                <w:sz w:val="21"/>
                <w:szCs w:val="21"/>
                <w:color w:val="auto"/>
              </w:rPr>
            </w:pPr>
          </w:p>
        </w:tc>
        <w:tc>
          <w:tcPr>
            <w:tcW w:w="100" w:type="dxa"/>
            <w:vAlign w:val="bottom"/>
            <w:tcBorders>
              <w:bottom w:val="single" w:sz="8" w:color="F4F4F4"/>
            </w:tcBorders>
            <w:shd w:val="clear" w:color="auto" w:fill="F4F4F4"/>
          </w:tcPr>
          <w:p>
            <w:pPr>
              <w:spacing w:after="0"/>
              <w:rPr>
                <w:sz w:val="21"/>
                <w:szCs w:val="21"/>
                <w:color w:val="auto"/>
              </w:rPr>
            </w:pPr>
          </w:p>
        </w:tc>
        <w:tc>
          <w:tcPr>
            <w:tcW w:w="360" w:type="dxa"/>
            <w:vAlign w:val="bottom"/>
            <w:tcBorders>
              <w:bottom w:val="single" w:sz="8" w:color="F4F4F4"/>
            </w:tcBorders>
            <w:shd w:val="clear" w:color="auto" w:fill="F4F4F4"/>
          </w:tcPr>
          <w:p>
            <w:pPr>
              <w:spacing w:after="0"/>
              <w:rPr>
                <w:sz w:val="21"/>
                <w:szCs w:val="21"/>
                <w:color w:val="auto"/>
              </w:rPr>
            </w:pPr>
          </w:p>
        </w:tc>
        <w:tc>
          <w:tcPr>
            <w:tcW w:w="140" w:type="dxa"/>
            <w:vAlign w:val="bottom"/>
            <w:tcBorders>
              <w:bottom w:val="single" w:sz="8" w:color="F4F4F4"/>
            </w:tcBorders>
            <w:shd w:val="clear" w:color="auto" w:fill="F4F4F4"/>
          </w:tcPr>
          <w:p>
            <w:pPr>
              <w:spacing w:after="0"/>
              <w:rPr>
                <w:sz w:val="21"/>
                <w:szCs w:val="21"/>
                <w:color w:val="auto"/>
              </w:rPr>
            </w:pPr>
          </w:p>
        </w:tc>
        <w:tc>
          <w:tcPr>
            <w:tcW w:w="3800" w:type="dxa"/>
            <w:vAlign w:val="bottom"/>
            <w:tcBorders>
              <w:bottom w:val="single" w:sz="8" w:color="0000FF"/>
            </w:tcBorders>
            <w:gridSpan w:val="2"/>
            <w:shd w:val="clear" w:color="auto" w:fill="F4F4F4"/>
          </w:tcPr>
          <w:p>
            <w:pPr>
              <w:spacing w:after="0" w:line="196" w:lineRule="exact"/>
              <w:rPr>
                <w:rFonts w:ascii="Arial" w:cs="Arial" w:eastAsia="Arial" w:hAnsi="Arial"/>
                <w:sz w:val="18"/>
                <w:szCs w:val="18"/>
                <w:color w:val="0000FF"/>
                <w:w w:val="99"/>
              </w:rPr>
            </w:pPr>
            <w:hyperlink w:anchor="page50">
              <w:r>
                <w:rPr>
                  <w:rFonts w:ascii="Arial" w:cs="Arial" w:eastAsia="Arial" w:hAnsi="Arial"/>
                  <w:sz w:val="18"/>
                  <w:szCs w:val="18"/>
                  <w:color w:val="0000FF"/>
                  <w:w w:val="99"/>
                </w:rPr>
                <w:t>Section 302 of the Sarbanes-Oxley Act of 2002.</w:t>
              </w:r>
            </w:hyperlink>
          </w:p>
        </w:tc>
        <w:tc>
          <w:tcPr>
            <w:tcW w:w="1580" w:type="dxa"/>
            <w:vAlign w:val="bottom"/>
            <w:tcBorders>
              <w:bottom w:val="single" w:sz="8" w:color="F4F4F4"/>
            </w:tcBorders>
            <w:gridSpan w:val="8"/>
            <w:shd w:val="clear" w:color="auto" w:fill="F4F4F4"/>
          </w:tcPr>
          <w:p>
            <w:pPr>
              <w:spacing w:after="0"/>
              <w:rPr>
                <w:sz w:val="21"/>
                <w:szCs w:val="21"/>
                <w:color w:val="auto"/>
              </w:rPr>
            </w:pPr>
          </w:p>
        </w:tc>
        <w:tc>
          <w:tcPr>
            <w:tcW w:w="1080" w:type="dxa"/>
            <w:vAlign w:val="bottom"/>
            <w:tcBorders>
              <w:bottom w:val="single" w:sz="8" w:color="F4F4F4"/>
            </w:tcBorders>
            <w:shd w:val="clear" w:color="auto" w:fill="F4F4F4"/>
          </w:tcPr>
          <w:p>
            <w:pPr>
              <w:spacing w:after="0"/>
              <w:rPr>
                <w:sz w:val="21"/>
                <w:szCs w:val="21"/>
                <w:color w:val="auto"/>
              </w:rPr>
            </w:pPr>
          </w:p>
        </w:tc>
        <w:tc>
          <w:tcPr>
            <w:tcW w:w="840" w:type="dxa"/>
            <w:vAlign w:val="bottom"/>
            <w:tcBorders>
              <w:bottom w:val="single" w:sz="8" w:color="F4F4F4"/>
            </w:tcBorders>
            <w:shd w:val="clear" w:color="auto" w:fill="F4F4F4"/>
          </w:tcPr>
          <w:p>
            <w:pPr>
              <w:spacing w:after="0"/>
              <w:rPr>
                <w:sz w:val="21"/>
                <w:szCs w:val="21"/>
                <w:color w:val="auto"/>
              </w:rPr>
            </w:pPr>
          </w:p>
        </w:tc>
        <w:tc>
          <w:tcPr>
            <w:tcW w:w="1620" w:type="dxa"/>
            <w:vAlign w:val="bottom"/>
            <w:tcBorders>
              <w:bottom w:val="single" w:sz="8" w:color="F4F4F4"/>
            </w:tcBorders>
            <w:shd w:val="clear" w:color="auto" w:fill="F4F4F4"/>
          </w:tcPr>
          <w:p>
            <w:pPr>
              <w:spacing w:after="0"/>
              <w:rPr>
                <w:sz w:val="21"/>
                <w:szCs w:val="21"/>
                <w:color w:val="auto"/>
              </w:rPr>
            </w:pPr>
          </w:p>
        </w:tc>
        <w:tc>
          <w:tcPr>
            <w:tcW w:w="1100" w:type="dxa"/>
            <w:vAlign w:val="bottom"/>
            <w:tcBorders>
              <w:bottom w:val="single" w:sz="8" w:color="F4F4F4"/>
            </w:tcBorders>
            <w:shd w:val="clear" w:color="auto" w:fill="F4F4F4"/>
          </w:tcPr>
          <w:p>
            <w:pPr>
              <w:spacing w:after="0"/>
              <w:rPr>
                <w:sz w:val="21"/>
                <w:szCs w:val="21"/>
                <w:color w:val="auto"/>
              </w:rPr>
            </w:pPr>
          </w:p>
        </w:tc>
        <w:tc>
          <w:tcPr>
            <w:tcW w:w="20" w:type="dxa"/>
            <w:vAlign w:val="bottom"/>
          </w:tcPr>
          <w:p>
            <w:pPr>
              <w:spacing w:after="0"/>
              <w:rPr>
                <w:sz w:val="21"/>
                <w:szCs w:val="21"/>
                <w:color w:val="auto"/>
              </w:rPr>
            </w:pPr>
          </w:p>
        </w:tc>
      </w:tr>
      <w:tr>
        <w:trPr>
          <w:trHeight w:val="256"/>
        </w:trPr>
        <w:tc>
          <w:tcPr>
            <w:tcW w:w="720" w:type="dxa"/>
            <w:vAlign w:val="bottom"/>
            <w:gridSpan w:val="2"/>
          </w:tcPr>
          <w:p>
            <w:pPr>
              <w:spacing w:after="0"/>
              <w:rPr>
                <w:sz w:val="22"/>
                <w:szCs w:val="22"/>
                <w:color w:val="auto"/>
              </w:rPr>
            </w:pPr>
          </w:p>
        </w:tc>
        <w:tc>
          <w:tcPr>
            <w:tcW w:w="360" w:type="dxa"/>
            <w:vAlign w:val="bottom"/>
          </w:tcPr>
          <w:p>
            <w:pPr>
              <w:jc w:val="right"/>
              <w:spacing w:after="0"/>
              <w:rPr>
                <w:rFonts w:ascii="Arial" w:cs="Arial" w:eastAsia="Arial" w:hAnsi="Arial"/>
                <w:sz w:val="18"/>
                <w:szCs w:val="18"/>
                <w:color w:val="0000FF"/>
                <w:w w:val="96"/>
              </w:rPr>
            </w:pPr>
            <w:hyperlink w:anchor="page51">
              <w:r>
                <w:rPr>
                  <w:rFonts w:ascii="Arial" w:cs="Arial" w:eastAsia="Arial" w:hAnsi="Arial"/>
                  <w:sz w:val="18"/>
                  <w:szCs w:val="18"/>
                  <w:color w:val="0000FF"/>
                  <w:w w:val="96"/>
                </w:rPr>
                <w:t>32.</w:t>
              </w:r>
              <w:r>
                <w:rPr>
                  <w:rFonts w:ascii="Arial" w:cs="Arial" w:eastAsia="Arial" w:hAnsi="Arial"/>
                  <w:sz w:val="18"/>
                  <w:szCs w:val="18"/>
                  <w:u w:val="single" w:color="auto"/>
                  <w:color w:val="0000FF"/>
                  <w:w w:val="96"/>
                </w:rPr>
                <w:t>1</w:t>
              </w:r>
            </w:hyperlink>
          </w:p>
        </w:tc>
        <w:tc>
          <w:tcPr>
            <w:tcW w:w="140" w:type="dxa"/>
            <w:vAlign w:val="bottom"/>
          </w:tcPr>
          <w:p>
            <w:pPr>
              <w:spacing w:after="0"/>
              <w:rPr>
                <w:sz w:val="22"/>
                <w:szCs w:val="22"/>
                <w:color w:val="auto"/>
              </w:rPr>
            </w:pPr>
          </w:p>
        </w:tc>
        <w:tc>
          <w:tcPr>
            <w:tcW w:w="5380" w:type="dxa"/>
            <w:vAlign w:val="bottom"/>
            <w:gridSpan w:val="10"/>
          </w:tcPr>
          <w:p>
            <w:pPr>
              <w:spacing w:after="0"/>
              <w:rPr>
                <w:rFonts w:ascii="Arial" w:cs="Arial" w:eastAsia="Arial" w:hAnsi="Arial"/>
                <w:sz w:val="18"/>
                <w:szCs w:val="18"/>
                <w:color w:val="0000FF"/>
              </w:rPr>
            </w:pPr>
            <w:hyperlink w:anchor="page51">
              <w:r>
                <w:rPr>
                  <w:rFonts w:ascii="Arial" w:cs="Arial" w:eastAsia="Arial" w:hAnsi="Arial"/>
                  <w:sz w:val="18"/>
                  <w:szCs w:val="18"/>
                  <w:color w:val="0000FF"/>
                </w:rPr>
                <w:t>Certification by the Chief Executive Officer pursuant to 18 U.S.C.</w:t>
              </w:r>
            </w:hyperlink>
          </w:p>
        </w:tc>
        <w:tc>
          <w:tcPr>
            <w:tcW w:w="1080" w:type="dxa"/>
            <w:vAlign w:val="bottom"/>
          </w:tcPr>
          <w:p>
            <w:pPr>
              <w:jc w:val="center"/>
              <w:ind w:right="37"/>
              <w:spacing w:after="0"/>
              <w:rPr>
                <w:sz w:val="20"/>
                <w:szCs w:val="20"/>
                <w:color w:val="auto"/>
              </w:rPr>
            </w:pPr>
            <w:r>
              <w:rPr>
                <w:rFonts w:ascii="Arial" w:cs="Arial" w:eastAsia="Arial" w:hAnsi="Arial"/>
                <w:sz w:val="18"/>
                <w:szCs w:val="18"/>
                <w:color w:val="auto"/>
                <w:w w:val="99"/>
              </w:rPr>
              <w:t>X</w:t>
            </w:r>
          </w:p>
        </w:tc>
        <w:tc>
          <w:tcPr>
            <w:tcW w:w="84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tcBorders>
              <w:top w:val="single" w:sz="8" w:color="0000FF"/>
            </w:tcBorders>
            <w:gridSpan w:val="9"/>
          </w:tcPr>
          <w:p>
            <w:pPr>
              <w:spacing w:after="0" w:line="196" w:lineRule="exact"/>
              <w:rPr>
                <w:rFonts w:ascii="Arial" w:cs="Arial" w:eastAsia="Arial" w:hAnsi="Arial"/>
                <w:sz w:val="18"/>
                <w:szCs w:val="18"/>
                <w:color w:val="0000FF"/>
                <w:w w:val="99"/>
              </w:rPr>
            </w:pPr>
            <w:hyperlink w:anchor="page51">
              <w:r>
                <w:rPr>
                  <w:rFonts w:ascii="Arial" w:cs="Arial" w:eastAsia="Arial" w:hAnsi="Arial"/>
                  <w:sz w:val="18"/>
                  <w:szCs w:val="18"/>
                  <w:color w:val="0000FF"/>
                  <w:w w:val="99"/>
                </w:rPr>
                <w:t>1350 as adopted pursuant to Section 906 of the Sarbanes-Oxley</w:t>
              </w:r>
            </w:hyperlink>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7"/>
              </w:rPr>
            </w:pPr>
            <w:hyperlink w:anchor="page51">
              <w:r>
                <w:rPr>
                  <w:rFonts w:ascii="Arial" w:cs="Arial" w:eastAsia="Arial" w:hAnsi="Arial"/>
                  <w:sz w:val="18"/>
                  <w:szCs w:val="18"/>
                  <w:color w:val="0000FF"/>
                  <w:w w:val="97"/>
                </w:rPr>
                <w:t>Act of 2002.</w:t>
              </w:r>
            </w:hyperlink>
          </w:p>
        </w:tc>
        <w:tc>
          <w:tcPr>
            <w:tcW w:w="4160" w:type="dxa"/>
            <w:vAlign w:val="bottom"/>
            <w:tcBorders>
              <w:top w:val="single" w:sz="8" w:color="0000FF"/>
            </w:tcBorders>
            <w:gridSpan w:val="7"/>
          </w:tcPr>
          <w:p>
            <w:pPr>
              <w:spacing w:after="0"/>
              <w:rPr>
                <w:sz w:val="17"/>
                <w:szCs w:val="17"/>
                <w:color w:val="auto"/>
              </w:rPr>
            </w:pPr>
          </w:p>
        </w:tc>
        <w:tc>
          <w:tcPr>
            <w:tcW w:w="260" w:type="dxa"/>
            <w:vAlign w:val="bottom"/>
            <w:gridSpan w:val="2"/>
          </w:tcPr>
          <w:p>
            <w:pPr>
              <w:spacing w:after="0"/>
              <w:rPr>
                <w:sz w:val="17"/>
                <w:szCs w:val="17"/>
                <w:color w:val="auto"/>
              </w:rPr>
            </w:pPr>
          </w:p>
        </w:tc>
        <w:tc>
          <w:tcPr>
            <w:tcW w:w="10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132320" cy="48006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32320" cy="480060"/>
                    </a:xfrm>
                    <a:prstGeom prst="rect">
                      <a:avLst/>
                    </a:prstGeom>
                    <a:noFill/>
                  </pic:spPr>
                </pic:pic>
              </a:graphicData>
            </a:graphic>
          </wp:anchor>
        </w:drawing>
        <w:drawing>
          <wp:anchor simplePos="0" relativeHeight="251657728" behindDoc="1" locked="0" layoutInCell="0" allowOverlap="1">
            <wp:simplePos x="0" y="0"/>
            <wp:positionH relativeFrom="column">
              <wp:posOffset>4188460</wp:posOffset>
            </wp:positionH>
            <wp:positionV relativeFrom="paragraph">
              <wp:posOffset>-1868170</wp:posOffset>
            </wp:positionV>
            <wp:extent cx="295719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sectPr>
      </w:pPr>
    </w:p>
    <w:p>
      <w:pPr>
        <w:spacing w:after="0" w:line="134" w:lineRule="exact"/>
        <w:rPr>
          <w:sz w:val="20"/>
          <w:szCs w:val="20"/>
          <w:color w:val="auto"/>
        </w:rPr>
      </w:pPr>
    </w:p>
    <w:p>
      <w:pPr>
        <w:jc w:val="both"/>
        <w:ind w:left="1220" w:hanging="493"/>
        <w:spacing w:after="0" w:line="256" w:lineRule="auto"/>
        <w:tabs>
          <w:tab w:leader="none" w:pos="1200" w:val="left"/>
        </w:tabs>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32.2</w:t>
        </w:r>
      </w:hyperlink>
      <w:r>
        <w:rPr>
          <w:rFonts w:ascii="Arial" w:cs="Arial" w:eastAsia="Arial" w:hAnsi="Arial"/>
          <w:sz w:val="18"/>
          <w:szCs w:val="18"/>
          <w:u w:val="single" w:color="auto"/>
          <w:color w:val="0000FF"/>
        </w:rPr>
        <w:tab/>
      </w:r>
      <w:hyperlink w:anchor="page52">
        <w:r>
          <w:rPr>
            <w:rFonts w:ascii="Arial" w:cs="Arial" w:eastAsia="Arial" w:hAnsi="Arial"/>
            <w:sz w:val="18"/>
            <w:szCs w:val="18"/>
            <w:u w:val="single" w:color="auto"/>
            <w:color w:val="0000FF"/>
          </w:rPr>
          <w:t>Certification by the Chief Financial Officer pursuant to 18 U.S.C.</w:t>
        </w:r>
      </w:hyperlink>
      <w:r>
        <w:rPr>
          <w:rFonts w:ascii="Arial" w:cs="Arial" w:eastAsia="Arial" w:hAnsi="Arial"/>
          <w:sz w:val="18"/>
          <w:szCs w:val="18"/>
          <w:u w:val="single" w:color="auto"/>
          <w:color w:val="0000FF"/>
        </w:rPr>
        <w:t xml:space="preserve"> </w:t>
      </w:r>
      <w:hyperlink w:anchor="page52">
        <w:r>
          <w:rPr>
            <w:rFonts w:ascii="Arial" w:cs="Arial" w:eastAsia="Arial" w:hAnsi="Arial"/>
            <w:sz w:val="18"/>
            <w:szCs w:val="18"/>
            <w:u w:val="single" w:color="auto"/>
            <w:color w:val="0000FF"/>
          </w:rPr>
          <w:t>1350 as adopted pursuant to Section 906 of the Sarbanes-Oxley</w:t>
        </w:r>
      </w:hyperlink>
      <w:r>
        <w:rPr>
          <w:rFonts w:ascii="Arial" w:cs="Arial" w:eastAsia="Arial" w:hAnsi="Arial"/>
          <w:sz w:val="18"/>
          <w:szCs w:val="18"/>
          <w:u w:val="single" w:color="auto"/>
          <w:color w:val="0000FF"/>
        </w:rPr>
        <w:t xml:space="preserve"> </w:t>
      </w:r>
      <w:hyperlink w:anchor="page52">
        <w:r>
          <w:rPr>
            <w:rFonts w:ascii="Arial" w:cs="Arial" w:eastAsia="Arial" w:hAnsi="Arial"/>
            <w:sz w:val="18"/>
            <w:szCs w:val="18"/>
            <w:u w:val="single" w:color="auto"/>
            <w:color w:val="0000FF"/>
          </w:rPr>
          <w:t>Act of 2002.</w:t>
        </w:r>
      </w:hyperlink>
    </w:p>
    <w:p>
      <w:pPr>
        <w:spacing w:after="0" w:line="40" w:lineRule="exact"/>
        <w:rPr>
          <w:rFonts w:ascii="Arial" w:cs="Arial" w:eastAsia="Arial" w:hAnsi="Arial"/>
          <w:sz w:val="18"/>
          <w:szCs w:val="18"/>
          <w:u w:val="single" w:color="auto"/>
          <w:color w:val="0000FF"/>
        </w:rPr>
      </w:pPr>
    </w:p>
    <w:p>
      <w:pPr>
        <w:jc w:val="both"/>
        <w:ind w:left="1220" w:right="40" w:hanging="793"/>
        <w:spacing w:after="0" w:line="256" w:lineRule="auto"/>
        <w:tabs>
          <w:tab w:leader="none" w:pos="1200" w:val="left"/>
        </w:tabs>
        <w:rPr>
          <w:sz w:val="20"/>
          <w:szCs w:val="20"/>
          <w:color w:val="auto"/>
        </w:rPr>
      </w:pPr>
      <w:r>
        <w:rPr>
          <w:rFonts w:ascii="Arial" w:cs="Arial" w:eastAsia="Arial" w:hAnsi="Arial"/>
          <w:sz w:val="18"/>
          <w:szCs w:val="18"/>
          <w:color w:val="auto"/>
        </w:rPr>
        <w:t>101.INS</w:t>
        <w:tab/>
        <w:t>Inline XBRL Instance Document - the Instance Document does not appear in the interactive data file because its XBRL tags are embedded within the Inline XBRL Document.</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60"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200" w:lineRule="exact"/>
        <w:rPr>
          <w:rFonts w:ascii="Arial" w:cs="Arial" w:eastAsia="Arial" w:hAnsi="Arial"/>
          <w:sz w:val="18"/>
          <w:szCs w:val="18"/>
          <w:u w:val="single" w:color="auto"/>
          <w:color w:val="0000FF"/>
        </w:rPr>
      </w:pPr>
    </w:p>
    <w:p>
      <w:pPr>
        <w:spacing w:after="0" w:line="361"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7"/>
          <w:szCs w:val="17"/>
          <w:color w:val="auto"/>
        </w:rPr>
        <w:t>X</w:t>
      </w:r>
    </w:p>
    <w:p>
      <w:pPr>
        <w:spacing w:after="0" w:line="480" w:lineRule="exact"/>
        <w:rPr>
          <w:rFonts w:ascii="Arial" w:cs="Arial" w:eastAsia="Arial" w:hAnsi="Arial"/>
          <w:sz w:val="18"/>
          <w:szCs w:val="18"/>
          <w:u w:val="single" w:color="auto"/>
          <w:color w:val="0000FF"/>
        </w:rPr>
      </w:pPr>
    </w:p>
    <w:p>
      <w:pPr>
        <w:sectPr>
          <w:pgSz w:w="11900" w:h="16838" w:orient="portrait"/>
          <w:cols w:equalWidth="0" w:num="2">
            <w:col w:w="6340" w:space="680"/>
            <w:col w:w="4240"/>
          </w:cols>
          <w:pgMar w:left="320" w:top="126" w:right="31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101.SCH</w:t>
            </w:r>
          </w:p>
        </w:tc>
        <w:tc>
          <w:tcPr>
            <w:tcW w:w="5560" w:type="dxa"/>
            <w:vAlign w:val="bottom"/>
            <w:tcBorders>
              <w:bottom w:val="single" w:sz="8" w:color="F4F4F4"/>
            </w:tcBorders>
            <w:shd w:val="clear" w:color="auto" w:fill="F4F4F4"/>
          </w:tcPr>
          <w:p>
            <w:pPr>
              <w:ind w:left="80"/>
              <w:spacing w:after="0"/>
              <w:rPr>
                <w:sz w:val="20"/>
                <w:szCs w:val="20"/>
                <w:color w:val="auto"/>
              </w:rPr>
            </w:pPr>
            <w:r>
              <w:rPr>
                <w:rFonts w:ascii="Arial" w:cs="Arial" w:eastAsia="Arial" w:hAnsi="Arial"/>
                <w:sz w:val="18"/>
                <w:szCs w:val="18"/>
                <w:color w:val="auto"/>
              </w:rPr>
              <w:t>Inline XBRL Taxonomy Extension Schema Document.</w:t>
            </w:r>
          </w:p>
        </w:tc>
        <w:tc>
          <w:tcPr>
            <w:tcW w:w="4540" w:type="dxa"/>
            <w:vAlign w:val="bottom"/>
            <w:tcBorders>
              <w:bottom w:val="single" w:sz="8" w:color="F4F4F4"/>
            </w:tcBorders>
            <w:shd w:val="clear" w:color="auto" w:fill="F4F4F4"/>
          </w:tcPr>
          <w:p>
            <w:pPr>
              <w:ind w:left="320"/>
              <w:spacing w:after="0"/>
              <w:rPr>
                <w:sz w:val="20"/>
                <w:szCs w:val="20"/>
                <w:color w:val="auto"/>
              </w:rPr>
            </w:pPr>
            <w:r>
              <w:rPr>
                <w:rFonts w:ascii="Arial" w:cs="Arial" w:eastAsia="Arial" w:hAnsi="Arial"/>
                <w:sz w:val="18"/>
                <w:szCs w:val="18"/>
                <w:color w:val="auto"/>
              </w:rPr>
              <w:t>X</w:t>
            </w:r>
          </w:p>
        </w:tc>
      </w:tr>
      <w:tr>
        <w:trPr>
          <w:trHeight w:val="242"/>
        </w:trPr>
        <w:tc>
          <w:tcPr>
            <w:tcW w:w="1140" w:type="dxa"/>
            <w:vAlign w:val="bottom"/>
          </w:tcPr>
          <w:p>
            <w:pPr>
              <w:jc w:val="right"/>
              <w:spacing w:after="0"/>
              <w:rPr>
                <w:sz w:val="20"/>
                <w:szCs w:val="20"/>
                <w:color w:val="auto"/>
              </w:rPr>
            </w:pPr>
            <w:r>
              <w:rPr>
                <w:rFonts w:ascii="Arial" w:cs="Arial" w:eastAsia="Arial" w:hAnsi="Arial"/>
                <w:sz w:val="18"/>
                <w:szCs w:val="18"/>
                <w:color w:val="auto"/>
              </w:rPr>
              <w:t>101.CAL</w:t>
            </w:r>
          </w:p>
        </w:tc>
        <w:tc>
          <w:tcPr>
            <w:tcW w:w="5560" w:type="dxa"/>
            <w:vAlign w:val="bottom"/>
          </w:tcPr>
          <w:p>
            <w:pPr>
              <w:ind w:left="80"/>
              <w:spacing w:after="0"/>
              <w:rPr>
                <w:sz w:val="20"/>
                <w:szCs w:val="20"/>
                <w:color w:val="auto"/>
              </w:rPr>
            </w:pPr>
            <w:r>
              <w:rPr>
                <w:rFonts w:ascii="Arial" w:cs="Arial" w:eastAsia="Arial" w:hAnsi="Arial"/>
                <w:sz w:val="18"/>
                <w:szCs w:val="18"/>
                <w:color w:val="auto"/>
              </w:rPr>
              <w:t>Inline XBRL Taxonomy Extension Calculation Linkbase</w:t>
            </w:r>
          </w:p>
        </w:tc>
        <w:tc>
          <w:tcPr>
            <w:tcW w:w="454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217"/>
        </w:trPr>
        <w:tc>
          <w:tcPr>
            <w:tcW w:w="114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Document.</w:t>
            </w:r>
          </w:p>
        </w:tc>
        <w:tc>
          <w:tcPr>
            <w:tcW w:w="4540" w:type="dxa"/>
            <w:vAlign w:val="bottom"/>
          </w:tcPr>
          <w:p>
            <w:pPr>
              <w:spacing w:after="0"/>
              <w:rPr>
                <w:sz w:val="18"/>
                <w:szCs w:val="18"/>
                <w:color w:val="auto"/>
              </w:rPr>
            </w:pPr>
          </w:p>
        </w:tc>
      </w:tr>
      <w:tr>
        <w:trPr>
          <w:trHeight w:val="27"/>
        </w:trPr>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250"/>
        </w:trPr>
        <w:tc>
          <w:tcPr>
            <w:tcW w:w="1140" w:type="dxa"/>
            <w:vAlign w:val="bottom"/>
            <w:tcBorders>
              <w:bottom w:val="single" w:sz="8" w:color="F4F4F4"/>
            </w:tcBorders>
            <w:shd w:val="clear" w:color="auto" w:fill="F4F4F4"/>
          </w:tcPr>
          <w:p>
            <w:pPr>
              <w:jc w:val="right"/>
              <w:spacing w:after="0"/>
              <w:rPr>
                <w:sz w:val="20"/>
                <w:szCs w:val="20"/>
                <w:color w:val="auto"/>
              </w:rPr>
            </w:pPr>
            <w:r>
              <w:rPr>
                <w:rFonts w:ascii="Arial" w:cs="Arial" w:eastAsia="Arial" w:hAnsi="Arial"/>
                <w:sz w:val="18"/>
                <w:szCs w:val="18"/>
                <w:color w:val="auto"/>
              </w:rPr>
              <w:t>101.DEF</w:t>
            </w:r>
          </w:p>
        </w:tc>
        <w:tc>
          <w:tcPr>
            <w:tcW w:w="5560" w:type="dxa"/>
            <w:vAlign w:val="bottom"/>
            <w:tcBorders>
              <w:bottom w:val="single" w:sz="8" w:color="F4F4F4"/>
            </w:tcBorders>
            <w:shd w:val="clear" w:color="auto" w:fill="F4F4F4"/>
          </w:tcPr>
          <w:p>
            <w:pPr>
              <w:ind w:left="80"/>
              <w:spacing w:after="0"/>
              <w:rPr>
                <w:sz w:val="20"/>
                <w:szCs w:val="20"/>
                <w:color w:val="auto"/>
              </w:rPr>
            </w:pPr>
            <w:r>
              <w:rPr>
                <w:rFonts w:ascii="Arial" w:cs="Arial" w:eastAsia="Arial" w:hAnsi="Arial"/>
                <w:sz w:val="18"/>
                <w:szCs w:val="18"/>
                <w:color w:val="auto"/>
              </w:rPr>
              <w:t>Inline XBRL Taxonomy Extension Definition Linkbase Document.</w:t>
            </w:r>
          </w:p>
        </w:tc>
        <w:tc>
          <w:tcPr>
            <w:tcW w:w="4540" w:type="dxa"/>
            <w:vAlign w:val="bottom"/>
            <w:tcBorders>
              <w:bottom w:val="single" w:sz="8" w:color="F4F4F4"/>
            </w:tcBorders>
            <w:shd w:val="clear" w:color="auto" w:fill="F4F4F4"/>
          </w:tcPr>
          <w:p>
            <w:pPr>
              <w:ind w:left="320"/>
              <w:spacing w:after="0"/>
              <w:rPr>
                <w:sz w:val="20"/>
                <w:szCs w:val="20"/>
                <w:color w:val="auto"/>
              </w:rPr>
            </w:pPr>
            <w:r>
              <w:rPr>
                <w:rFonts w:ascii="Arial" w:cs="Arial" w:eastAsia="Arial" w:hAnsi="Arial"/>
                <w:sz w:val="18"/>
                <w:szCs w:val="18"/>
                <w:color w:val="auto"/>
              </w:rPr>
              <w:t>X</w:t>
            </w:r>
          </w:p>
        </w:tc>
      </w:tr>
      <w:tr>
        <w:trPr>
          <w:trHeight w:val="243"/>
        </w:trPr>
        <w:tc>
          <w:tcPr>
            <w:tcW w:w="1140" w:type="dxa"/>
            <w:vAlign w:val="bottom"/>
          </w:tcPr>
          <w:p>
            <w:pPr>
              <w:jc w:val="right"/>
              <w:spacing w:after="0"/>
              <w:rPr>
                <w:sz w:val="20"/>
                <w:szCs w:val="20"/>
                <w:color w:val="auto"/>
              </w:rPr>
            </w:pPr>
            <w:r>
              <w:rPr>
                <w:rFonts w:ascii="Arial" w:cs="Arial" w:eastAsia="Arial" w:hAnsi="Arial"/>
                <w:sz w:val="18"/>
                <w:szCs w:val="18"/>
                <w:color w:val="auto"/>
              </w:rPr>
              <w:t>101.LAB</w:t>
            </w:r>
          </w:p>
        </w:tc>
        <w:tc>
          <w:tcPr>
            <w:tcW w:w="5560" w:type="dxa"/>
            <w:vAlign w:val="bottom"/>
          </w:tcPr>
          <w:p>
            <w:pPr>
              <w:ind w:left="80"/>
              <w:spacing w:after="0"/>
              <w:rPr>
                <w:sz w:val="20"/>
                <w:szCs w:val="20"/>
                <w:color w:val="auto"/>
              </w:rPr>
            </w:pPr>
            <w:r>
              <w:rPr>
                <w:rFonts w:ascii="Arial" w:cs="Arial" w:eastAsia="Arial" w:hAnsi="Arial"/>
                <w:sz w:val="18"/>
                <w:szCs w:val="18"/>
                <w:color w:val="auto"/>
              </w:rPr>
              <w:t>Inline XBRL Taxonomy Extension Label Linkbase Document.</w:t>
            </w:r>
          </w:p>
        </w:tc>
        <w:tc>
          <w:tcPr>
            <w:tcW w:w="454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27"/>
        </w:trPr>
        <w:tc>
          <w:tcPr>
            <w:tcW w:w="1140" w:type="dxa"/>
            <w:vAlign w:val="bottom"/>
          </w:tcPr>
          <w:p>
            <w:pPr>
              <w:spacing w:after="0"/>
              <w:rPr>
                <w:sz w:val="2"/>
                <w:szCs w:val="2"/>
                <w:color w:val="auto"/>
              </w:rPr>
            </w:pPr>
          </w:p>
        </w:tc>
        <w:tc>
          <w:tcPr>
            <w:tcW w:w="5560" w:type="dxa"/>
            <w:vAlign w:val="bottom"/>
          </w:tcPr>
          <w:p>
            <w:pPr>
              <w:spacing w:after="0"/>
              <w:rPr>
                <w:sz w:val="2"/>
                <w:szCs w:val="2"/>
                <w:color w:val="auto"/>
              </w:rPr>
            </w:pPr>
          </w:p>
        </w:tc>
        <w:tc>
          <w:tcPr>
            <w:tcW w:w="4540" w:type="dxa"/>
            <w:vAlign w:val="bottom"/>
          </w:tcPr>
          <w:p>
            <w:pPr>
              <w:spacing w:after="0"/>
              <w:rPr>
                <w:sz w:val="2"/>
                <w:szCs w:val="2"/>
                <w:color w:val="auto"/>
              </w:rPr>
            </w:pPr>
          </w:p>
        </w:tc>
      </w:tr>
      <w:tr>
        <w:trPr>
          <w:trHeight w:val="242"/>
        </w:trPr>
        <w:tc>
          <w:tcPr>
            <w:tcW w:w="1140" w:type="dxa"/>
            <w:vAlign w:val="bottom"/>
            <w:shd w:val="clear" w:color="auto" w:fill="F4F4F4"/>
          </w:tcPr>
          <w:p>
            <w:pPr>
              <w:jc w:val="right"/>
              <w:spacing w:after="0"/>
              <w:rPr>
                <w:sz w:val="20"/>
                <w:szCs w:val="20"/>
                <w:color w:val="auto"/>
              </w:rPr>
            </w:pPr>
            <w:r>
              <w:rPr>
                <w:rFonts w:ascii="Arial" w:cs="Arial" w:eastAsia="Arial" w:hAnsi="Arial"/>
                <w:sz w:val="18"/>
                <w:szCs w:val="18"/>
                <w:color w:val="auto"/>
              </w:rPr>
              <w:t>101.PRE</w:t>
            </w:r>
          </w:p>
        </w:tc>
        <w:tc>
          <w:tcPr>
            <w:tcW w:w="5560" w:type="dxa"/>
            <w:vAlign w:val="bottom"/>
            <w:shd w:val="clear" w:color="auto" w:fill="F4F4F4"/>
          </w:tcPr>
          <w:p>
            <w:pPr>
              <w:ind w:left="80"/>
              <w:spacing w:after="0"/>
              <w:rPr>
                <w:sz w:val="20"/>
                <w:szCs w:val="20"/>
                <w:color w:val="auto"/>
              </w:rPr>
            </w:pPr>
            <w:r>
              <w:rPr>
                <w:rFonts w:ascii="Arial" w:cs="Arial" w:eastAsia="Arial" w:hAnsi="Arial"/>
                <w:sz w:val="18"/>
                <w:szCs w:val="18"/>
                <w:color w:val="auto"/>
              </w:rPr>
              <w:t>Inline XBRL Taxonomy Extension Presentation Linkbase</w:t>
            </w:r>
          </w:p>
        </w:tc>
        <w:tc>
          <w:tcPr>
            <w:tcW w:w="4540" w:type="dxa"/>
            <w:vAlign w:val="bottom"/>
            <w:shd w:val="clear" w:color="auto" w:fill="F4F4F4"/>
          </w:tcPr>
          <w:p>
            <w:pPr>
              <w:ind w:left="320"/>
              <w:spacing w:after="0"/>
              <w:rPr>
                <w:sz w:val="20"/>
                <w:szCs w:val="20"/>
                <w:color w:val="auto"/>
              </w:rPr>
            </w:pPr>
            <w:r>
              <w:rPr>
                <w:rFonts w:ascii="Arial" w:cs="Arial" w:eastAsia="Arial" w:hAnsi="Arial"/>
                <w:sz w:val="18"/>
                <w:szCs w:val="18"/>
                <w:color w:val="auto"/>
              </w:rPr>
              <w:t>X</w:t>
            </w:r>
          </w:p>
        </w:tc>
      </w:tr>
      <w:tr>
        <w:trPr>
          <w:trHeight w:val="224"/>
        </w:trPr>
        <w:tc>
          <w:tcPr>
            <w:tcW w:w="1140" w:type="dxa"/>
            <w:vAlign w:val="bottom"/>
            <w:tcBorders>
              <w:bottom w:val="single" w:sz="8" w:color="F4F4F4"/>
            </w:tcBorders>
            <w:shd w:val="clear" w:color="auto" w:fill="F4F4F4"/>
          </w:tcPr>
          <w:p>
            <w:pPr>
              <w:spacing w:after="0"/>
              <w:rPr>
                <w:sz w:val="19"/>
                <w:szCs w:val="19"/>
                <w:color w:val="auto"/>
              </w:rPr>
            </w:pPr>
          </w:p>
        </w:tc>
        <w:tc>
          <w:tcPr>
            <w:tcW w:w="5560" w:type="dxa"/>
            <w:vAlign w:val="bottom"/>
            <w:tcBorders>
              <w:bottom w:val="single" w:sz="8" w:color="F4F4F4"/>
            </w:tcBorders>
            <w:shd w:val="clear" w:color="auto" w:fill="F4F4F4"/>
          </w:tcPr>
          <w:p>
            <w:pPr>
              <w:ind w:left="80"/>
              <w:spacing w:after="0"/>
              <w:rPr>
                <w:sz w:val="20"/>
                <w:szCs w:val="20"/>
                <w:color w:val="auto"/>
              </w:rPr>
            </w:pPr>
            <w:r>
              <w:rPr>
                <w:rFonts w:ascii="Arial" w:cs="Arial" w:eastAsia="Arial" w:hAnsi="Arial"/>
                <w:sz w:val="18"/>
                <w:szCs w:val="18"/>
                <w:color w:val="auto"/>
              </w:rPr>
              <w:t>Document.</w:t>
            </w:r>
          </w:p>
        </w:tc>
        <w:tc>
          <w:tcPr>
            <w:tcW w:w="4540" w:type="dxa"/>
            <w:vAlign w:val="bottom"/>
            <w:tcBorders>
              <w:bottom w:val="single" w:sz="8" w:color="F4F4F4"/>
            </w:tcBorders>
            <w:shd w:val="clear" w:color="auto" w:fill="F4F4F4"/>
          </w:tcPr>
          <w:p>
            <w:pPr>
              <w:spacing w:after="0"/>
              <w:rPr>
                <w:sz w:val="19"/>
                <w:szCs w:val="19"/>
                <w:color w:val="auto"/>
              </w:rPr>
            </w:pPr>
          </w:p>
        </w:tc>
      </w:tr>
      <w:tr>
        <w:trPr>
          <w:trHeight w:val="242"/>
        </w:trPr>
        <w:tc>
          <w:tcPr>
            <w:tcW w:w="1140" w:type="dxa"/>
            <w:vAlign w:val="bottom"/>
          </w:tcPr>
          <w:p>
            <w:pPr>
              <w:jc w:val="right"/>
              <w:spacing w:after="0"/>
              <w:rPr>
                <w:sz w:val="20"/>
                <w:szCs w:val="20"/>
                <w:color w:val="auto"/>
              </w:rPr>
            </w:pPr>
            <w:r>
              <w:rPr>
                <w:rFonts w:ascii="Arial" w:cs="Arial" w:eastAsia="Arial" w:hAnsi="Arial"/>
                <w:sz w:val="18"/>
                <w:szCs w:val="18"/>
                <w:color w:val="auto"/>
              </w:rPr>
              <w:t>104</w:t>
            </w:r>
          </w:p>
        </w:tc>
        <w:tc>
          <w:tcPr>
            <w:tcW w:w="5560" w:type="dxa"/>
            <w:vAlign w:val="bottom"/>
          </w:tcPr>
          <w:p>
            <w:pPr>
              <w:ind w:left="80"/>
              <w:spacing w:after="0"/>
              <w:rPr>
                <w:sz w:val="20"/>
                <w:szCs w:val="20"/>
                <w:color w:val="auto"/>
              </w:rPr>
            </w:pPr>
            <w:r>
              <w:rPr>
                <w:rFonts w:ascii="Arial" w:cs="Arial" w:eastAsia="Arial" w:hAnsi="Arial"/>
                <w:sz w:val="18"/>
                <w:szCs w:val="18"/>
                <w:color w:val="auto"/>
              </w:rPr>
              <w:t>Cover Page Interactive Data File (formatted as Inline XBRL and</w:t>
            </w:r>
          </w:p>
        </w:tc>
        <w:tc>
          <w:tcPr>
            <w:tcW w:w="4540" w:type="dxa"/>
            <w:vAlign w:val="bottom"/>
          </w:tcPr>
          <w:p>
            <w:pPr>
              <w:ind w:left="320"/>
              <w:spacing w:after="0"/>
              <w:rPr>
                <w:sz w:val="20"/>
                <w:szCs w:val="20"/>
                <w:color w:val="auto"/>
              </w:rPr>
            </w:pPr>
            <w:r>
              <w:rPr>
                <w:rFonts w:ascii="Arial" w:cs="Arial" w:eastAsia="Arial" w:hAnsi="Arial"/>
                <w:sz w:val="18"/>
                <w:szCs w:val="18"/>
                <w:color w:val="auto"/>
              </w:rPr>
              <w:t>X</w:t>
            </w:r>
          </w:p>
        </w:tc>
      </w:tr>
      <w:tr>
        <w:trPr>
          <w:trHeight w:val="217"/>
        </w:trPr>
        <w:tc>
          <w:tcPr>
            <w:tcW w:w="1140" w:type="dxa"/>
            <w:vAlign w:val="bottom"/>
          </w:tcPr>
          <w:p>
            <w:pPr>
              <w:spacing w:after="0"/>
              <w:rPr>
                <w:sz w:val="18"/>
                <w:szCs w:val="18"/>
                <w:color w:val="auto"/>
              </w:rPr>
            </w:pPr>
          </w:p>
        </w:tc>
        <w:tc>
          <w:tcPr>
            <w:tcW w:w="5560" w:type="dxa"/>
            <w:vAlign w:val="bottom"/>
          </w:tcPr>
          <w:p>
            <w:pPr>
              <w:ind w:left="80"/>
              <w:spacing w:after="0"/>
              <w:rPr>
                <w:sz w:val="20"/>
                <w:szCs w:val="20"/>
                <w:color w:val="auto"/>
              </w:rPr>
            </w:pPr>
            <w:r>
              <w:rPr>
                <w:rFonts w:ascii="Arial" w:cs="Arial" w:eastAsia="Arial" w:hAnsi="Arial"/>
                <w:sz w:val="18"/>
                <w:szCs w:val="18"/>
                <w:color w:val="auto"/>
              </w:rPr>
              <w:t>contained in Exhibit 101).</w:t>
            </w:r>
          </w:p>
        </w:tc>
        <w:tc>
          <w:tcPr>
            <w:tcW w:w="4540" w:type="dxa"/>
            <w:vAlign w:val="bottom"/>
          </w:tcPr>
          <w:p>
            <w:pPr>
              <w:spacing w:after="0"/>
              <w:rPr>
                <w:sz w:val="18"/>
                <w:szCs w:val="18"/>
                <w:color w:val="auto"/>
              </w:rPr>
            </w:pPr>
          </w:p>
        </w:tc>
      </w:tr>
      <w:tr>
        <w:trPr>
          <w:trHeight w:val="27"/>
        </w:trPr>
        <w:tc>
          <w:tcPr>
            <w:tcW w:w="1140" w:type="dxa"/>
            <w:vAlign w:val="bottom"/>
            <w:tcBorders>
              <w:bottom w:val="single" w:sz="8" w:color="71BF43"/>
            </w:tcBorders>
          </w:tcPr>
          <w:p>
            <w:pPr>
              <w:spacing w:after="0"/>
              <w:rPr>
                <w:sz w:val="2"/>
                <w:szCs w:val="2"/>
                <w:color w:val="auto"/>
              </w:rPr>
            </w:pPr>
          </w:p>
        </w:tc>
        <w:tc>
          <w:tcPr>
            <w:tcW w:w="5560" w:type="dxa"/>
            <w:vAlign w:val="bottom"/>
            <w:tcBorders>
              <w:bottom w:val="single" w:sz="8" w:color="71BF43"/>
            </w:tcBorders>
          </w:tcPr>
          <w:p>
            <w:pPr>
              <w:spacing w:after="0"/>
              <w:rPr>
                <w:sz w:val="2"/>
                <w:szCs w:val="2"/>
                <w:color w:val="auto"/>
              </w:rPr>
            </w:pPr>
          </w:p>
        </w:tc>
        <w:tc>
          <w:tcPr>
            <w:tcW w:w="4540" w:type="dxa"/>
            <w:vAlign w:val="bottom"/>
            <w:tcBorders>
              <w:bottom w:val="single" w:sz="8" w:color="71BF43"/>
            </w:tcBorders>
          </w:tcPr>
          <w:p>
            <w:pPr>
              <w:spacing w:after="0"/>
              <w:rPr>
                <w:sz w:val="2"/>
                <w:szCs w:val="2"/>
                <w:color w:val="auto"/>
              </w:rPr>
            </w:pPr>
          </w:p>
        </w:tc>
      </w:tr>
      <w:tr>
        <w:trPr>
          <w:trHeight w:val="684"/>
        </w:trPr>
        <w:tc>
          <w:tcPr>
            <w:tcW w:w="1140" w:type="dxa"/>
            <w:vAlign w:val="bottom"/>
          </w:tcPr>
          <w:p>
            <w:pPr>
              <w:jc w:val="right"/>
              <w:ind w:right="873"/>
              <w:spacing w:after="0"/>
              <w:rPr>
                <w:sz w:val="20"/>
                <w:szCs w:val="20"/>
                <w:color w:val="auto"/>
              </w:rPr>
            </w:pPr>
            <w:r>
              <w:rPr>
                <w:rFonts w:ascii="Arial" w:cs="Arial" w:eastAsia="Arial" w:hAnsi="Arial"/>
                <w:sz w:val="14"/>
                <w:szCs w:val="14"/>
                <w:color w:val="auto"/>
              </w:rPr>
              <w:t>46</w:t>
            </w:r>
          </w:p>
        </w:tc>
        <w:tc>
          <w:tcPr>
            <w:tcW w:w="5560" w:type="dxa"/>
            <w:vAlign w:val="bottom"/>
          </w:tcPr>
          <w:p>
            <w:pPr>
              <w:ind w:left="500"/>
              <w:spacing w:after="0"/>
              <w:rPr>
                <w:sz w:val="20"/>
                <w:szCs w:val="20"/>
                <w:color w:val="auto"/>
              </w:rPr>
            </w:pPr>
            <w:r>
              <w:rPr>
                <w:rFonts w:ascii="Arial" w:cs="Arial" w:eastAsia="Arial" w:hAnsi="Arial"/>
                <w:sz w:val="14"/>
                <w:szCs w:val="14"/>
                <w:color w:val="auto"/>
              </w:rPr>
              <w:t>First Quarter 2022 Form 10-Q</w:t>
            </w:r>
          </w:p>
        </w:tc>
        <w:tc>
          <w:tcPr>
            <w:tcW w:w="4540" w:type="dxa"/>
            <w:vAlign w:val="bottom"/>
          </w:tcPr>
          <w:p>
            <w:pPr>
              <w:spacing w:after="0"/>
              <w:rPr>
                <w:sz w:val="24"/>
                <w:szCs w:val="24"/>
                <w:color w:val="auto"/>
              </w:rPr>
            </w:pPr>
          </w:p>
        </w:tc>
      </w:tr>
      <w:tr>
        <w:trPr>
          <w:trHeight w:val="329"/>
        </w:trPr>
        <w:tc>
          <w:tcPr>
            <w:tcW w:w="1140" w:type="dxa"/>
            <w:vAlign w:val="bottom"/>
            <w:tcBorders>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4540" w:type="dxa"/>
            <w:vAlign w:val="bottom"/>
            <w:tcBorders>
              <w:bottom w:val="single" w:sz="8" w:color="9A9A9A"/>
            </w:tcBorders>
          </w:tcPr>
          <w:p>
            <w:pPr>
              <w:spacing w:after="0"/>
              <w:rPr>
                <w:sz w:val="24"/>
                <w:szCs w:val="24"/>
                <w:color w:val="auto"/>
              </w:rPr>
            </w:pPr>
          </w:p>
        </w:tc>
      </w:tr>
    </w:tbl>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-376555</wp:posOffset>
            </wp:positionV>
            <wp:extent cx="651510" cy="17145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651510" cy="171450"/>
                    </a:xfrm>
                    <a:prstGeom prst="rect">
                      <a:avLst/>
                    </a:prstGeom>
                    <a:noFill/>
                  </pic:spPr>
                </pic:pic>
              </a:graphicData>
            </a:graphic>
          </wp:anchor>
        </w:drawing>
      </w:r>
    </w:p>
    <w:p>
      <w:pPr>
        <w:sectPr>
          <w:pgSz w:w="11900" w:h="16838" w:orient="portrait"/>
          <w:cols w:equalWidth="0" w:num="1">
            <w:col w:w="11260"/>
          </w:cols>
          <w:pgMar w:left="320" w:top="126" w:right="319" w:bottom="1440" w:gutter="0" w:footer="0" w:header="0"/>
          <w:type w:val="continuous"/>
        </w:sectPr>
      </w:pPr>
    </w:p>
    <w:bookmarkStart w:id="47" w:name="page48"/>
    <w:bookmarkEnd w:id="4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Blackbaud, Inc.</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80"/>
        <w:spacing w:after="0"/>
        <w:rPr>
          <w:sz w:val="20"/>
          <w:szCs w:val="20"/>
          <w:color w:val="auto"/>
        </w:rPr>
      </w:pPr>
      <w:r>
        <w:rPr>
          <w:rFonts w:ascii="Arial" w:cs="Arial" w:eastAsia="Arial" w:hAnsi="Arial"/>
          <w:sz w:val="40"/>
          <w:szCs w:val="40"/>
          <w:b w:val="1"/>
          <w:bCs w:val="1"/>
          <w:color w:val="50535A"/>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90805</wp:posOffset>
            </wp:positionH>
            <wp:positionV relativeFrom="paragraph">
              <wp:posOffset>-263525</wp:posOffset>
            </wp:positionV>
            <wp:extent cx="171450" cy="2228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171450" cy="222885"/>
                    </a:xfrm>
                    <a:prstGeom prst="rect">
                      <a:avLst/>
                    </a:prstGeom>
                    <a:noFill/>
                  </pic:spPr>
                </pic:pic>
              </a:graphicData>
            </a:graphic>
          </wp:anchor>
        </w:drawing>
      </w:r>
    </w:p>
    <w:p>
      <w:pPr>
        <w:spacing w:after="0" w:line="306"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7020" w:type="dxa"/>
            <w:vAlign w:val="bottom"/>
            <w:gridSpan w:val="2"/>
          </w:tcPr>
          <w:p>
            <w:pPr>
              <w:ind w:left="2120"/>
              <w:spacing w:after="0"/>
              <w:rPr>
                <w:sz w:val="20"/>
                <w:szCs w:val="20"/>
                <w:color w:val="auto"/>
              </w:rPr>
            </w:pPr>
            <w:r>
              <w:rPr>
                <w:rFonts w:ascii="Arial" w:cs="Arial" w:eastAsia="Arial" w:hAnsi="Arial"/>
                <w:sz w:val="18"/>
                <w:szCs w:val="18"/>
                <w:b w:val="1"/>
                <w:bCs w:val="1"/>
                <w:color w:val="auto"/>
              </w:rPr>
              <w:t>BLACKBAUD, INC.</w:t>
            </w:r>
          </w:p>
        </w:tc>
        <w:tc>
          <w:tcPr>
            <w:tcW w:w="440" w:type="dxa"/>
            <w:vAlign w:val="bottom"/>
          </w:tcPr>
          <w:p>
            <w:pPr>
              <w:spacing w:after="0"/>
              <w:rPr>
                <w:sz w:val="20"/>
                <w:szCs w:val="20"/>
                <w:color w:val="auto"/>
              </w:rPr>
            </w:pP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00"/>
              <w:spacing w:after="0"/>
              <w:rPr>
                <w:sz w:val="20"/>
                <w:szCs w:val="20"/>
                <w:color w:val="auto"/>
              </w:rPr>
            </w:pPr>
            <w:r>
              <w:rPr>
                <w:rFonts w:ascii="Arial" w:cs="Arial" w:eastAsia="Arial" w:hAnsi="Arial"/>
                <w:sz w:val="18"/>
                <w:szCs w:val="18"/>
                <w:color w:val="auto"/>
              </w:rPr>
              <w:t>May 5, 2022</w:t>
            </w:r>
          </w:p>
        </w:tc>
        <w:tc>
          <w:tcPr>
            <w:tcW w:w="2560" w:type="dxa"/>
            <w:vAlign w:val="bottom"/>
          </w:tcPr>
          <w:p>
            <w:pPr>
              <w:ind w:left="2120"/>
              <w:spacing w:after="0"/>
              <w:rPr>
                <w:sz w:val="20"/>
                <w:szCs w:val="20"/>
                <w:color w:val="auto"/>
              </w:rPr>
            </w:pPr>
            <w:r>
              <w:rPr>
                <w:rFonts w:ascii="Arial" w:cs="Arial" w:eastAsia="Arial" w:hAnsi="Arial"/>
                <w:sz w:val="18"/>
                <w:szCs w:val="18"/>
                <w:color w:val="auto"/>
              </w:rPr>
              <w:t>By:</w:t>
            </w:r>
          </w:p>
        </w:tc>
        <w:tc>
          <w:tcPr>
            <w:tcW w:w="4460" w:type="dxa"/>
            <w:vAlign w:val="bottom"/>
          </w:tcPr>
          <w:p>
            <w:pPr>
              <w:ind w:left="20"/>
              <w:spacing w:after="0"/>
              <w:rPr>
                <w:sz w:val="20"/>
                <w:szCs w:val="20"/>
                <w:color w:val="auto"/>
              </w:rPr>
            </w:pPr>
            <w:r>
              <w:rPr>
                <w:rFonts w:ascii="Arial" w:cs="Arial" w:eastAsia="Arial" w:hAnsi="Arial"/>
                <w:sz w:val="18"/>
                <w:szCs w:val="18"/>
                <w:color w:val="auto"/>
              </w:rPr>
              <w:t>/s/ Michael P. Gianoni</w:t>
            </w:r>
          </w:p>
        </w:tc>
        <w:tc>
          <w:tcPr>
            <w:tcW w:w="44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Michael P. Gianoni</w:t>
            </w:r>
          </w:p>
        </w:tc>
        <w:tc>
          <w:tcPr>
            <w:tcW w:w="44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c>
          <w:tcPr>
            <w:tcW w:w="44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440" w:type="dxa"/>
            <w:vAlign w:val="bottom"/>
          </w:tcPr>
          <w:p>
            <w:pPr>
              <w:spacing w:after="0"/>
              <w:rPr>
                <w:sz w:val="23"/>
                <w:szCs w:val="23"/>
                <w:color w:val="auto"/>
              </w:rPr>
            </w:pPr>
          </w:p>
        </w:tc>
      </w:tr>
      <w:tr>
        <w:trPr>
          <w:trHeight w:val="540"/>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3180" w:type="dxa"/>
            <w:vAlign w:val="bottom"/>
          </w:tcPr>
          <w:p>
            <w:pPr>
              <w:ind w:left="100"/>
              <w:spacing w:after="0"/>
              <w:rPr>
                <w:sz w:val="20"/>
                <w:szCs w:val="20"/>
                <w:color w:val="auto"/>
              </w:rPr>
            </w:pPr>
            <w:r>
              <w:rPr>
                <w:rFonts w:ascii="Arial" w:cs="Arial" w:eastAsia="Arial" w:hAnsi="Arial"/>
                <w:sz w:val="18"/>
                <w:szCs w:val="18"/>
                <w:color w:val="auto"/>
              </w:rPr>
              <w:t>May 5, 2022</w:t>
            </w:r>
          </w:p>
        </w:tc>
        <w:tc>
          <w:tcPr>
            <w:tcW w:w="2560" w:type="dxa"/>
            <w:vAlign w:val="bottom"/>
          </w:tcPr>
          <w:p>
            <w:pPr>
              <w:ind w:left="2120"/>
              <w:spacing w:after="0"/>
              <w:rPr>
                <w:sz w:val="20"/>
                <w:szCs w:val="20"/>
                <w:color w:val="auto"/>
              </w:rPr>
            </w:pPr>
            <w:r>
              <w:rPr>
                <w:rFonts w:ascii="Arial" w:cs="Arial" w:eastAsia="Arial" w:hAnsi="Arial"/>
                <w:sz w:val="18"/>
                <w:szCs w:val="18"/>
                <w:color w:val="auto"/>
              </w:rPr>
              <w:t>By:</w:t>
            </w:r>
          </w:p>
        </w:tc>
        <w:tc>
          <w:tcPr>
            <w:tcW w:w="4460" w:type="dxa"/>
            <w:vAlign w:val="bottom"/>
          </w:tcPr>
          <w:p>
            <w:pPr>
              <w:ind w:left="20"/>
              <w:spacing w:after="0"/>
              <w:rPr>
                <w:sz w:val="20"/>
                <w:szCs w:val="20"/>
                <w:color w:val="auto"/>
              </w:rPr>
            </w:pPr>
            <w:r>
              <w:rPr>
                <w:rFonts w:ascii="Arial" w:cs="Arial" w:eastAsia="Arial" w:hAnsi="Arial"/>
                <w:sz w:val="18"/>
                <w:szCs w:val="18"/>
                <w:color w:val="auto"/>
              </w:rPr>
              <w:t>/s/ Anthony W. Boor</w:t>
            </w:r>
          </w:p>
        </w:tc>
        <w:tc>
          <w:tcPr>
            <w:tcW w:w="440" w:type="dxa"/>
            <w:vAlign w:val="bottom"/>
          </w:tcPr>
          <w:p>
            <w:pPr>
              <w:spacing w:after="0"/>
              <w:rPr>
                <w:sz w:val="24"/>
                <w:szCs w:val="24"/>
                <w:color w:val="auto"/>
              </w:rPr>
            </w:pPr>
          </w:p>
        </w:tc>
      </w:tr>
      <w:tr>
        <w:trPr>
          <w:trHeight w:val="27"/>
        </w:trPr>
        <w:tc>
          <w:tcPr>
            <w:tcW w:w="540" w:type="dxa"/>
            <w:vAlign w:val="bottom"/>
          </w:tcPr>
          <w:p>
            <w:pPr>
              <w:spacing w:after="0"/>
              <w:rPr>
                <w:sz w:val="2"/>
                <w:szCs w:val="2"/>
                <w:color w:val="auto"/>
              </w:rPr>
            </w:pPr>
          </w:p>
        </w:tc>
        <w:tc>
          <w:tcPr>
            <w:tcW w:w="31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r>
      <w:tr>
        <w:trPr>
          <w:trHeight w:val="237"/>
        </w:trPr>
        <w:tc>
          <w:tcPr>
            <w:tcW w:w="54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Anthony W. Boor</w:t>
            </w:r>
          </w:p>
        </w:tc>
        <w:tc>
          <w:tcPr>
            <w:tcW w:w="440" w:type="dxa"/>
            <w:vAlign w:val="bottom"/>
          </w:tcPr>
          <w:p>
            <w:pPr>
              <w:spacing w:after="0"/>
              <w:rPr>
                <w:sz w:val="20"/>
                <w:szCs w:val="20"/>
                <w:color w:val="auto"/>
              </w:rPr>
            </w:pPr>
          </w:p>
        </w:tc>
      </w:tr>
      <w:tr>
        <w:trPr>
          <w:trHeight w:val="270"/>
        </w:trPr>
        <w:tc>
          <w:tcPr>
            <w:tcW w:w="5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440" w:type="dxa"/>
            <w:vAlign w:val="bottom"/>
          </w:tcPr>
          <w:p>
            <w:pPr>
              <w:spacing w:after="0"/>
              <w:rPr>
                <w:sz w:val="23"/>
                <w:szCs w:val="23"/>
                <w:color w:val="auto"/>
              </w:rPr>
            </w:pPr>
          </w:p>
        </w:tc>
      </w:tr>
      <w:tr>
        <w:trPr>
          <w:trHeight w:val="270"/>
        </w:trPr>
        <w:tc>
          <w:tcPr>
            <w:tcW w:w="54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446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440" w:type="dxa"/>
            <w:vAlign w:val="bottom"/>
          </w:tcPr>
          <w:p>
            <w:pPr>
              <w:spacing w:after="0"/>
              <w:rPr>
                <w:sz w:val="23"/>
                <w:szCs w:val="23"/>
                <w:color w:val="auto"/>
              </w:rPr>
            </w:pPr>
          </w:p>
        </w:tc>
      </w:tr>
      <w:tr>
        <w:trPr>
          <w:trHeight w:val="717"/>
        </w:trPr>
        <w:tc>
          <w:tcPr>
            <w:tcW w:w="54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460" w:type="dxa"/>
            <w:vAlign w:val="bottom"/>
          </w:tcPr>
          <w:p>
            <w:pPr>
              <w:ind w:left="1360"/>
              <w:spacing w:after="0"/>
              <w:rPr>
                <w:sz w:val="20"/>
                <w:szCs w:val="20"/>
                <w:color w:val="auto"/>
              </w:rPr>
            </w:pPr>
            <w:r>
              <w:rPr>
                <w:rFonts w:ascii="Arial" w:cs="Arial" w:eastAsia="Arial" w:hAnsi="Arial"/>
                <w:sz w:val="14"/>
                <w:szCs w:val="14"/>
                <w:color w:val="auto"/>
              </w:rPr>
              <w:t>First Quarter 2022 Form 10-Q</w:t>
            </w:r>
          </w:p>
        </w:tc>
        <w:tc>
          <w:tcPr>
            <w:tcW w:w="440" w:type="dxa"/>
            <w:vAlign w:val="bottom"/>
          </w:tcPr>
          <w:p>
            <w:pPr>
              <w:jc w:val="right"/>
              <w:spacing w:after="0"/>
              <w:rPr>
                <w:sz w:val="20"/>
                <w:szCs w:val="20"/>
                <w:color w:val="auto"/>
              </w:rPr>
            </w:pPr>
            <w:r>
              <w:rPr>
                <w:rFonts w:ascii="Arial" w:cs="Arial" w:eastAsia="Arial" w:hAnsi="Arial"/>
                <w:sz w:val="14"/>
                <w:szCs w:val="14"/>
                <w:color w:val="auto"/>
              </w:rPr>
              <w:t>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6168390</wp:posOffset>
            </wp:positionH>
            <wp:positionV relativeFrom="paragraph">
              <wp:posOffset>-154940</wp:posOffset>
            </wp:positionV>
            <wp:extent cx="659765" cy="1714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659765" cy="171450"/>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31.1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Michael P. Gianoni, certify that:</w:t>
      </w:r>
    </w:p>
    <w:p>
      <w:pPr>
        <w:spacing w:after="0" w:line="171" w:lineRule="exact"/>
        <w:rPr>
          <w:sz w:val="20"/>
          <w:szCs w:val="20"/>
          <w:color w:val="auto"/>
        </w:rPr>
      </w:pPr>
    </w:p>
    <w:p>
      <w:pPr>
        <w:ind w:left="640" w:hanging="308"/>
        <w:spacing w:after="0"/>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4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Date:  May 5, 2022</w:t>
            </w:r>
          </w:p>
        </w:tc>
        <w:tc>
          <w:tcPr>
            <w:tcW w:w="2580" w:type="dxa"/>
            <w:vAlign w:val="bottom"/>
          </w:tcPr>
          <w:p>
            <w:pPr>
              <w:ind w:left="2080"/>
              <w:spacing w:after="0"/>
              <w:rPr>
                <w:sz w:val="20"/>
                <w:szCs w:val="20"/>
                <w:color w:val="auto"/>
              </w:rPr>
            </w:pPr>
            <w:r>
              <w:rPr>
                <w:rFonts w:ascii="Arial" w:cs="Arial" w:eastAsia="Arial" w:hAnsi="Arial"/>
                <w:sz w:val="18"/>
                <w:szCs w:val="18"/>
                <w:color w:val="auto"/>
              </w:rPr>
              <w:t>By:</w:t>
            </w:r>
          </w:p>
        </w:tc>
        <w:tc>
          <w:tcPr>
            <w:tcW w:w="4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Michael P. Gianoni</w:t>
            </w:r>
          </w:p>
        </w:tc>
      </w:tr>
      <w:tr>
        <w:trPr>
          <w:trHeight w:val="223"/>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Michael P. Gianoni</w:t>
            </w:r>
          </w:p>
        </w:tc>
      </w:tr>
      <w:tr>
        <w:trPr>
          <w:trHeight w:val="230"/>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1860"/>
        <w:spacing w:after="0"/>
        <w:rPr>
          <w:sz w:val="20"/>
          <w:szCs w:val="20"/>
          <w:color w:val="auto"/>
        </w:rPr>
      </w:pPr>
      <w:r>
        <w:rPr>
          <w:rFonts w:ascii="Arial" w:cs="Arial" w:eastAsia="Arial" w:hAnsi="Arial"/>
          <w:sz w:val="18"/>
          <w:szCs w:val="18"/>
          <w:b w:val="1"/>
          <w:bCs w:val="1"/>
          <w:color w:val="auto"/>
        </w:rPr>
        <w:t>CERTIFICATION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Anthony W. Boor, certify that:</w:t>
      </w:r>
    </w:p>
    <w:p>
      <w:pPr>
        <w:spacing w:after="0" w:line="171" w:lineRule="exact"/>
        <w:rPr>
          <w:sz w:val="20"/>
          <w:szCs w:val="20"/>
          <w:color w:val="auto"/>
        </w:rPr>
      </w:pPr>
    </w:p>
    <w:p>
      <w:pPr>
        <w:ind w:left="640" w:hanging="308"/>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Blackbaud, Inc.;</w:t>
      </w:r>
    </w:p>
    <w:p>
      <w:pPr>
        <w:spacing w:after="0" w:line="171" w:lineRule="exact"/>
        <w:rPr>
          <w:rFonts w:ascii="Arial" w:cs="Arial" w:eastAsia="Arial" w:hAnsi="Arial"/>
          <w:sz w:val="18"/>
          <w:szCs w:val="18"/>
          <w:color w:val="auto"/>
        </w:rPr>
      </w:pPr>
    </w:p>
    <w:p>
      <w:pPr>
        <w:ind w:left="660" w:right="80" w:hanging="328"/>
        <w:spacing w:after="0" w:line="25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7" w:lineRule="exact"/>
        <w:rPr>
          <w:rFonts w:ascii="Arial" w:cs="Arial" w:eastAsia="Arial" w:hAnsi="Arial"/>
          <w:sz w:val="18"/>
          <w:szCs w:val="18"/>
          <w:color w:val="auto"/>
        </w:rPr>
      </w:pPr>
    </w:p>
    <w:p>
      <w:pPr>
        <w:ind w:left="660" w:right="140" w:hanging="328"/>
        <w:spacing w:after="0" w:line="25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980" w:right="40" w:hanging="324"/>
        <w:spacing w:after="0" w:line="256" w:lineRule="auto"/>
        <w:tabs>
          <w:tab w:leader="none" w:pos="981"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980" w:right="360" w:hanging="324"/>
        <w:spacing w:after="0" w:line="256"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980" w:right="260" w:hanging="324"/>
        <w:spacing w:after="0" w:line="256" w:lineRule="auto"/>
        <w:tabs>
          <w:tab w:leader="none" w:pos="985" w:val="left"/>
        </w:tabs>
        <w:numPr>
          <w:ilvl w:val="1"/>
          <w:numId w:val="4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980" w:right="100" w:hanging="324"/>
        <w:spacing w:after="0" w:line="256"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360" w:hanging="328"/>
        <w:spacing w:after="0" w:line="256" w:lineRule="auto"/>
        <w:tabs>
          <w:tab w:leader="none" w:pos="64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980" w:right="260" w:hanging="324"/>
        <w:spacing w:after="0" w:line="256" w:lineRule="auto"/>
        <w:tabs>
          <w:tab w:leader="none" w:pos="981" w:val="left"/>
        </w:tabs>
        <w:numPr>
          <w:ilvl w:val="1"/>
          <w:numId w:val="4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980" w:right="200" w:hanging="324"/>
        <w:spacing w:after="0" w:line="261" w:lineRule="auto"/>
        <w:tabs>
          <w:tab w:leader="none" w:pos="968" w:val="left"/>
        </w:tabs>
        <w:numPr>
          <w:ilvl w:val="1"/>
          <w:numId w:val="4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Date:  May 5, 2022</w:t>
            </w:r>
          </w:p>
        </w:tc>
        <w:tc>
          <w:tcPr>
            <w:tcW w:w="7480" w:type="dxa"/>
            <w:vAlign w:val="bottom"/>
            <w:gridSpan w:val="2"/>
          </w:tcPr>
          <w:p>
            <w:pPr>
              <w:ind w:left="2080"/>
              <w:spacing w:after="0"/>
              <w:rPr>
                <w:sz w:val="20"/>
                <w:szCs w:val="20"/>
                <w:color w:val="auto"/>
              </w:rPr>
            </w:pPr>
            <w:r>
              <w:rPr>
                <w:rFonts w:ascii="Arial" w:cs="Arial" w:eastAsia="Arial" w:hAnsi="Arial"/>
                <w:sz w:val="18"/>
                <w:szCs w:val="18"/>
                <w:color w:val="auto"/>
              </w:rPr>
              <w:t>By:   /s/ Anthony W. Boor</w:t>
            </w:r>
          </w:p>
        </w:tc>
      </w:tr>
      <w:tr>
        <w:trPr>
          <w:trHeight w:val="223"/>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30"/>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700" w:type="dxa"/>
            <w:vAlign w:val="bottom"/>
          </w:tcPr>
          <w:p>
            <w:pPr>
              <w:spacing w:after="0"/>
              <w:rPr>
                <w:sz w:val="19"/>
                <w:szCs w:val="19"/>
                <w:color w:val="auto"/>
              </w:rPr>
            </w:pPr>
          </w:p>
        </w:tc>
        <w:tc>
          <w:tcPr>
            <w:tcW w:w="258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ectPr>
          <w:pgSz w:w="11900" w:h="16838" w:orient="portrait"/>
          <w:cols w:equalWidth="0" w:num="1">
            <w:col w:w="11240"/>
          </w:cols>
          <w:pgMar w:left="320" w:top="886" w:right="3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32.1</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March 31, 2022 as filed with the Securities and Exchange Commission on or about the date hereof (the “Report”), I, Michael P. Gianoni, President and Chief Executive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Date:  May 5, 2022</w:t>
            </w:r>
          </w:p>
        </w:tc>
        <w:tc>
          <w:tcPr>
            <w:tcW w:w="7500" w:type="dxa"/>
            <w:vAlign w:val="bottom"/>
            <w:gridSpan w:val="2"/>
          </w:tcPr>
          <w:p>
            <w:pPr>
              <w:ind w:left="2080"/>
              <w:spacing w:after="0"/>
              <w:rPr>
                <w:sz w:val="20"/>
                <w:szCs w:val="20"/>
                <w:color w:val="auto"/>
              </w:rPr>
            </w:pPr>
            <w:r>
              <w:rPr>
                <w:rFonts w:ascii="Arial" w:cs="Arial" w:eastAsia="Arial" w:hAnsi="Arial"/>
                <w:sz w:val="18"/>
                <w:szCs w:val="18"/>
                <w:color w:val="auto"/>
              </w:rPr>
              <w:t>By:   /s/ Michael P. Gianoni</w:t>
            </w:r>
          </w:p>
        </w:tc>
      </w:tr>
      <w:tr>
        <w:trPr>
          <w:trHeight w:val="223"/>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P. Gianoni</w:t>
            </w:r>
          </w:p>
        </w:tc>
      </w:tr>
      <w:tr>
        <w:trPr>
          <w:trHeight w:val="229"/>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886"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32.2</w:t>
      </w:r>
    </w:p>
    <w:p>
      <w:pPr>
        <w:spacing w:after="0" w:line="31"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Blackbaud, Inc.</w:t>
      </w:r>
    </w:p>
    <w:p>
      <w:pPr>
        <w:spacing w:after="0" w:line="149" w:lineRule="exact"/>
        <w:rPr>
          <w:sz w:val="20"/>
          <w:szCs w:val="20"/>
          <w:color w:val="auto"/>
        </w:rPr>
      </w:pPr>
    </w:p>
    <w:p>
      <w:pPr>
        <w:ind w:left="2560"/>
        <w:spacing w:after="0"/>
        <w:rPr>
          <w:sz w:val="20"/>
          <w:szCs w:val="20"/>
          <w:color w:val="auto"/>
        </w:rPr>
      </w:pPr>
      <w:r>
        <w:rPr>
          <w:rFonts w:ascii="Arial" w:cs="Arial" w:eastAsia="Arial" w:hAnsi="Arial"/>
          <w:sz w:val="18"/>
          <w:szCs w:val="18"/>
          <w:b w:val="1"/>
          <w:bCs w:val="1"/>
          <w:color w:val="auto"/>
        </w:rPr>
        <w:t>CERTIFICATION PURSUANT TO 18 U.S.C. SECTION 1350, AS ADOPTED</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the Quarterly Report on Form 10-Q of Blackbaud, Inc. (the “Company”) for the period ended March 31, 2022 as filed with the Securities and Exchange Commission on or about the date hereof (the “Report”), I, Anthony W. Boor, Executive Vice President and Chief Financial Officer, hereby certify, pursuant to 18 U.S.C. 1350, as adopted pursuant to Section 906 of the Sarbanes-Oxley Act of 2002, that, to my knowledge:</w:t>
      </w:r>
    </w:p>
    <w:p>
      <w:pPr>
        <w:spacing w:after="0" w:line="150" w:lineRule="exact"/>
        <w:rPr>
          <w:sz w:val="20"/>
          <w:szCs w:val="20"/>
          <w:color w:val="auto"/>
        </w:rPr>
      </w:pPr>
    </w:p>
    <w:p>
      <w:pPr>
        <w:ind w:left="640" w:hanging="308"/>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20" w:hanging="328"/>
        <w:spacing w:after="0" w:line="261" w:lineRule="auto"/>
        <w:tabs>
          <w:tab w:leader="none" w:pos="648"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700" w:type="dxa"/>
            <w:vAlign w:val="bottom"/>
          </w:tcPr>
          <w:p>
            <w:pPr>
              <w:spacing w:after="0"/>
              <w:rPr>
                <w:sz w:val="20"/>
                <w:szCs w:val="20"/>
                <w:color w:val="auto"/>
              </w:rPr>
            </w:pPr>
            <w:r>
              <w:rPr>
                <w:rFonts w:ascii="Arial" w:cs="Arial" w:eastAsia="Arial" w:hAnsi="Arial"/>
                <w:sz w:val="18"/>
                <w:szCs w:val="18"/>
                <w:color w:val="auto"/>
              </w:rPr>
              <w:t>Date:  May 5, 2022</w:t>
            </w:r>
          </w:p>
        </w:tc>
        <w:tc>
          <w:tcPr>
            <w:tcW w:w="7500" w:type="dxa"/>
            <w:vAlign w:val="bottom"/>
            <w:gridSpan w:val="2"/>
          </w:tcPr>
          <w:p>
            <w:pPr>
              <w:ind w:left="2080"/>
              <w:spacing w:after="0"/>
              <w:rPr>
                <w:sz w:val="20"/>
                <w:szCs w:val="20"/>
                <w:color w:val="auto"/>
              </w:rPr>
            </w:pPr>
            <w:r>
              <w:rPr>
                <w:rFonts w:ascii="Arial" w:cs="Arial" w:eastAsia="Arial" w:hAnsi="Arial"/>
                <w:sz w:val="18"/>
                <w:szCs w:val="18"/>
                <w:color w:val="auto"/>
              </w:rPr>
              <w:t>By:   /s/ Anthony W. Boor</w:t>
            </w:r>
          </w:p>
        </w:tc>
      </w:tr>
      <w:tr>
        <w:trPr>
          <w:trHeight w:val="223"/>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Anthony W. Boor</w:t>
            </w:r>
          </w:p>
        </w:tc>
      </w:tr>
      <w:tr>
        <w:trPr>
          <w:trHeight w:val="229"/>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30"/>
        </w:trPr>
        <w:tc>
          <w:tcPr>
            <w:tcW w:w="37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r>
    </w:tbl>
    <w:p>
      <w:pPr>
        <w:spacing w:after="0" w:line="1" w:lineRule="exact"/>
        <w:rPr>
          <w:sz w:val="20"/>
          <w:szCs w:val="20"/>
          <w:color w:val="auto"/>
        </w:rPr>
      </w:pPr>
    </w:p>
    <w:sectPr>
      <w:pgSz w:w="11900" w:h="16838" w:orient="portrait"/>
      <w:cols w:equalWidth="0" w:num="1">
        <w:col w:w="11240"/>
      </w:cols>
      <w:pgMar w:left="320" w:top="88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emdash "/>
      <w:numFmt w:val="bullet"/>
      <w:start w:val="1"/>
    </w:lvl>
  </w:abstractNum>
  <w:abstractNum w:abstractNumId="3">
    <w:nsid w:val="8EDBDAB"/>
    <w:multiLevelType w:val="hybridMultilevel"/>
    <w:lvl w:ilvl="0">
      <w:lvlJc w:val="left"/>
      <w:lvlText w:val="(%1)"/>
      <w:numFmt w:val="decimal"/>
      <w:start w:val="504"/>
    </w:lvl>
  </w:abstractNum>
  <w:abstractNum w:abstractNumId="4">
    <w:nsid w:val="79838CB2"/>
    <w:multiLevelType w:val="hybridMultilevel"/>
    <w:lvl w:ilvl="0">
      <w:lvlJc w:val="left"/>
      <w:lvlText w:val="(%1)"/>
      <w:numFmt w:val="decimal"/>
      <w:start w:val="1"/>
    </w:lvl>
  </w:abstractNum>
  <w:abstractNum w:abstractNumId="5">
    <w:nsid w:val="4353D0CD"/>
    <w:multiLevelType w:val="hybridMultilevel"/>
    <w:lvl w:ilvl="0">
      <w:lvlJc w:val="left"/>
      <w:lvlText w:val="6"/>
      <w:numFmt w:val="bullet"/>
      <w:start w:val="1"/>
    </w:lvl>
  </w:abstractNum>
  <w:abstractNum w:abstractNumId="6">
    <w:nsid w:val="B03E0C6"/>
    <w:multiLevelType w:val="hybridMultilevel"/>
    <w:lvl w:ilvl="0">
      <w:lvlJc w:val="left"/>
      <w:lvlText w:val="(%1)"/>
      <w:numFmt w:val="decimal"/>
      <w:start w:val="1"/>
    </w:lvl>
    <w:lvl w:ilvl="1">
      <w:lvlJc w:val="left"/>
      <w:lvlText w:val="%2."/>
      <w:numFmt w:val="decimal"/>
      <w:start w:val="5"/>
    </w:lvl>
  </w:abstractNum>
  <w:abstractNum w:abstractNumId="7">
    <w:nsid w:val="189A769B"/>
    <w:multiLevelType w:val="hybridMultilevel"/>
    <w:lvl w:ilvl="0">
      <w:lvlJc w:val="left"/>
      <w:lvlText w:val="•"/>
      <w:numFmt w:val="bullet"/>
      <w:start w:val="1"/>
    </w:lvl>
  </w:abstractNum>
  <w:abstractNum w:abstractNumId="8">
    <w:nsid w:val="54E49EB4"/>
    <w:multiLevelType w:val="hybridMultilevel"/>
    <w:lvl w:ilvl="0">
      <w:lvlJc w:val="left"/>
      <w:lvlText w:val="(%1)"/>
      <w:numFmt w:val="decimal"/>
      <w:start w:val="1"/>
    </w:lvl>
  </w:abstractNum>
  <w:abstractNum w:abstractNumId="9">
    <w:nsid w:val="71F32454"/>
    <w:multiLevelType w:val="hybridMultilevel"/>
    <w:lvl w:ilvl="0">
      <w:lvlJc w:val="left"/>
      <w:lvlText w:val="(%1)"/>
      <w:numFmt w:val="decimal"/>
      <w:start w:val="1"/>
    </w:lvl>
  </w:abstractNum>
  <w:abstractNum w:abstractNumId="10">
    <w:nsid w:val="2CA88611"/>
    <w:multiLevelType w:val="hybridMultilevel"/>
    <w:lvl w:ilvl="0">
      <w:lvlJc w:val="left"/>
      <w:lvlText w:val="(%1)"/>
      <w:numFmt w:val="decimal"/>
      <w:start w:val="3"/>
    </w:lvl>
    <w:lvl w:ilvl="1">
      <w:lvlJc w:val="left"/>
      <w:lvlText w:val="%2."/>
      <w:numFmt w:val="decimal"/>
      <w:start w:val="8"/>
    </w:lvl>
  </w:abstractNum>
  <w:abstractNum w:abstractNumId="11">
    <w:nsid w:val="836C40E"/>
    <w:multiLevelType w:val="hybridMultilevel"/>
    <w:lvl w:ilvl="0">
      <w:lvlJc w:val="left"/>
      <w:lvlText w:val="(%1)"/>
      <w:numFmt w:val="decimal"/>
      <w:start w:val="1"/>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
      <w:numFmt w:val="bullet"/>
      <w:start w:val="1"/>
    </w:lvl>
  </w:abstractNum>
  <w:abstractNum w:abstractNumId="14">
    <w:nsid w:val="8138641"/>
    <w:multiLevelType w:val="hybridMultilevel"/>
    <w:lvl w:ilvl="0">
      <w:lvlJc w:val="left"/>
      <w:lvlText w:val="(%1)"/>
      <w:numFmt w:val="decimal"/>
      <w:start w:val="1"/>
    </w:lvl>
  </w:abstractNum>
  <w:abstractNum w:abstractNumId="15">
    <w:nsid w:val="1E7FF521"/>
    <w:multiLevelType w:val="hybridMultilevel"/>
    <w:lvl w:ilvl="0">
      <w:lvlJc w:val="left"/>
      <w:lvlText w:val="1"/>
      <w:numFmt w:val="bullet"/>
      <w:start w:val="1"/>
    </w:lvl>
  </w:abstractNum>
  <w:abstractNum w:abstractNumId="16">
    <w:nsid w:val="7C3DBD3D"/>
    <w:multiLevelType w:val="hybridMultilevel"/>
    <w:lvl w:ilvl="0">
      <w:lvlJc w:val="left"/>
      <w:lvlText w:val="2"/>
      <w:numFmt w:val="bullet"/>
      <w:start w:val="1"/>
    </w:lvl>
  </w:abstractNum>
  <w:abstractNum w:abstractNumId="17">
    <w:nsid w:val="737B8DDC"/>
    <w:multiLevelType w:val="hybridMultilevel"/>
    <w:lvl w:ilvl="0">
      <w:lvlJc w:val="left"/>
      <w:lvlText w:val="3"/>
      <w:numFmt w:val="bullet"/>
      <w:start w:val="1"/>
    </w:lvl>
  </w:abstractNum>
  <w:abstractNum w:abstractNumId="18">
    <w:nsid w:val="6CEAF087"/>
    <w:multiLevelType w:val="hybridMultilevel"/>
    <w:lvl w:ilvl="0">
      <w:lvlJc w:val="left"/>
      <w:lvlText w:val="%1."/>
      <w:numFmt w:val="decimal"/>
      <w:start w:val="1"/>
    </w:lvl>
  </w:abstractNum>
  <w:abstractNum w:abstractNumId="19">
    <w:nsid w:val="22221A70"/>
    <w:multiLevelType w:val="hybridMultilevel"/>
    <w:lvl w:ilvl="0">
      <w:lvlJc w:val="left"/>
      <w:lvlText w:val="+"/>
      <w:numFmt w:val="bullet"/>
      <w:start w:val="1"/>
    </w:lvl>
    <w:lvl w:ilvl="1">
      <w:lvlJc w:val="left"/>
      <w:lvlText w:val="•"/>
      <w:numFmt w:val="bullet"/>
      <w:start w:val="1"/>
    </w:lvl>
  </w:abstractNum>
  <w:abstractNum w:abstractNumId="20">
    <w:nsid w:val="4516DDE9"/>
    <w:multiLevelType w:val="hybridMultilevel"/>
    <w:lvl w:ilvl="0">
      <w:lvlJc w:val="left"/>
      <w:lvlText w:val="-"/>
      <w:numFmt w:val="bullet"/>
      <w:start w:val="1"/>
    </w:lvl>
  </w:abstractNum>
  <w:abstractNum w:abstractNumId="21">
    <w:nsid w:val="3006C83E"/>
    <w:multiLevelType w:val="hybridMultilevel"/>
    <w:lvl w:ilvl="0">
      <w:lvlJc w:val="left"/>
      <w:lvlText w:val="+"/>
      <w:numFmt w:val="bullet"/>
      <w:start w:val="1"/>
    </w:lvl>
  </w:abstractNum>
  <w:abstractNum w:abstractNumId="22">
    <w:nsid w:val="614FD4A1"/>
    <w:multiLevelType w:val="hybridMultilevel"/>
    <w:lvl w:ilvl="0">
      <w:lvlJc w:val="left"/>
      <w:lvlText w:val="-"/>
      <w:numFmt w:val="bullet"/>
      <w:start w:val="1"/>
    </w:lvl>
  </w:abstractNum>
  <w:abstractNum w:abstractNumId="23">
    <w:nsid w:val="419AC241"/>
    <w:multiLevelType w:val="hybridMultilevel"/>
    <w:lvl w:ilvl="0">
      <w:lvlJc w:val="left"/>
      <w:lvlText w:val="+"/>
      <w:numFmt w:val="bullet"/>
      <w:start w:val="1"/>
    </w:lvl>
  </w:abstractNum>
  <w:abstractNum w:abstractNumId="24">
    <w:nsid w:val="5577F8E1"/>
    <w:multiLevelType w:val="hybridMultilevel"/>
    <w:lvl w:ilvl="0">
      <w:lvlJc w:val="left"/>
      <w:lvlText w:val="+"/>
      <w:numFmt w:val="bullet"/>
      <w:start w:val="1"/>
    </w:lvl>
  </w:abstractNum>
  <w:abstractNum w:abstractNumId="25">
    <w:nsid w:val="440BADFC"/>
    <w:multiLevelType w:val="hybridMultilevel"/>
    <w:lvl w:ilvl="0">
      <w:lvlJc w:val="left"/>
      <w:lvlText w:val="+"/>
      <w:numFmt w:val="bullet"/>
      <w:start w:val="1"/>
    </w:lvl>
  </w:abstractNum>
  <w:abstractNum w:abstractNumId="26">
    <w:nsid w:val="5072367"/>
    <w:multiLevelType w:val="hybridMultilevel"/>
    <w:lvl w:ilvl="0">
      <w:lvlJc w:val="left"/>
      <w:lvlText w:val="-"/>
      <w:numFmt w:val="bullet"/>
      <w:start w:val="1"/>
    </w:lvl>
  </w:abstractNum>
  <w:abstractNum w:abstractNumId="27">
    <w:nsid w:val="3804823E"/>
    <w:multiLevelType w:val="hybridMultilevel"/>
    <w:lvl w:ilvl="0">
      <w:lvlJc w:val="left"/>
      <w:lvlText w:val="-"/>
      <w:numFmt w:val="bullet"/>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
      <w:numFmt w:val="bullet"/>
      <w:start w:val="1"/>
    </w:lvl>
  </w:abstractNum>
  <w:abstractNum w:abstractNumId="33">
    <w:nsid w:val="51EAD36B"/>
    <w:multiLevelType w:val="hybridMultilevel"/>
    <w:lvl w:ilvl="0">
      <w:lvlJc w:val="left"/>
      <w:lvlText w:val="(%1)"/>
      <w:numFmt w:val="decimal"/>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decimal"/>
      <w:start w:val="1"/>
    </w:lvl>
  </w:abstractNum>
  <w:abstractNum w:abstractNumId="36">
    <w:nsid w:val="153EA438"/>
    <w:multiLevelType w:val="hybridMultilevel"/>
    <w:lvl w:ilvl="0">
      <w:lvlJc w:val="left"/>
      <w:lvlText w:val="(%1)"/>
      <w:numFmt w:val="decimal"/>
      <w:start w:val="1"/>
    </w:lvl>
  </w:abstractNum>
  <w:abstractNum w:abstractNumId="37">
    <w:nsid w:val="3855585C"/>
    <w:multiLevelType w:val="hybridMultilevel"/>
    <w:lvl w:ilvl="0">
      <w:lvlJc w:val="left"/>
      <w:lvlText w:val="•"/>
      <w:numFmt w:val="bullet"/>
      <w:start w:val="1"/>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1"/>
    </w:lvl>
  </w:abstractNum>
  <w:abstractNum w:abstractNumId="40">
    <w:nsid w:val="2A487CB0"/>
    <w:multiLevelType w:val="hybridMultilevel"/>
    <w:lvl w:ilvl="0">
      <w:lvlJc w:val="left"/>
      <w:lvlText w:val="(%1)"/>
      <w:numFmt w:val="decimal"/>
      <w:start w:val="1"/>
    </w:lvl>
  </w:abstractNum>
  <w:abstractNum w:abstractNumId="41">
    <w:nsid w:val="1D4ED43B"/>
    <w:multiLevelType w:val="hybridMultilevel"/>
    <w:lvl w:ilvl="0">
      <w:lvlJc w:val="left"/>
      <w:lvlText w:val="%1."/>
      <w:numFmt w:val="decimal"/>
      <w:start w:val="1"/>
    </w:lvl>
    <w:lvl w:ilvl="1">
      <w:lvlJc w:val="left"/>
      <w:lvlText w:val="%2."/>
      <w:numFmt w:val="lowerLetter"/>
      <w:start w:val="1"/>
    </w:lvl>
  </w:abstractNum>
  <w:abstractNum w:abstractNumId="42">
    <w:nsid w:val="725A06FB"/>
    <w:multiLevelType w:val="hybridMultilevel"/>
    <w:lvl w:ilvl="0">
      <w:lvlJc w:val="left"/>
      <w:lvlText w:val="%1."/>
      <w:numFmt w:val="decimal"/>
      <w:start w:val="1"/>
    </w:lvl>
    <w:lvl w:ilvl="1">
      <w:lvlJc w:val="left"/>
      <w:lvlText w:val="%2."/>
      <w:numFmt w:val="lowerLetter"/>
      <w:start w:val="1"/>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jpe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jpe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jpe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png"/><Relationship Id="rId203"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jpeg"/><Relationship Id="rId210" Type="http://schemas.openxmlformats.org/officeDocument/2006/relationships/image" Target="media/image202.jpeg"/><Relationship Id="rId211" Type="http://schemas.openxmlformats.org/officeDocument/2006/relationships/image" Target="media/image203.jpeg"/><Relationship Id="rId204" Type="http://schemas.openxmlformats.org/officeDocument/2006/relationships/hyperlink" Target="https://www.sec.gov/Archives/edgar/data/1280058/000128005822000005/exhibit101jan3120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2022-05-06T12:01:46Z</dcterms:created>
  <dcterms:modified xsi:type="dcterms:W3CDTF">2022-05-06T12:01:46Z</dcterms:modified>
</cp:coreProperties>
</file>