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18"/>
          <w:szCs w:val="18"/>
          <w:b w:val="1"/>
          <w:bCs w:val="1"/>
          <w:color w:val="51555C"/>
        </w:rPr>
        <w:t>UNITED STATES</w:t>
      </w: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SECURITIES AND EXCHANGE COMMISSION</w:t>
      </w: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Washington, D.C. 20549</w:t>
      </w: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FORM 8-K</w:t>
      </w: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CURRENT REPORT</w:t>
      </w:r>
    </w:p>
    <w:p>
      <w:pPr>
        <w:spacing w:after="0" w:line="163"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color w:val="51555C"/>
        </w:rPr>
        <w:t>Pursuant to Secton 13 or 15(d) of the Securites Exchange Act of 1934</w:t>
      </w:r>
    </w:p>
    <w:p>
      <w:pPr>
        <w:spacing w:after="0" w:line="16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 xml:space="preserve">Date of Report (Date of earliest event reported): </w:t>
      </w:r>
      <w:r>
        <w:rPr>
          <w:rFonts w:ascii="Calibri" w:cs="Calibri" w:eastAsia="Calibri" w:hAnsi="Calibri"/>
          <w:sz w:val="18"/>
          <w:szCs w:val="18"/>
          <w:b w:val="1"/>
          <w:bCs w:val="1"/>
          <w:color w:val="51555C"/>
        </w:rPr>
        <w:t>February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168910</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p>
      <w:pPr>
        <w:spacing w:after="0" w:line="200" w:lineRule="exact"/>
        <w:rPr>
          <w:sz w:val="24"/>
          <w:szCs w:val="24"/>
          <w:color w:val="auto"/>
        </w:rPr>
      </w:pPr>
    </w:p>
    <w:p>
      <w:pPr>
        <w:spacing w:after="0" w:line="341" w:lineRule="exact"/>
        <w:rPr>
          <w:sz w:val="24"/>
          <w:szCs w:val="24"/>
          <w:color w:val="auto"/>
        </w:rPr>
      </w:pPr>
    </w:p>
    <w:p>
      <w:pPr>
        <w:ind w:left="1520"/>
        <w:spacing w:after="0"/>
        <w:rPr>
          <w:sz w:val="20"/>
          <w:szCs w:val="20"/>
          <w:color w:val="auto"/>
        </w:rPr>
      </w:pPr>
      <w:r>
        <w:rPr>
          <w:rFonts w:ascii="Calibri" w:cs="Calibri" w:eastAsia="Calibri" w:hAnsi="Calibri"/>
          <w:sz w:val="17"/>
          <w:szCs w:val="17"/>
          <w:b w:val="1"/>
          <w:bCs w:val="1"/>
          <w:color w:val="51555C"/>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ind w:right="2220"/>
        <w:spacing w:after="0"/>
        <w:rPr>
          <w:sz w:val="20"/>
          <w:szCs w:val="20"/>
          <w:color w:val="auto"/>
        </w:rPr>
      </w:pPr>
      <w:r>
        <w:rPr>
          <w:rFonts w:ascii="Calibri" w:cs="Calibri" w:eastAsia="Calibri" w:hAnsi="Calibri"/>
          <w:sz w:val="17"/>
          <w:szCs w:val="17"/>
          <w:b w:val="1"/>
          <w:bCs w:val="1"/>
          <w:color w:val="51555C"/>
        </w:rPr>
        <w:t>000-50600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51555C"/>
        </w:rPr>
        <w:t>11-2617163</w:t>
      </w:r>
    </w:p>
    <w:p>
      <w:pPr>
        <w:spacing w:after="0" w:line="62" w:lineRule="exact"/>
        <w:rPr>
          <w:sz w:val="24"/>
          <w:szCs w:val="24"/>
          <w:color w:val="auto"/>
        </w:rPr>
      </w:pPr>
    </w:p>
    <w:p>
      <w:pPr>
        <w:sectPr>
          <w:pgSz w:w="11900" w:h="16838" w:orient="portrait"/>
          <w:cols w:equalWidth="0" w:num="3">
            <w:col w:w="4500" w:space="720"/>
            <w:col w:w="3000" w:space="720"/>
            <w:col w:w="2300"/>
          </w:cols>
          <w:pgMar w:left="320" w:top="1206" w:right="339" w:bottom="1440" w:gutter="0" w:footer="0" w:header="0"/>
          <w:type w:val="continuous"/>
        </w:sectPr>
      </w:pPr>
    </w:p>
    <w:p>
      <w:pPr>
        <w:ind w:left="320"/>
        <w:spacing w:after="0"/>
        <w:rPr>
          <w:sz w:val="20"/>
          <w:szCs w:val="20"/>
          <w:color w:val="auto"/>
        </w:rPr>
      </w:pPr>
      <w:r>
        <w:rPr>
          <w:rFonts w:ascii="Calibri" w:cs="Calibri" w:eastAsia="Calibri" w:hAnsi="Calibri"/>
          <w:sz w:val="17"/>
          <w:szCs w:val="17"/>
          <w:color w:val="51555C"/>
        </w:rPr>
        <w:t>(State or other jurisdicton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51555C"/>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51555C"/>
        </w:rPr>
        <w:t>(IRS Employer ID Number)</w:t>
      </w:r>
    </w:p>
    <w:p>
      <w:pPr>
        <w:spacing w:after="0" w:line="200" w:lineRule="exact"/>
        <w:rPr>
          <w:sz w:val="24"/>
          <w:szCs w:val="24"/>
          <w:color w:val="auto"/>
        </w:rPr>
      </w:pPr>
    </w:p>
    <w:p>
      <w:pPr>
        <w:sectPr>
          <w:pgSz w:w="11900" w:h="16838" w:orient="portrait"/>
          <w:cols w:equalWidth="0" w:num="3">
            <w:col w:w="3940" w:space="720"/>
            <w:col w:w="3060" w:space="720"/>
            <w:col w:w="2800"/>
          </w:cols>
          <w:pgMar w:left="320" w:top="1206" w:right="339" w:bottom="1440" w:gutter="0" w:footer="0" w:header="0"/>
          <w:type w:val="continuous"/>
        </w:sectPr>
      </w:pPr>
    </w:p>
    <w:p>
      <w:pPr>
        <w:spacing w:after="0" w:line="92"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b w:val="1"/>
          <w:bCs w:val="1"/>
          <w:color w:val="51555C"/>
        </w:rPr>
        <w:t>65 Fairchild Street, Charleston, South Carolina 29492</w:t>
      </w:r>
    </w:p>
    <w:p>
      <w:pPr>
        <w:spacing w:after="0" w:line="16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(Address of principal executve ofces) (Zip Code)</w:t>
      </w:r>
    </w:p>
    <w:p>
      <w:pPr>
        <w:sectPr>
          <w:pgSz w:w="11900" w:h="16838" w:orient="portrait"/>
          <w:cols w:equalWidth="0" w:num="1">
            <w:col w:w="11240"/>
          </w:cols>
          <w:pgMar w:left="320" w:top="1206" w:right="339"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 xml:space="preserve">Registrant’s telephone number, including area code: </w:t>
      </w:r>
      <w:r>
        <w:rPr>
          <w:rFonts w:ascii="Calibri" w:cs="Calibri" w:eastAsia="Calibri" w:hAnsi="Calibri"/>
          <w:sz w:val="18"/>
          <w:szCs w:val="18"/>
          <w:b w:val="1"/>
          <w:bCs w:val="1"/>
          <w:color w:val="51555C"/>
        </w:rPr>
        <w:t>(843) 216-6200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40575" cy="1045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0458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ind w:left="40" w:right="660"/>
        <w:spacing w:after="0" w:line="235" w:lineRule="auto"/>
        <w:rPr>
          <w:sz w:val="20"/>
          <w:szCs w:val="20"/>
          <w:color w:val="auto"/>
        </w:rPr>
      </w:pPr>
      <w:r>
        <w:rPr>
          <w:rFonts w:ascii="Calibri" w:cs="Calibri" w:eastAsia="Calibri" w:hAnsi="Calibri"/>
          <w:sz w:val="18"/>
          <w:szCs w:val="18"/>
          <w:b w:val="1"/>
          <w:bCs w:val="1"/>
          <w:color w:val="51555C"/>
        </w:rPr>
        <w:t>Check the appropriate box below if the Form 8-K fling is intended to simultaneously satsfy the fling obligaton of the registrant under any of the following provisions:</w:t>
      </w:r>
    </w:p>
    <w:p>
      <w:pPr>
        <w:spacing w:after="0" w:line="64"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Calibri" w:cs="Calibri" w:eastAsia="Calibri" w:hAnsi="Calibri"/>
          <w:sz w:val="18"/>
          <w:szCs w:val="18"/>
          <w:color w:val="51555C"/>
        </w:rPr>
        <w:t>Writen communicatons pursuant to Rule 425 under the Securites Act (17 CFR 230.425)</w:t>
      </w:r>
    </w:p>
    <w:p>
      <w:pPr>
        <w:spacing w:after="0" w:line="63"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Calibri" w:cs="Calibri" w:eastAsia="Calibri" w:hAnsi="Calibri"/>
          <w:sz w:val="18"/>
          <w:szCs w:val="18"/>
          <w:color w:val="51555C"/>
        </w:rPr>
        <w:t>Solicitng material pursuant to Rule 14a-12 under the Exchange Act (17 CFR 240.14a-12)</w:t>
      </w:r>
    </w:p>
    <w:p>
      <w:pPr>
        <w:spacing w:after="0" w:line="63"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Calibri" w:cs="Calibri" w:eastAsia="Calibri" w:hAnsi="Calibri"/>
          <w:sz w:val="18"/>
          <w:szCs w:val="18"/>
          <w:color w:val="51555C"/>
        </w:rPr>
        <w:t>Pre-commencement communicatons pursuant to Rule 14d-2(b) under the Exchange Act (17 CFR 240.14d-2(b))</w:t>
      </w:r>
    </w:p>
    <w:p>
      <w:pPr>
        <w:spacing w:after="0" w:line="63"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Calibri" w:cs="Calibri" w:eastAsia="Calibri" w:hAnsi="Calibri"/>
          <w:sz w:val="18"/>
          <w:szCs w:val="18"/>
          <w:color w:val="51555C"/>
        </w:rPr>
        <w:t>Pre-commencement communicatons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3"/>
          </w:tcPr>
          <w:p>
            <w:pPr>
              <w:ind w:left="20"/>
              <w:spacing w:after="0"/>
              <w:rPr>
                <w:sz w:val="20"/>
                <w:szCs w:val="20"/>
                <w:color w:val="auto"/>
              </w:rPr>
            </w:pPr>
            <w:r>
              <w:rPr>
                <w:rFonts w:ascii="Calibri" w:cs="Calibri" w:eastAsia="Calibri" w:hAnsi="Calibri"/>
                <w:sz w:val="18"/>
                <w:szCs w:val="18"/>
                <w:color w:val="51555C"/>
              </w:rPr>
              <w:t>Securites Registered Pursuant to Secton 12(b) of the Act:</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9"/>
        </w:trPr>
        <w:tc>
          <w:tcPr>
            <w:tcW w:w="1500" w:type="dxa"/>
            <w:vAlign w:val="bottom"/>
          </w:tcPr>
          <w:p>
            <w:pPr>
              <w:spacing w:after="0"/>
              <w:rPr>
                <w:sz w:val="20"/>
                <w:szCs w:val="20"/>
                <w:color w:val="auto"/>
              </w:rPr>
            </w:pPr>
          </w:p>
        </w:tc>
        <w:tc>
          <w:tcPr>
            <w:tcW w:w="1280" w:type="dxa"/>
            <w:vAlign w:val="bottom"/>
            <w:tcBorders>
              <w:bottom w:val="single" w:sz="8" w:color="51555C"/>
            </w:tcBorders>
          </w:tcPr>
          <w:p>
            <w:pPr>
              <w:jc w:val="center"/>
              <w:spacing w:after="0"/>
              <w:rPr>
                <w:sz w:val="20"/>
                <w:szCs w:val="20"/>
                <w:color w:val="auto"/>
              </w:rPr>
            </w:pPr>
            <w:r>
              <w:rPr>
                <w:rFonts w:ascii="Calibri" w:cs="Calibri" w:eastAsia="Calibri" w:hAnsi="Calibri"/>
                <w:sz w:val="18"/>
                <w:szCs w:val="18"/>
                <w:color w:val="51555C"/>
                <w:w w:val="98"/>
              </w:rPr>
              <w:t>Title of Each Class</w:t>
            </w:r>
          </w:p>
        </w:tc>
        <w:tc>
          <w:tcPr>
            <w:tcW w:w="2160" w:type="dxa"/>
            <w:vAlign w:val="bottom"/>
          </w:tcPr>
          <w:p>
            <w:pPr>
              <w:spacing w:after="0"/>
              <w:rPr>
                <w:sz w:val="20"/>
                <w:szCs w:val="20"/>
                <w:color w:val="auto"/>
              </w:rPr>
            </w:pPr>
          </w:p>
        </w:tc>
        <w:tc>
          <w:tcPr>
            <w:tcW w:w="1260" w:type="dxa"/>
            <w:vAlign w:val="bottom"/>
            <w:tcBorders>
              <w:bottom w:val="single" w:sz="8" w:color="51555C"/>
            </w:tcBorders>
          </w:tcPr>
          <w:p>
            <w:pPr>
              <w:jc w:val="center"/>
              <w:spacing w:after="0"/>
              <w:rPr>
                <w:sz w:val="20"/>
                <w:szCs w:val="20"/>
                <w:color w:val="auto"/>
              </w:rPr>
            </w:pPr>
            <w:r>
              <w:rPr>
                <w:rFonts w:ascii="Calibri" w:cs="Calibri" w:eastAsia="Calibri" w:hAnsi="Calibri"/>
                <w:sz w:val="18"/>
                <w:szCs w:val="18"/>
                <w:color w:val="51555C"/>
                <w:w w:val="96"/>
              </w:rPr>
              <w:t>Trading Symbol(s)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80" w:type="dxa"/>
            <w:vAlign w:val="bottom"/>
            <w:tcBorders>
              <w:bottom w:val="single" w:sz="8" w:color="51555C"/>
            </w:tcBorders>
          </w:tcPr>
          <w:p>
            <w:pPr>
              <w:jc w:val="center"/>
              <w:spacing w:after="0"/>
              <w:rPr>
                <w:sz w:val="20"/>
                <w:szCs w:val="20"/>
                <w:color w:val="auto"/>
              </w:rPr>
            </w:pPr>
            <w:r>
              <w:rPr>
                <w:rFonts w:ascii="Calibri" w:cs="Calibri" w:eastAsia="Calibri" w:hAnsi="Calibri"/>
                <w:sz w:val="18"/>
                <w:szCs w:val="18"/>
                <w:color w:val="51555C"/>
                <w:w w:val="97"/>
              </w:rPr>
              <w:t>Name of Each Exchange on which Registered</w:t>
            </w:r>
          </w:p>
        </w:tc>
        <w:tc>
          <w:tcPr>
            <w:tcW w:w="600" w:type="dxa"/>
            <w:vAlign w:val="bottom"/>
          </w:tcPr>
          <w:p>
            <w:pPr>
              <w:spacing w:after="0"/>
              <w:rPr>
                <w:sz w:val="20"/>
                <w:szCs w:val="20"/>
                <w:color w:val="auto"/>
              </w:rPr>
            </w:pPr>
          </w:p>
        </w:tc>
      </w:tr>
      <w:tr>
        <w:trPr>
          <w:trHeight w:val="281"/>
        </w:trPr>
        <w:tc>
          <w:tcPr>
            <w:tcW w:w="4940" w:type="dxa"/>
            <w:vAlign w:val="bottom"/>
            <w:gridSpan w:val="3"/>
          </w:tcPr>
          <w:p>
            <w:pPr>
              <w:jc w:val="center"/>
              <w:ind w:right="660"/>
              <w:spacing w:after="0"/>
              <w:rPr>
                <w:sz w:val="20"/>
                <w:szCs w:val="20"/>
                <w:color w:val="auto"/>
              </w:rPr>
            </w:pPr>
            <w:r>
              <w:rPr>
                <w:rFonts w:ascii="Calibri" w:cs="Calibri" w:eastAsia="Calibri" w:hAnsi="Calibri"/>
                <w:sz w:val="18"/>
                <w:szCs w:val="18"/>
                <w:b w:val="1"/>
                <w:bCs w:val="1"/>
                <w:color w:val="51555C"/>
                <w:w w:val="97"/>
              </w:rPr>
              <w:t>Common Stock, $0.001 Par Value</w:t>
            </w:r>
          </w:p>
        </w:tc>
        <w:tc>
          <w:tcPr>
            <w:tcW w:w="1880" w:type="dxa"/>
            <w:vAlign w:val="bottom"/>
            <w:gridSpan w:val="2"/>
          </w:tcPr>
          <w:p>
            <w:pPr>
              <w:jc w:val="center"/>
              <w:ind w:right="640"/>
              <w:spacing w:after="0"/>
              <w:rPr>
                <w:sz w:val="20"/>
                <w:szCs w:val="20"/>
                <w:color w:val="auto"/>
              </w:rPr>
            </w:pPr>
            <w:r>
              <w:rPr>
                <w:rFonts w:ascii="Calibri" w:cs="Calibri" w:eastAsia="Calibri" w:hAnsi="Calibri"/>
                <w:sz w:val="18"/>
                <w:szCs w:val="18"/>
                <w:b w:val="1"/>
                <w:bCs w:val="1"/>
                <w:color w:val="51555C"/>
                <w:w w:val="95"/>
              </w:rPr>
              <w:t>BLKB</w:t>
            </w:r>
          </w:p>
        </w:tc>
        <w:tc>
          <w:tcPr>
            <w:tcW w:w="640" w:type="dxa"/>
            <w:vAlign w:val="bottom"/>
          </w:tcPr>
          <w:p>
            <w:pPr>
              <w:spacing w:after="0"/>
              <w:rPr>
                <w:sz w:val="24"/>
                <w:szCs w:val="24"/>
                <w:color w:val="auto"/>
              </w:rPr>
            </w:pPr>
          </w:p>
        </w:tc>
        <w:tc>
          <w:tcPr>
            <w:tcW w:w="3780" w:type="dxa"/>
            <w:vAlign w:val="bottom"/>
            <w:gridSpan w:val="2"/>
          </w:tcPr>
          <w:p>
            <w:pPr>
              <w:jc w:val="center"/>
              <w:ind w:right="600"/>
              <w:spacing w:after="0"/>
              <w:rPr>
                <w:sz w:val="20"/>
                <w:szCs w:val="20"/>
                <w:color w:val="auto"/>
              </w:rPr>
            </w:pPr>
            <w:r>
              <w:rPr>
                <w:rFonts w:ascii="Calibri" w:cs="Calibri" w:eastAsia="Calibri" w:hAnsi="Calibri"/>
                <w:sz w:val="18"/>
                <w:szCs w:val="18"/>
                <w:b w:val="1"/>
                <w:bCs w:val="1"/>
                <w:color w:val="51555C"/>
                <w:w w:val="96"/>
              </w:rPr>
              <w:t>Nasdaq Global Select Market</w:t>
            </w:r>
          </w:p>
        </w:tc>
      </w:tr>
      <w:tr>
        <w:trPr>
          <w:trHeight w:val="270"/>
        </w:trPr>
        <w:tc>
          <w:tcPr>
            <w:tcW w:w="4940" w:type="dxa"/>
            <w:vAlign w:val="bottom"/>
            <w:gridSpan w:val="3"/>
          </w:tcPr>
          <w:p>
            <w:pPr>
              <w:jc w:val="center"/>
              <w:ind w:right="660"/>
              <w:spacing w:after="0"/>
              <w:rPr>
                <w:sz w:val="20"/>
                <w:szCs w:val="20"/>
                <w:color w:val="auto"/>
              </w:rPr>
            </w:pPr>
            <w:r>
              <w:rPr>
                <w:rFonts w:ascii="Calibri" w:cs="Calibri" w:eastAsia="Calibri" w:hAnsi="Calibri"/>
                <w:sz w:val="18"/>
                <w:szCs w:val="18"/>
                <w:b w:val="1"/>
                <w:bCs w:val="1"/>
                <w:color w:val="51555C"/>
                <w:w w:val="97"/>
              </w:rPr>
              <w:t>Preferred Stock Purchase Rights</w:t>
            </w:r>
          </w:p>
        </w:tc>
        <w:tc>
          <w:tcPr>
            <w:tcW w:w="1880" w:type="dxa"/>
            <w:vAlign w:val="bottom"/>
            <w:gridSpan w:val="2"/>
          </w:tcPr>
          <w:p>
            <w:pPr>
              <w:jc w:val="center"/>
              <w:ind w:right="620"/>
              <w:spacing w:after="0"/>
              <w:rPr>
                <w:sz w:val="20"/>
                <w:szCs w:val="20"/>
                <w:color w:val="auto"/>
              </w:rPr>
            </w:pPr>
            <w:r>
              <w:rPr>
                <w:rFonts w:ascii="Calibri" w:cs="Calibri" w:eastAsia="Calibri" w:hAnsi="Calibri"/>
                <w:sz w:val="18"/>
                <w:szCs w:val="18"/>
                <w:b w:val="1"/>
                <w:bCs w:val="1"/>
                <w:color w:val="51555C"/>
                <w:w w:val="98"/>
              </w:rPr>
              <w:t>N/A</w:t>
            </w:r>
          </w:p>
        </w:tc>
        <w:tc>
          <w:tcPr>
            <w:tcW w:w="640" w:type="dxa"/>
            <w:vAlign w:val="bottom"/>
          </w:tcPr>
          <w:p>
            <w:pPr>
              <w:spacing w:after="0"/>
              <w:rPr>
                <w:sz w:val="23"/>
                <w:szCs w:val="23"/>
                <w:color w:val="auto"/>
              </w:rPr>
            </w:pPr>
          </w:p>
        </w:tc>
        <w:tc>
          <w:tcPr>
            <w:tcW w:w="3780" w:type="dxa"/>
            <w:vAlign w:val="bottom"/>
            <w:gridSpan w:val="2"/>
          </w:tcPr>
          <w:p>
            <w:pPr>
              <w:jc w:val="center"/>
              <w:ind w:right="600"/>
              <w:spacing w:after="0"/>
              <w:rPr>
                <w:sz w:val="20"/>
                <w:szCs w:val="20"/>
                <w:color w:val="auto"/>
              </w:rPr>
            </w:pPr>
            <w:r>
              <w:rPr>
                <w:rFonts w:ascii="Calibri" w:cs="Calibri" w:eastAsia="Calibri" w:hAnsi="Calibri"/>
                <w:sz w:val="18"/>
                <w:szCs w:val="18"/>
                <w:b w:val="1"/>
                <w:bCs w:val="1"/>
                <w:color w:val="51555C"/>
                <w:w w:val="96"/>
              </w:rPr>
              <w:t>Nasdaq Global Select Market</w:t>
            </w:r>
          </w:p>
        </w:tc>
      </w:tr>
      <w:tr>
        <w:trPr>
          <w:trHeight w:val="104"/>
        </w:trPr>
        <w:tc>
          <w:tcPr>
            <w:tcW w:w="15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bl>
    <w:p>
      <w:pPr>
        <w:spacing w:after="0" w:line="234" w:lineRule="exact"/>
        <w:rPr>
          <w:sz w:val="24"/>
          <w:szCs w:val="24"/>
          <w:color w:val="auto"/>
        </w:rPr>
      </w:pPr>
    </w:p>
    <w:p>
      <w:pPr>
        <w:jc w:val="both"/>
        <w:spacing w:after="0" w:line="235" w:lineRule="auto"/>
        <w:rPr>
          <w:sz w:val="20"/>
          <w:szCs w:val="20"/>
          <w:color w:val="auto"/>
        </w:rPr>
      </w:pPr>
      <w:r>
        <w:rPr>
          <w:rFonts w:ascii="Calibri" w:cs="Calibri" w:eastAsia="Calibri" w:hAnsi="Calibri"/>
          <w:sz w:val="18"/>
          <w:szCs w:val="18"/>
          <w:color w:val="51555C"/>
        </w:rPr>
        <w:t>Indicate by check mark whether the registrant is an emerging growth company as defned in Rule 405 of the Securites Act of 1933 (§230.405 of this chapter) or Rule 12b-2 of the Securites Exchange Act of 1934 (§240.12b-2 of this chapter).</w:t>
      </w:r>
    </w:p>
    <w:p>
      <w:pPr>
        <w:spacing w:after="0" w:line="118" w:lineRule="exact"/>
        <w:rPr>
          <w:sz w:val="24"/>
          <w:szCs w:val="24"/>
          <w:color w:val="auto"/>
        </w:rPr>
      </w:pPr>
    </w:p>
    <w:p>
      <w:pPr>
        <w:spacing w:after="0" w:line="232" w:lineRule="exact"/>
        <w:rPr>
          <w:sz w:val="20"/>
          <w:szCs w:val="20"/>
          <w:color w:val="auto"/>
        </w:rPr>
      </w:pPr>
      <w:r>
        <w:rPr>
          <w:rFonts w:ascii="Calibri" w:cs="Calibri" w:eastAsia="Calibri" w:hAnsi="Calibri"/>
          <w:sz w:val="18"/>
          <w:szCs w:val="18"/>
          <w:color w:val="51555C"/>
        </w:rPr>
        <w:t xml:space="preserve">Emerging growth company </w:t>
      </w:r>
      <w:r>
        <w:rPr>
          <w:rFonts w:ascii="MS PGothic" w:cs="MS PGothic" w:eastAsia="MS PGothic" w:hAnsi="MS PGothic"/>
          <w:sz w:val="19"/>
          <w:szCs w:val="19"/>
          <w:color w:val="51555C"/>
        </w:rPr>
        <w:t>☐</w:t>
      </w:r>
    </w:p>
    <w:p>
      <w:pPr>
        <w:spacing w:after="0" w:line="219" w:lineRule="exact"/>
        <w:rPr>
          <w:sz w:val="24"/>
          <w:szCs w:val="24"/>
          <w:color w:val="auto"/>
        </w:rPr>
      </w:pPr>
    </w:p>
    <w:p>
      <w:pPr>
        <w:jc w:val="both"/>
        <w:ind w:right="20"/>
        <w:spacing w:after="0" w:line="252" w:lineRule="exact"/>
        <w:rPr>
          <w:sz w:val="20"/>
          <w:szCs w:val="20"/>
          <w:color w:val="auto"/>
        </w:rPr>
      </w:pPr>
      <w:r>
        <w:rPr>
          <w:rFonts w:ascii="Calibri" w:cs="Calibri" w:eastAsia="Calibri" w:hAnsi="Calibri"/>
          <w:sz w:val="18"/>
          <w:szCs w:val="18"/>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9"/>
          <w:szCs w:val="19"/>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51555C"/>
        </w:rPr>
        <w:t>Item 7.01. Regulaton FD Disclosure.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February 16, 2024, following a family dinner, the Company’s President, Chief Executve Ofcer and Vice Chairman of the Board of Directors ("the Board"), Michael Gianoni, was cited in Isle of Palms, South Carolina for driving under the infuence. Mr. Gianoni has informed the Board that he is contestng the charges. Mr. Gianoni contnues to serve as President, Chief Executve Ofcer and Vice Chairman of the Board at the directon of the Board. The Board takes this mater seriously and is contnuing to monitor it and associated consideratons.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informaton set forth in this Item 7.01 of this Current Report on Form 8-K shall not be deemed “fled” for purposes of Secton 18 of the Securites Exchange Act of 1934, as amended (the “Exchange Act”) or otherwise subject to the liabilites of that secton, nor shall it be deemed incorporated by reference in any fling under the Securites Act or the Exchange Act, regardless of any general incorporaton language in such fling, unless expressly incorporated by reference in such fling.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color w:val="51555C"/>
        </w:rPr>
        <w:t>SIGNATURES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Pursuant to the requirements of the Securites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20"/>
        <w:spacing w:after="0"/>
        <w:rPr>
          <w:sz w:val="20"/>
          <w:szCs w:val="20"/>
          <w:color w:val="auto"/>
        </w:rPr>
      </w:pPr>
      <w:r>
        <w:rPr>
          <w:rFonts w:ascii="Calibri" w:cs="Calibri" w:eastAsia="Calibri" w:hAnsi="Calibri"/>
          <w:sz w:val="18"/>
          <w:szCs w:val="18"/>
          <w:b w:val="1"/>
          <w:bCs w:val="1"/>
          <w:color w:val="51555C"/>
        </w:rPr>
        <w:t>BLACKBAUD, INC.</w:t>
      </w:r>
    </w:p>
    <w:p>
      <w:pPr>
        <w:spacing w:after="0" w:line="212" w:lineRule="exact"/>
        <w:rPr>
          <w:sz w:val="20"/>
          <w:szCs w:val="20"/>
          <w:color w:val="auto"/>
        </w:rPr>
      </w:pPr>
    </w:p>
    <w:p>
      <w:pPr>
        <w:ind w:left="40"/>
        <w:spacing w:after="0"/>
        <w:tabs>
          <w:tab w:leader="none" w:pos="680" w:val="left"/>
          <w:tab w:leader="none" w:pos="3600" w:val="left"/>
        </w:tabs>
        <w:rPr>
          <w:sz w:val="20"/>
          <w:szCs w:val="20"/>
          <w:color w:val="auto"/>
        </w:rPr>
      </w:pPr>
      <w:r>
        <w:rPr>
          <w:rFonts w:ascii="Calibri" w:cs="Calibri" w:eastAsia="Calibri" w:hAnsi="Calibri"/>
          <w:sz w:val="18"/>
          <w:szCs w:val="18"/>
          <w:color w:val="51555C"/>
        </w:rPr>
        <w:t>Date:</w:t>
      </w:r>
      <w:r>
        <w:rPr>
          <w:sz w:val="20"/>
          <w:szCs w:val="20"/>
          <w:color w:val="auto"/>
        </w:rPr>
        <w:tab/>
      </w:r>
      <w:r>
        <w:rPr>
          <w:rFonts w:ascii="Calibri" w:cs="Calibri" w:eastAsia="Calibri" w:hAnsi="Calibri"/>
          <w:sz w:val="18"/>
          <w:szCs w:val="18"/>
          <w:color w:val="51555C"/>
        </w:rPr>
        <w:t>February 22, 2024</w:t>
      </w:r>
      <w:r>
        <w:rPr>
          <w:sz w:val="20"/>
          <w:szCs w:val="20"/>
          <w:color w:val="auto"/>
        </w:rPr>
        <w:tab/>
      </w:r>
      <w:r>
        <w:rPr>
          <w:rFonts w:ascii="Calibri" w:cs="Calibri" w:eastAsia="Calibri" w:hAnsi="Calibri"/>
          <w:sz w:val="17"/>
          <w:szCs w:val="17"/>
          <w:color w:val="51555C"/>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32385</wp:posOffset>
            </wp:positionV>
            <wp:extent cx="3402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4" w:lineRule="exact"/>
        <w:rPr>
          <w:sz w:val="20"/>
          <w:szCs w:val="20"/>
          <w:color w:val="auto"/>
        </w:rPr>
      </w:pPr>
    </w:p>
    <w:p>
      <w:pPr>
        <w:ind w:left="3620"/>
        <w:spacing w:after="0"/>
        <w:rPr>
          <w:sz w:val="20"/>
          <w:szCs w:val="20"/>
          <w:color w:val="auto"/>
        </w:rPr>
      </w:pPr>
      <w:r>
        <w:rPr>
          <w:rFonts w:ascii="Calibri" w:cs="Calibri" w:eastAsia="Calibri" w:hAnsi="Calibri"/>
          <w:sz w:val="18"/>
          <w:szCs w:val="18"/>
          <w:color w:val="51555C"/>
        </w:rPr>
        <w:t>Anthony W. Boor</w:t>
      </w:r>
    </w:p>
    <w:p>
      <w:pPr>
        <w:spacing w:after="0" w:line="50" w:lineRule="exact"/>
        <w:rPr>
          <w:sz w:val="20"/>
          <w:szCs w:val="20"/>
          <w:color w:val="auto"/>
        </w:rPr>
      </w:pPr>
    </w:p>
    <w:p>
      <w:pPr>
        <w:ind w:left="3620"/>
        <w:spacing w:after="0"/>
        <w:rPr>
          <w:sz w:val="20"/>
          <w:szCs w:val="20"/>
          <w:color w:val="auto"/>
        </w:rPr>
      </w:pPr>
      <w:r>
        <w:rPr>
          <w:rFonts w:ascii="Calibri" w:cs="Calibri" w:eastAsia="Calibri" w:hAnsi="Calibri"/>
          <w:sz w:val="18"/>
          <w:szCs w:val="18"/>
          <w:color w:val="51555C"/>
        </w:rPr>
        <w:t>Executve Vice President and Chief Financial Ofcer</w:t>
      </w:r>
    </w:p>
    <w:p>
      <w:pPr>
        <w:spacing w:after="0" w:line="50" w:lineRule="exact"/>
        <w:rPr>
          <w:sz w:val="20"/>
          <w:szCs w:val="20"/>
          <w:color w:val="auto"/>
        </w:rPr>
      </w:pPr>
    </w:p>
    <w:p>
      <w:pPr>
        <w:ind w:left="3620"/>
        <w:spacing w:after="0"/>
        <w:rPr>
          <w:sz w:val="20"/>
          <w:szCs w:val="20"/>
          <w:color w:val="auto"/>
        </w:rPr>
      </w:pPr>
      <w:r>
        <w:rPr>
          <w:rFonts w:ascii="Calibri" w:cs="Calibri" w:eastAsia="Calibri" w:hAnsi="Calibri"/>
          <w:sz w:val="18"/>
          <w:szCs w:val="18"/>
          <w:color w:val="51555C"/>
        </w:rPr>
        <w:t>(Principal Financial and Accountng Ofcer)</w:t>
      </w:r>
    </w:p>
    <w:sectPr>
      <w:pgSz w:w="11900" w:h="16838" w:orient="portrait"/>
      <w:cols w:equalWidth="0" w:num="1">
        <w:col w:w="11240"/>
      </w:cols>
      <w:pgMar w:left="320" w:top="1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2024-02-22T07:32:14Z</dcterms:created>
  <dcterms:modified xsi:type="dcterms:W3CDTF">2024-02-22T07:32:14Z</dcterms:modified>
</cp:coreProperties>
</file>