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8563326.xml.htm"/>
      <w:bookmarkStart w:id="1" w:name="kswkform4a_17885633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Olson Jon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 FAIRCHILD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29492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BLACKBAUD INC</w:t>
              </w:r>
            </w:hyperlink>
            <w:r>
              <w:rPr/>
              <w:t xml:space="preserve"> [ </w:t>
            </w:r>
            <w:r>
              <w:rPr>
                <w:rFonts w:ascii="Times;serif" w:hAnsi="Times;serif"/>
                <w:color w:val="0000FF"/>
                <w:sz w:val="24"/>
                <w:shd w:fill="FFFFFF" w:val="clear"/>
              </w:rPr>
              <w:t>BLKB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and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02/20/2026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4,888</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58,567</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Compensation Committee determined that performance restricted stock units ("PRSUs") granted on February 19, 2025 would vest in three equal annual installments beginning on February 19, 2026, based on the Issuer achieving performance goals for the period ended December 31,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amendment corrects the Form 4 filed on February 20, 2026, which inadvertently omitted the PRSUs earned on February 19, 2026. The aggregate number of shares directly held by the reporting person as reported herein reflects the number of shares held immediately following the transaction reported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Donald R. Reynolds,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4788" TargetMode="External"/><Relationship Id="rId5" Type="http://schemas.openxmlformats.org/officeDocument/2006/relationships/hyperlink" Target="http://www.sec.gov/cgi-bin/browse-edgar?action=getcompany&amp;CIK=00012800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654</Words>
  <Characters>3585</Characters>
  <CharactersWithSpaces>4170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