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51555C"/>
        </w:rPr>
        <w:t>UNITED STATES</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SECURITIES AND EXCHANGE COMMISSION</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FORM 8-K</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7"/>
          <w:szCs w:val="17"/>
          <w:color w:val="51555C"/>
        </w:rPr>
        <w:t>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 xml:space="preserve">Date of Report (Date of earliest event reported): </w:t>
      </w:r>
      <w:r>
        <w:rPr>
          <w:rFonts w:ascii="Arial" w:cs="Arial" w:eastAsia="Arial" w:hAnsi="Arial"/>
          <w:sz w:val="18"/>
          <w:szCs w:val="18"/>
          <w:b w:val="1"/>
          <w:bCs w:val="1"/>
          <w:color w:val="51555C"/>
        </w:rPr>
        <w:t>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172085</wp:posOffset>
            </wp:positionV>
            <wp:extent cx="245173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137795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51555C"/>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51555C"/>
        </w:rPr>
        <w:t>000-50600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7"/>
          <w:szCs w:val="17"/>
          <w:b w:val="1"/>
          <w:bCs w:val="1"/>
          <w:color w:val="51555C"/>
        </w:rPr>
        <w:t>11-2617163</w:t>
      </w:r>
    </w:p>
    <w:p>
      <w:pPr>
        <w:spacing w:after="0" w:line="129" w:lineRule="exact"/>
        <w:rPr>
          <w:sz w:val="24"/>
          <w:szCs w:val="24"/>
          <w:color w:val="auto"/>
        </w:rPr>
      </w:pPr>
    </w:p>
    <w:p>
      <w:pPr>
        <w:sectPr>
          <w:pgSz w:w="11900" w:h="16838" w:orient="portrait"/>
          <w:cols w:equalWidth="0" w:num="3">
            <w:col w:w="4460" w:space="720"/>
            <w:col w:w="2980" w:space="720"/>
            <w:col w:w="2360"/>
          </w:cols>
          <w:pgMar w:left="320" w:top="1214"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51555C"/>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51555C"/>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51555C"/>
        </w:rPr>
        <w:t>(IRS Employer ID Number)</w:t>
      </w:r>
    </w:p>
    <w:p>
      <w:pPr>
        <w:spacing w:after="0" w:line="200" w:lineRule="exact"/>
        <w:rPr>
          <w:sz w:val="24"/>
          <w:szCs w:val="24"/>
          <w:color w:val="auto"/>
        </w:rPr>
      </w:pPr>
    </w:p>
    <w:p>
      <w:pPr>
        <w:sectPr>
          <w:pgSz w:w="11900" w:h="16838" w:orient="portrait"/>
          <w:cols w:equalWidth="0" w:num="3">
            <w:col w:w="3820" w:space="720"/>
            <w:col w:w="3020" w:space="720"/>
            <w:col w:w="2960"/>
          </w:cols>
          <w:pgMar w:left="320" w:top="1214" w:right="3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65 Fairchild Street, Charleston, South Carolina 29492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(Address of principal executive offices) (Zip Code)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 xml:space="preserve">Registrant’s telephone number, including area code: </w:t>
      </w:r>
      <w:r>
        <w:rPr>
          <w:rFonts w:ascii="Arial" w:cs="Arial" w:eastAsia="Arial" w:hAnsi="Arial"/>
          <w:sz w:val="18"/>
          <w:szCs w:val="18"/>
          <w:b w:val="1"/>
          <w:bCs w:val="1"/>
          <w:color w:val="51555C"/>
        </w:rPr>
        <w:t>(843) 216-6200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137795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23430" cy="1354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3544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0" w:right="240"/>
        <w:spacing w:after="0" w:line="296" w:lineRule="auto"/>
        <w:rPr>
          <w:sz w:val="20"/>
          <w:szCs w:val="20"/>
          <w:color w:val="auto"/>
        </w:rPr>
      </w:pPr>
      <w:r>
        <w:rPr>
          <w:rFonts w:ascii="Arial" w:cs="Arial" w:eastAsia="Arial" w:hAnsi="Arial"/>
          <w:sz w:val="18"/>
          <w:szCs w:val="18"/>
          <w:b w:val="1"/>
          <w:bCs w:val="1"/>
          <w:color w:val="51555C"/>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Written communications pursuant to Rule 425 under the Securities Act (17 CFR 230.425)</w:t>
      </w:r>
    </w:p>
    <w:p>
      <w:pPr>
        <w:spacing w:after="0" w:line="184"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Soliciting material pursuant to Rule 14a-12 under the Exchange Act (17 CFR 240.14a-12)</w:t>
      </w:r>
    </w:p>
    <w:p>
      <w:pPr>
        <w:spacing w:after="0" w:line="184"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214630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0"/>
        <w:spacing w:after="0"/>
        <w:rPr>
          <w:sz w:val="20"/>
          <w:szCs w:val="20"/>
          <w:color w:val="auto"/>
        </w:rPr>
      </w:pPr>
      <w:r>
        <w:rPr>
          <w:rFonts w:ascii="Arial" w:cs="Arial" w:eastAsia="Arial" w:hAnsi="Arial"/>
          <w:sz w:val="18"/>
          <w:szCs w:val="18"/>
          <w:color w:val="51555C"/>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51555C"/>
                <w:w w:val="99"/>
              </w:rPr>
              <w:t>Title of Each Class</w:t>
            </w:r>
          </w:p>
        </w:tc>
        <w:tc>
          <w:tcPr>
            <w:tcW w:w="1920" w:type="dxa"/>
            <w:vAlign w:val="bottom"/>
          </w:tcPr>
          <w:p>
            <w:pPr>
              <w:spacing w:after="0"/>
              <w:rPr>
                <w:sz w:val="18"/>
                <w:szCs w:val="18"/>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color w:val="51555C"/>
                <w:w w:val="99"/>
              </w:rPr>
              <w:t>Trading Symbol(s)</w:t>
            </w:r>
          </w:p>
        </w:tc>
        <w:tc>
          <w:tcPr>
            <w:tcW w:w="4020" w:type="dxa"/>
            <w:vAlign w:val="bottom"/>
            <w:gridSpan w:val="2"/>
          </w:tcPr>
          <w:p>
            <w:pPr>
              <w:jc w:val="center"/>
              <w:ind w:right="360"/>
              <w:spacing w:after="0"/>
              <w:rPr>
                <w:sz w:val="20"/>
                <w:szCs w:val="20"/>
                <w:color w:val="auto"/>
              </w:rPr>
            </w:pPr>
            <w:r>
              <w:rPr>
                <w:rFonts w:ascii="Arial" w:cs="Arial" w:eastAsia="Arial" w:hAnsi="Arial"/>
                <w:sz w:val="18"/>
                <w:szCs w:val="18"/>
                <w:color w:val="51555C"/>
                <w:w w:val="99"/>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51555C"/>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shd w:val="clear" w:color="auto" w:fill="51555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60" w:type="dxa"/>
            <w:vAlign w:val="bottom"/>
            <w:shd w:val="clear" w:color="auto" w:fill="51555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7"/>
        </w:trPr>
        <w:tc>
          <w:tcPr>
            <w:tcW w:w="48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51555C"/>
                <w:w w:val="99"/>
              </w:rPr>
              <w:t>Common Stock, $0.001 Par Value</w:t>
            </w: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51555C"/>
                <w:w w:val="99"/>
              </w:rPr>
              <w:t>BLKB</w:t>
            </w:r>
          </w:p>
        </w:tc>
        <w:tc>
          <w:tcPr>
            <w:tcW w:w="4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51555C"/>
                <w:w w:val="99"/>
              </w:rPr>
              <w:t>Nasdaq Global Select Market</w:t>
            </w:r>
          </w:p>
        </w:tc>
      </w:tr>
      <w:tr>
        <w:trPr>
          <w:trHeight w:val="69"/>
        </w:trPr>
        <w:tc>
          <w:tcPr>
            <w:tcW w:w="1380" w:type="dxa"/>
            <w:vAlign w:val="bottom"/>
            <w:tcBorders>
              <w:bottom w:val="single" w:sz="8" w:color="51555C"/>
            </w:tcBorders>
          </w:tcPr>
          <w:p>
            <w:pPr>
              <w:spacing w:after="0"/>
              <w:rPr>
                <w:sz w:val="6"/>
                <w:szCs w:val="6"/>
                <w:color w:val="auto"/>
              </w:rPr>
            </w:pPr>
          </w:p>
        </w:tc>
        <w:tc>
          <w:tcPr>
            <w:tcW w:w="1500" w:type="dxa"/>
            <w:vAlign w:val="bottom"/>
            <w:tcBorders>
              <w:bottom w:val="single" w:sz="8" w:color="51555C"/>
            </w:tcBorders>
          </w:tcPr>
          <w:p>
            <w:pPr>
              <w:spacing w:after="0"/>
              <w:rPr>
                <w:sz w:val="6"/>
                <w:szCs w:val="6"/>
                <w:color w:val="auto"/>
              </w:rPr>
            </w:pPr>
          </w:p>
        </w:tc>
        <w:tc>
          <w:tcPr>
            <w:tcW w:w="1920" w:type="dxa"/>
            <w:vAlign w:val="bottom"/>
            <w:tcBorders>
              <w:bottom w:val="single" w:sz="8" w:color="51555C"/>
            </w:tcBorders>
          </w:tcPr>
          <w:p>
            <w:pPr>
              <w:spacing w:after="0"/>
              <w:rPr>
                <w:sz w:val="6"/>
                <w:szCs w:val="6"/>
                <w:color w:val="auto"/>
              </w:rPr>
            </w:pPr>
          </w:p>
        </w:tc>
        <w:tc>
          <w:tcPr>
            <w:tcW w:w="1460" w:type="dxa"/>
            <w:vAlign w:val="bottom"/>
            <w:tcBorders>
              <w:bottom w:val="single" w:sz="8" w:color="51555C"/>
            </w:tcBorders>
          </w:tcPr>
          <w:p>
            <w:pPr>
              <w:spacing w:after="0"/>
              <w:rPr>
                <w:sz w:val="6"/>
                <w:szCs w:val="6"/>
                <w:color w:val="auto"/>
              </w:rPr>
            </w:pPr>
          </w:p>
        </w:tc>
        <w:tc>
          <w:tcPr>
            <w:tcW w:w="920" w:type="dxa"/>
            <w:vAlign w:val="bottom"/>
            <w:tcBorders>
              <w:bottom w:val="single" w:sz="8" w:color="51555C"/>
            </w:tcBorders>
          </w:tcPr>
          <w:p>
            <w:pPr>
              <w:spacing w:after="0"/>
              <w:rPr>
                <w:sz w:val="6"/>
                <w:szCs w:val="6"/>
                <w:color w:val="auto"/>
              </w:rPr>
            </w:pPr>
          </w:p>
        </w:tc>
        <w:tc>
          <w:tcPr>
            <w:tcW w:w="3660" w:type="dxa"/>
            <w:vAlign w:val="bottom"/>
            <w:tcBorders>
              <w:bottom w:val="single" w:sz="8" w:color="51555C"/>
            </w:tcBorders>
          </w:tcPr>
          <w:p>
            <w:pPr>
              <w:spacing w:after="0"/>
              <w:rPr>
                <w:sz w:val="6"/>
                <w:szCs w:val="6"/>
                <w:color w:val="auto"/>
              </w:rPr>
            </w:pPr>
          </w:p>
        </w:tc>
        <w:tc>
          <w:tcPr>
            <w:tcW w:w="360" w:type="dxa"/>
            <w:vAlign w:val="bottom"/>
            <w:tcBorders>
              <w:bottom w:val="single" w:sz="8" w:color="51555C"/>
            </w:tcBorders>
          </w:tcPr>
          <w:p>
            <w:pPr>
              <w:spacing w:after="0"/>
              <w:rPr>
                <w:sz w:val="6"/>
                <w:szCs w:val="6"/>
                <w:color w:val="auto"/>
              </w:rPr>
            </w:pPr>
          </w:p>
        </w:tc>
      </w:tr>
    </w:tbl>
    <w:p>
      <w:pPr>
        <w:spacing w:after="0" w:line="238" w:lineRule="exact"/>
        <w:rPr>
          <w:sz w:val="24"/>
          <w:szCs w:val="24"/>
          <w:color w:val="auto"/>
        </w:rPr>
      </w:pPr>
    </w:p>
    <w:p>
      <w:pPr>
        <w:jc w:val="both"/>
        <w:ind w:right="20"/>
        <w:spacing w:after="0" w:line="287" w:lineRule="auto"/>
        <w:rPr>
          <w:sz w:val="20"/>
          <w:szCs w:val="20"/>
          <w:color w:val="auto"/>
        </w:rPr>
      </w:pPr>
      <w:r>
        <w:rPr>
          <w:rFonts w:ascii="Arial" w:cs="Arial" w:eastAsia="Arial" w:hAnsi="Arial"/>
          <w:sz w:val="18"/>
          <w:szCs w:val="18"/>
          <w:color w:val="51555C"/>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50" w:lineRule="exact"/>
        <w:rPr>
          <w:sz w:val="24"/>
          <w:szCs w:val="24"/>
          <w:color w:val="auto"/>
        </w:rPr>
      </w:pPr>
    </w:p>
    <w:p>
      <w:pPr>
        <w:spacing w:after="0" w:line="219" w:lineRule="exact"/>
        <w:rPr>
          <w:sz w:val="20"/>
          <w:szCs w:val="20"/>
          <w:color w:val="auto"/>
        </w:rPr>
      </w:pPr>
      <w:r>
        <w:rPr>
          <w:rFonts w:ascii="Arial" w:cs="Arial" w:eastAsia="Arial" w:hAnsi="Arial"/>
          <w:sz w:val="18"/>
          <w:szCs w:val="18"/>
          <w:color w:val="51555C"/>
        </w:rPr>
        <w:t xml:space="preserve">Emerging growth company </w:t>
      </w:r>
      <w:r>
        <w:rPr>
          <w:rFonts w:ascii="MS PGothic" w:cs="MS PGothic" w:eastAsia="MS PGothic" w:hAnsi="MS PGothic"/>
          <w:sz w:val="19"/>
          <w:szCs w:val="19"/>
          <w:color w:val="51555C"/>
        </w:rPr>
        <w:t>☐</w:t>
      </w:r>
    </w:p>
    <w:p>
      <w:pPr>
        <w:spacing w:after="0" w:line="236" w:lineRule="exact"/>
        <w:rPr>
          <w:sz w:val="24"/>
          <w:szCs w:val="24"/>
          <w:color w:val="auto"/>
        </w:rPr>
      </w:pPr>
    </w:p>
    <w:p>
      <w:pPr>
        <w:jc w:val="both"/>
        <w:spacing w:after="0" w:line="250" w:lineRule="exact"/>
        <w:rPr>
          <w:sz w:val="20"/>
          <w:szCs w:val="20"/>
          <w:color w:val="auto"/>
        </w:rPr>
      </w:pPr>
      <w:r>
        <w:rPr>
          <w:rFonts w:ascii="Arial" w:cs="Arial" w:eastAsia="Arial" w:hAnsi="Arial"/>
          <w:sz w:val="18"/>
          <w:szCs w:val="18"/>
          <w:color w:val="51555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51555C"/>
        </w:rPr>
        <w:t>Item 2.02. Results of Operations and Financial Condition.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 xml:space="preserve">On October 28, 2026, Blackbaud, Inc. (the "Company") issued a press release reporting unaudited financial results for the quarter ended September 30, 2026. A copy of this press release is attached hereto as </w:t>
      </w:r>
      <w:r>
        <w:rPr>
          <w:rFonts w:ascii="Arial" w:cs="Arial" w:eastAsia="Arial" w:hAnsi="Arial"/>
          <w:sz w:val="18"/>
          <w:szCs w:val="18"/>
          <w:u w:val="single" w:color="auto"/>
          <w:color w:val="51555C"/>
        </w:rPr>
        <w:t>Exhibit 99.1</w:t>
      </w:r>
      <w:r>
        <w:rPr>
          <w:rFonts w:ascii="Arial" w:cs="Arial" w:eastAsia="Arial" w:hAnsi="Arial"/>
          <w:sz w:val="18"/>
          <w:szCs w:val="18"/>
          <w:color w:val="51555C"/>
        </w:rPr>
        <w: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Item 9.01. Financial Statements and Exhibits.</w:t>
      </w:r>
    </w:p>
    <w:p>
      <w:pPr>
        <w:sectPr>
          <w:pgSz w:w="11900" w:h="16838" w:orient="portrait"/>
          <w:cols w:equalWidth="0" w:num="1">
            <w:col w:w="11240"/>
          </w:cols>
          <w:pgMar w:left="320" w:top="1214"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(d) Exhibits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51555C"/>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96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7A04DD"/>
        </w:rPr>
        <w:t>99.1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240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Press release dated October 28, 2026 reporting unaudited financial results for the quarter ended September 30, 2026.</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51555C"/>
        </w:rPr>
        <w:t>Inline 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ectPr>
          <w:pgSz w:w="11900" w:h="16838" w:orient="portrait"/>
          <w:cols w:equalWidth="0" w:num="2">
            <w:col w:w="960" w:space="420"/>
            <w:col w:w="9860"/>
          </w:cols>
          <w:pgMar w:left="320" w:top="1214"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1060" w:type="dxa"/>
            <w:vAlign w:val="bottom"/>
          </w:tcPr>
          <w:p>
            <w:pPr>
              <w:ind w:left="20"/>
              <w:spacing w:after="0"/>
              <w:rPr>
                <w:sz w:val="20"/>
                <w:szCs w:val="20"/>
                <w:color w:val="auto"/>
              </w:rPr>
            </w:pPr>
            <w:r>
              <w:rPr>
                <w:rFonts w:ascii="Arial" w:cs="Arial" w:eastAsia="Arial" w:hAnsi="Arial"/>
                <w:sz w:val="18"/>
                <w:szCs w:val="18"/>
                <w:color w:val="51555C"/>
              </w:rPr>
              <w:t>101.DEF</w:t>
            </w:r>
          </w:p>
        </w:tc>
        <w:tc>
          <w:tcPr>
            <w:tcW w:w="10180" w:type="dxa"/>
            <w:vAlign w:val="bottom"/>
          </w:tcPr>
          <w:p>
            <w:pPr>
              <w:ind w:left="320"/>
              <w:spacing w:after="0"/>
              <w:rPr>
                <w:sz w:val="20"/>
                <w:szCs w:val="20"/>
                <w:color w:val="auto"/>
              </w:rPr>
            </w:pPr>
            <w:r>
              <w:rPr>
                <w:rFonts w:ascii="Arial" w:cs="Arial" w:eastAsia="Arial" w:hAnsi="Arial"/>
                <w:sz w:val="18"/>
                <w:szCs w:val="18"/>
                <w:color w:val="51555C"/>
              </w:rPr>
              <w:t>Inline XBRL Taxonomy Extension Definition Linkbase Document.</w:t>
            </w:r>
          </w:p>
        </w:tc>
      </w:tr>
      <w:tr>
        <w:trPr>
          <w:trHeight w:val="324"/>
        </w:trPr>
        <w:tc>
          <w:tcPr>
            <w:tcW w:w="1060" w:type="dxa"/>
            <w:vAlign w:val="bottom"/>
          </w:tcPr>
          <w:p>
            <w:pPr>
              <w:ind w:left="20"/>
              <w:spacing w:after="0"/>
              <w:rPr>
                <w:sz w:val="20"/>
                <w:szCs w:val="20"/>
                <w:color w:val="auto"/>
              </w:rPr>
            </w:pPr>
            <w:r>
              <w:rPr>
                <w:rFonts w:ascii="Arial" w:cs="Arial" w:eastAsia="Arial" w:hAnsi="Arial"/>
                <w:sz w:val="18"/>
                <w:szCs w:val="18"/>
                <w:color w:val="51555C"/>
              </w:rPr>
              <w:t>101.LAB</w:t>
            </w:r>
          </w:p>
        </w:tc>
        <w:tc>
          <w:tcPr>
            <w:tcW w:w="10180" w:type="dxa"/>
            <w:vAlign w:val="bottom"/>
          </w:tcPr>
          <w:p>
            <w:pPr>
              <w:ind w:left="320"/>
              <w:spacing w:after="0"/>
              <w:rPr>
                <w:sz w:val="20"/>
                <w:szCs w:val="20"/>
                <w:color w:val="auto"/>
              </w:rPr>
            </w:pPr>
            <w:r>
              <w:rPr>
                <w:rFonts w:ascii="Arial" w:cs="Arial" w:eastAsia="Arial" w:hAnsi="Arial"/>
                <w:sz w:val="18"/>
                <w:szCs w:val="18"/>
                <w:color w:val="51555C"/>
              </w:rPr>
              <w:t>Inline XBRL Taxonomy Extension Label Linkbase Document.</w:t>
            </w:r>
          </w:p>
        </w:tc>
      </w:tr>
      <w:tr>
        <w:trPr>
          <w:trHeight w:val="324"/>
        </w:trPr>
        <w:tc>
          <w:tcPr>
            <w:tcW w:w="1060" w:type="dxa"/>
            <w:vAlign w:val="bottom"/>
          </w:tcPr>
          <w:p>
            <w:pPr>
              <w:ind w:left="20"/>
              <w:spacing w:after="0"/>
              <w:rPr>
                <w:sz w:val="20"/>
                <w:szCs w:val="20"/>
                <w:color w:val="auto"/>
              </w:rPr>
            </w:pPr>
            <w:r>
              <w:rPr>
                <w:rFonts w:ascii="Arial" w:cs="Arial" w:eastAsia="Arial" w:hAnsi="Arial"/>
                <w:sz w:val="18"/>
                <w:szCs w:val="18"/>
                <w:color w:val="51555C"/>
              </w:rPr>
              <w:t>101.PRE</w:t>
            </w:r>
          </w:p>
        </w:tc>
        <w:tc>
          <w:tcPr>
            <w:tcW w:w="10180" w:type="dxa"/>
            <w:vAlign w:val="bottom"/>
          </w:tcPr>
          <w:p>
            <w:pPr>
              <w:ind w:left="320"/>
              <w:spacing w:after="0"/>
              <w:rPr>
                <w:sz w:val="20"/>
                <w:szCs w:val="20"/>
                <w:color w:val="auto"/>
              </w:rPr>
            </w:pPr>
            <w:r>
              <w:rPr>
                <w:rFonts w:ascii="Arial" w:cs="Arial" w:eastAsia="Arial" w:hAnsi="Arial"/>
                <w:sz w:val="18"/>
                <w:szCs w:val="18"/>
                <w:color w:val="51555C"/>
              </w:rPr>
              <w:t>Inline XBRL Taxonomy Extension Presentation Linkbase Document.</w:t>
            </w:r>
          </w:p>
        </w:tc>
      </w:tr>
      <w:tr>
        <w:trPr>
          <w:trHeight w:val="324"/>
        </w:trPr>
        <w:tc>
          <w:tcPr>
            <w:tcW w:w="1060" w:type="dxa"/>
            <w:vAlign w:val="bottom"/>
          </w:tcPr>
          <w:p>
            <w:pPr>
              <w:ind w:left="20"/>
              <w:spacing w:after="0"/>
              <w:rPr>
                <w:sz w:val="20"/>
                <w:szCs w:val="20"/>
                <w:color w:val="auto"/>
              </w:rPr>
            </w:pPr>
            <w:r>
              <w:rPr>
                <w:rFonts w:ascii="Arial" w:cs="Arial" w:eastAsia="Arial" w:hAnsi="Arial"/>
                <w:sz w:val="18"/>
                <w:szCs w:val="18"/>
                <w:color w:val="51555C"/>
              </w:rPr>
              <w:t>104</w:t>
            </w:r>
          </w:p>
        </w:tc>
        <w:tc>
          <w:tcPr>
            <w:tcW w:w="10180" w:type="dxa"/>
            <w:vAlign w:val="bottom"/>
          </w:tcPr>
          <w:p>
            <w:pPr>
              <w:ind w:left="320"/>
              <w:spacing w:after="0"/>
              <w:rPr>
                <w:sz w:val="20"/>
                <w:szCs w:val="20"/>
                <w:color w:val="auto"/>
              </w:rPr>
            </w:pPr>
            <w:r>
              <w:rPr>
                <w:rFonts w:ascii="Arial" w:cs="Arial" w:eastAsia="Arial" w:hAnsi="Arial"/>
                <w:sz w:val="18"/>
                <w:szCs w:val="18"/>
                <w:color w:val="51555C"/>
              </w:rPr>
              <w:t>Cover Page Interactive Data File (formatted as Inline XBRL and contained in Exhibit 101).</w:t>
            </w:r>
          </w:p>
        </w:tc>
      </w:tr>
      <w:tr>
        <w:trPr>
          <w:trHeight w:val="1407"/>
        </w:trPr>
        <w:tc>
          <w:tcPr>
            <w:tcW w:w="1060" w:type="dxa"/>
            <w:vAlign w:val="bottom"/>
            <w:tcBorders>
              <w:bottom w:val="single" w:sz="8" w:color="9A9A9A"/>
            </w:tcBorders>
          </w:tcPr>
          <w:p>
            <w:pPr>
              <w:spacing w:after="0"/>
              <w:rPr>
                <w:sz w:val="24"/>
                <w:szCs w:val="24"/>
                <w:color w:val="auto"/>
              </w:rPr>
            </w:pPr>
          </w:p>
        </w:tc>
        <w:tc>
          <w:tcPr>
            <w:tcW w:w="10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2" w:name="page3"/>
    <w:bookmarkEnd w:id="2"/>
    <w:p>
      <w:pPr>
        <w:jc w:val="center"/>
        <w:ind w:right="-119"/>
        <w:spacing w:after="0"/>
        <w:rPr>
          <w:sz w:val="20"/>
          <w:szCs w:val="20"/>
          <w:color w:val="auto"/>
        </w:rPr>
      </w:pPr>
      <w:r>
        <w:rPr>
          <w:rFonts w:ascii="Arial" w:cs="Arial" w:eastAsia="Arial" w:hAnsi="Arial"/>
          <w:sz w:val="18"/>
          <w:szCs w:val="18"/>
          <w:color w:val="51555C"/>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51555C"/>
        </w:rPr>
        <w:t>BLACKBAUD, INC.</w:t>
      </w:r>
    </w:p>
    <w:p>
      <w:pPr>
        <w:spacing w:after="0" w:line="279" w:lineRule="exact"/>
        <w:rPr>
          <w:sz w:val="20"/>
          <w:szCs w:val="20"/>
          <w:color w:val="auto"/>
        </w:rPr>
      </w:pPr>
    </w:p>
    <w:p>
      <w:pPr>
        <w:ind w:left="20"/>
        <w:spacing w:after="0"/>
        <w:tabs>
          <w:tab w:leader="none" w:pos="980" w:val="left"/>
          <w:tab w:leader="none" w:pos="5180" w:val="left"/>
        </w:tabs>
        <w:rPr>
          <w:sz w:val="20"/>
          <w:szCs w:val="20"/>
          <w:color w:val="auto"/>
        </w:rPr>
      </w:pPr>
      <w:r>
        <w:rPr>
          <w:rFonts w:ascii="Arial" w:cs="Arial" w:eastAsia="Arial" w:hAnsi="Arial"/>
          <w:sz w:val="18"/>
          <w:szCs w:val="18"/>
          <w:color w:val="51555C"/>
        </w:rPr>
        <w:t>Date:</w:t>
      </w:r>
      <w:r>
        <w:rPr>
          <w:sz w:val="20"/>
          <w:szCs w:val="20"/>
          <w:color w:val="auto"/>
        </w:rPr>
        <w:tab/>
      </w:r>
      <w:r>
        <w:rPr>
          <w:rFonts w:ascii="Arial" w:cs="Arial" w:eastAsia="Arial" w:hAnsi="Arial"/>
          <w:sz w:val="18"/>
          <w:szCs w:val="18"/>
          <w:color w:val="51555C"/>
        </w:rPr>
        <w:t>October 28, 2026</w:t>
      </w:r>
      <w:r>
        <w:rPr>
          <w:sz w:val="20"/>
          <w:szCs w:val="20"/>
          <w:color w:val="auto"/>
        </w:rPr>
        <w:tab/>
      </w:r>
      <w:r>
        <w:rPr>
          <w:rFonts w:ascii="Arial" w:cs="Arial" w:eastAsia="Arial" w:hAnsi="Arial"/>
          <w:sz w:val="17"/>
          <w:szCs w:val="17"/>
          <w:color w:val="51555C"/>
        </w:rPr>
        <w:t>/s/ Chad 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color w:val="51555C"/>
        </w:rPr>
        <w:t>Chad M. Anderson</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color w:val="51555C"/>
        </w:rPr>
        <w:t>Executive Vice President and Chief Financial Officer</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color w:val="51555C"/>
        </w:rPr>
        <w:t>(Principal Financial and Accounting Officer)</w:t>
      </w:r>
    </w:p>
    <w:p>
      <w:pPr>
        <w:sectPr>
          <w:pgSz w:w="11900" w:h="16838" w:orient="portrait"/>
          <w:cols w:equalWidth="0" w:num="1">
            <w:col w:w="11120"/>
          </w:cols>
          <w:pgMar w:left="320" w:top="121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51555C"/>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497840</wp:posOffset>
            </wp:positionV>
            <wp:extent cx="9855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55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006880"/>
        </w:rPr>
        <w:t>PRESS RELEASE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6880"/>
        </w:rPr>
        <w:t>Blackbaud Announces 2026 Third Quarter Financial Results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51555C"/>
        </w:rPr>
        <w:t>Blackbaud Expands AI Leadership Through Numerous Innovation Announcements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51555C"/>
        </w:rPr>
        <w:t>at bbcon User Conference</w:t>
      </w:r>
    </w:p>
    <w:p>
      <w:pPr>
        <w:spacing w:after="0" w:line="236"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b w:val="1"/>
          <w:bCs w:val="1"/>
          <w:color w:val="006880"/>
        </w:rPr>
        <w:t xml:space="preserve">Charleston, S.C. (October 28, 2026) </w:t>
      </w:r>
      <w:r>
        <w:rPr>
          <w:rFonts w:ascii="Arial" w:cs="Arial" w:eastAsia="Arial" w:hAnsi="Arial"/>
          <w:sz w:val="20"/>
          <w:szCs w:val="20"/>
          <w:color w:val="51555C"/>
        </w:rPr>
        <w:t>— Blackbaud (NASDAQ: BLKB), the world's leading provider of AI-powered solutions for</w:t>
      </w:r>
      <w:r>
        <w:rPr>
          <w:rFonts w:ascii="Arial" w:cs="Arial" w:eastAsia="Arial" w:hAnsi="Arial"/>
          <w:sz w:val="20"/>
          <w:szCs w:val="20"/>
          <w:b w:val="1"/>
          <w:bCs w:val="1"/>
          <w:color w:val="006880"/>
        </w:rPr>
        <w:t xml:space="preserve"> </w:t>
      </w:r>
      <w:r>
        <w:rPr>
          <w:rFonts w:ascii="Arial" w:cs="Arial" w:eastAsia="Arial" w:hAnsi="Arial"/>
          <w:sz w:val="20"/>
          <w:szCs w:val="20"/>
          <w:color w:val="51555C"/>
        </w:rPr>
        <w:t>social impact, today announced financial results for its third quarter ended September 30, 2026.</w:t>
      </w:r>
    </w:p>
    <w:p>
      <w:pPr>
        <w:spacing w:after="0" w:line="11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51555C"/>
        </w:rPr>
        <w:t>"Innovation continues to drive our clear market leadership and a widening competitive moat," said Mike Gianoni, president, CEO and vice chairman of the board of directors, Blackbaud. "As demonstrated at our recent bbcon conference in September, we continue to make significant investments in AI, empowering our customers to deepen constituent relationships, raise more money and operate more efficiently. For investors, we believe Blackbaud is a sound investment choice that has the potential to create shareholder value—a belief that is supported by our strong 2026 year-to-date financial results and accelerating pace of innovation. I continue to be excited about the company's momentum in the near, mid and long term."</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51555C"/>
        </w:rPr>
        <w:t>Third Quarter 2026 Results Compared to Third Quarter 2025 Results:</w:t>
      </w:r>
    </w:p>
    <w:p>
      <w:pPr>
        <w:spacing w:after="0" w:line="164" w:lineRule="exact"/>
        <w:rPr>
          <w:sz w:val="20"/>
          <w:szCs w:val="20"/>
          <w:color w:val="auto"/>
        </w:rPr>
      </w:pPr>
    </w:p>
    <w:p>
      <w:pPr>
        <w:ind w:left="480" w:hanging="148"/>
        <w:spacing w:after="0"/>
        <w:tabs>
          <w:tab w:leader="none" w:pos="480"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GAAP total revenue was $292.6 million, up 4.1% and non-GAAP organic revenue increased 4.1%.</w:t>
      </w:r>
    </w:p>
    <w:p>
      <w:pPr>
        <w:spacing w:after="0" w:line="175" w:lineRule="exact"/>
        <w:rPr>
          <w:rFonts w:ascii="Arial" w:cs="Arial" w:eastAsia="Arial" w:hAnsi="Arial"/>
          <w:sz w:val="20"/>
          <w:szCs w:val="20"/>
          <w:color w:val="51555C"/>
        </w:rPr>
      </w:pPr>
    </w:p>
    <w:p>
      <w:pPr>
        <w:ind w:left="500" w:right="740" w:hanging="168"/>
        <w:spacing w:after="0" w:line="271" w:lineRule="auto"/>
        <w:tabs>
          <w:tab w:leader="none" w:pos="488"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GAAP recurring revenue was $287.0 million, up 4.1% and represented 98.1% of total revenue. Non-GAAP organic recurring revenue increased 4.1%.</w:t>
      </w:r>
    </w:p>
    <w:p>
      <w:pPr>
        <w:spacing w:after="0" w:line="115" w:lineRule="exact"/>
        <w:rPr>
          <w:rFonts w:ascii="Arial" w:cs="Arial" w:eastAsia="Arial" w:hAnsi="Arial"/>
          <w:sz w:val="20"/>
          <w:szCs w:val="20"/>
          <w:color w:val="51555C"/>
        </w:rPr>
      </w:pPr>
    </w:p>
    <w:p>
      <w:pPr>
        <w:ind w:left="480" w:hanging="148"/>
        <w:spacing w:after="0"/>
        <w:tabs>
          <w:tab w:leader="none" w:pos="480"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GAAP income from operations was $60.0 million, with GAAP operating margin of 20.5%, an increase of 110 basis points.</w:t>
      </w:r>
    </w:p>
    <w:p>
      <w:pPr>
        <w:spacing w:after="0" w:line="175" w:lineRule="exact"/>
        <w:rPr>
          <w:rFonts w:ascii="Arial" w:cs="Arial" w:eastAsia="Arial" w:hAnsi="Arial"/>
          <w:sz w:val="20"/>
          <w:szCs w:val="20"/>
          <w:color w:val="51555C"/>
        </w:rPr>
      </w:pPr>
    </w:p>
    <w:p>
      <w:pPr>
        <w:ind w:left="500" w:right="480" w:hanging="168"/>
        <w:spacing w:after="0" w:line="271" w:lineRule="auto"/>
        <w:tabs>
          <w:tab w:leader="none" w:pos="488"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Non-GAAP income from operations was $94.6 million, with non-GAAP operating margin of 32.3%, an increase of 240 basis points.</w:t>
      </w:r>
    </w:p>
    <w:p>
      <w:pPr>
        <w:spacing w:after="0" w:line="115" w:lineRule="exact"/>
        <w:rPr>
          <w:rFonts w:ascii="Arial" w:cs="Arial" w:eastAsia="Arial" w:hAnsi="Arial"/>
          <w:sz w:val="20"/>
          <w:szCs w:val="20"/>
          <w:color w:val="51555C"/>
        </w:rPr>
      </w:pPr>
    </w:p>
    <w:p>
      <w:pPr>
        <w:ind w:left="480" w:hanging="148"/>
        <w:spacing w:after="0"/>
        <w:tabs>
          <w:tab w:leader="none" w:pos="480"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GAAP net income was $46.1 million, with GAAP diluted earnings per share of $1.02, up $0.04 per share.</w:t>
      </w:r>
    </w:p>
    <w:p>
      <w:pPr>
        <w:spacing w:after="0" w:line="161" w:lineRule="exact"/>
        <w:rPr>
          <w:rFonts w:ascii="Arial" w:cs="Arial" w:eastAsia="Arial" w:hAnsi="Arial"/>
          <w:sz w:val="20"/>
          <w:szCs w:val="20"/>
          <w:color w:val="51555C"/>
        </w:rPr>
      </w:pPr>
    </w:p>
    <w:p>
      <w:pPr>
        <w:ind w:left="480" w:hanging="148"/>
        <w:spacing w:after="0"/>
        <w:tabs>
          <w:tab w:leader="none" w:pos="480"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Non-GAAP net income was $61.2 million, with non-GAAP diluted earnings per share of $1.36, up $0.26 per share.</w:t>
      </w:r>
    </w:p>
    <w:p>
      <w:pPr>
        <w:spacing w:after="0" w:line="175" w:lineRule="exact"/>
        <w:rPr>
          <w:rFonts w:ascii="Arial" w:cs="Arial" w:eastAsia="Arial" w:hAnsi="Arial"/>
          <w:sz w:val="20"/>
          <w:szCs w:val="20"/>
          <w:color w:val="51555C"/>
        </w:rPr>
      </w:pPr>
    </w:p>
    <w:p>
      <w:pPr>
        <w:ind w:left="500" w:right="200" w:hanging="168"/>
        <w:spacing w:after="0" w:line="286" w:lineRule="auto"/>
        <w:tabs>
          <w:tab w:leader="none" w:pos="488"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Non-GAAP adjusted EBITDA was $111.1 million, up $11.4 million, with non-GAAP adjusted EBITDA margin of 38.0%, an increase of 260 basis points.</w:t>
      </w:r>
    </w:p>
    <w:p>
      <w:pPr>
        <w:spacing w:after="0" w:line="86" w:lineRule="exact"/>
        <w:rPr>
          <w:rFonts w:ascii="Arial" w:cs="Arial" w:eastAsia="Arial" w:hAnsi="Arial"/>
          <w:sz w:val="20"/>
          <w:szCs w:val="20"/>
          <w:color w:val="51555C"/>
        </w:rPr>
      </w:pPr>
    </w:p>
    <w:p>
      <w:pPr>
        <w:ind w:left="480" w:hanging="148"/>
        <w:spacing w:after="0"/>
        <w:tabs>
          <w:tab w:leader="none" w:pos="480"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Rule of 40 score was 42.1%.</w:t>
      </w:r>
    </w:p>
    <w:p>
      <w:pPr>
        <w:spacing w:after="0" w:line="175" w:lineRule="exact"/>
        <w:rPr>
          <w:rFonts w:ascii="Arial" w:cs="Arial" w:eastAsia="Arial" w:hAnsi="Arial"/>
          <w:sz w:val="20"/>
          <w:szCs w:val="20"/>
          <w:color w:val="51555C"/>
        </w:rPr>
      </w:pPr>
    </w:p>
    <w:p>
      <w:pPr>
        <w:ind w:left="500" w:right="100" w:hanging="168"/>
        <w:spacing w:after="0" w:line="271" w:lineRule="auto"/>
        <w:tabs>
          <w:tab w:leader="none" w:pos="488"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GAAP net cash provided by operating activities was $141.7 million, an increase of $2.5 million, with GAAP operating cash flow margin of 48.4%, a decrease of 110 basis points.</w:t>
      </w:r>
    </w:p>
    <w:p>
      <w:pPr>
        <w:spacing w:after="0" w:line="115" w:lineRule="exact"/>
        <w:rPr>
          <w:rFonts w:ascii="Arial" w:cs="Arial" w:eastAsia="Arial" w:hAnsi="Arial"/>
          <w:sz w:val="20"/>
          <w:szCs w:val="20"/>
          <w:color w:val="51555C"/>
        </w:rPr>
      </w:pPr>
    </w:p>
    <w:p>
      <w:pPr>
        <w:ind w:left="500" w:right="100" w:hanging="168"/>
        <w:spacing w:after="0" w:line="286" w:lineRule="auto"/>
        <w:tabs>
          <w:tab w:leader="none" w:pos="488" w:val="left"/>
        </w:tabs>
        <w:numPr>
          <w:ilvl w:val="0"/>
          <w:numId w:val="2"/>
        </w:numPr>
        <w:rPr>
          <w:rFonts w:ascii="Arial" w:cs="Arial" w:eastAsia="Arial" w:hAnsi="Arial"/>
          <w:sz w:val="20"/>
          <w:szCs w:val="20"/>
          <w:color w:val="51555C"/>
        </w:rPr>
      </w:pPr>
      <w:r>
        <w:rPr>
          <w:rFonts w:ascii="Arial" w:cs="Arial" w:eastAsia="Arial" w:hAnsi="Arial"/>
          <w:sz w:val="20"/>
          <w:szCs w:val="20"/>
          <w:color w:val="51555C"/>
        </w:rPr>
        <w:t>Non-GAAP free cash flow was $126.0 million, an increase of $2.8 million, with non-GAAP free cash flow margin of 43.1%, a decrease of 70 basis points.</w:t>
      </w:r>
    </w:p>
    <w:p>
      <w:pPr>
        <w:sectPr>
          <w:pgSz w:w="11900" w:h="16838" w:orient="portrait"/>
          <w:cols w:equalWidth="0" w:num="1">
            <w:col w:w="11220"/>
          </w:cols>
          <w:pgMar w:left="320" w:top="161" w:right="359" w:bottom="1440" w:gutter="0" w:footer="0" w:header="0"/>
        </w:sectPr>
      </w:pPr>
    </w:p>
    <w:bookmarkStart w:id="4" w:name="page5"/>
    <w:bookmarkEnd w:id="4"/>
    <w:p>
      <w:pPr>
        <w:ind w:right="80"/>
        <w:spacing w:after="0" w:line="254" w:lineRule="auto"/>
        <w:rPr>
          <w:sz w:val="20"/>
          <w:szCs w:val="20"/>
          <w:color w:val="auto"/>
        </w:rPr>
      </w:pPr>
      <w:r>
        <w:rPr>
          <w:rFonts w:ascii="Arial" w:cs="Arial" w:eastAsia="Arial" w:hAnsi="Arial"/>
          <w:sz w:val="20"/>
          <w:szCs w:val="20"/>
          <w:color w:val="51555C"/>
        </w:rPr>
        <w:drawing>
          <wp:anchor simplePos="0" relativeHeight="251657728" behindDoc="1" locked="0" layoutInCell="0" allowOverlap="1">
            <wp:simplePos x="0" y="0"/>
            <wp:positionH relativeFrom="page">
              <wp:posOffset>6346190</wp:posOffset>
            </wp:positionH>
            <wp:positionV relativeFrom="page">
              <wp:posOffset>132080</wp:posOffset>
            </wp:positionV>
            <wp:extent cx="9855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85520" cy="154305"/>
                    </a:xfrm>
                    <a:prstGeom prst="rect">
                      <a:avLst/>
                    </a:prstGeom>
                    <a:noFill/>
                  </pic:spPr>
                </pic:pic>
              </a:graphicData>
            </a:graphic>
          </wp:anchor>
        </w:drawing>
        <w:t>"Blackbaud continues to be well-positioned for long-term success," said Chad Anderson, executive vice president and CFO, Blackbaud. "Our strong results reflect our execution discipline, ongoing productivity improvements, and balance sheet optimization. We remain committed to providing investors an attractive financial model balanced across growth in revenues, earnings, and cash flows, along with a prudent and purposeful capital allocation strategy. Year-to-date we have repurchased more than 7% of our common stock outstanding since the end of 2025 while also reducing our leverage ratio from 2.7x in Q1 to 2.3x in Q3. We have a lot to be proud of and a lot more to look forward to in Q4 2026 and beyond."</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51555C"/>
        </w:rPr>
        <w:t>An explanation of all non-GAAP financial measures referenced in this press release, including the Rule of 40, is included below under the heading "Non-GAAP Financial Measures." A reconciliation of the company's non-GAAP financial measures to their most directly comparable GAAP measures has been provided in the financial statement tables included below in this press release.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51555C"/>
        </w:rPr>
        <w:t>Recent Company Highlights</w:t>
      </w:r>
    </w:p>
    <w:p>
      <w:pPr>
        <w:spacing w:after="0" w:line="177" w:lineRule="exact"/>
        <w:rPr>
          <w:sz w:val="20"/>
          <w:szCs w:val="20"/>
          <w:color w:val="auto"/>
        </w:rPr>
      </w:pPr>
    </w:p>
    <w:p>
      <w:pPr>
        <w:ind w:left="480" w:hanging="148"/>
        <w:spacing w:after="0"/>
        <w:tabs>
          <w:tab w:leader="none" w:pos="480" w:val="left"/>
        </w:tabs>
        <w:numPr>
          <w:ilvl w:val="0"/>
          <w:numId w:val="3"/>
        </w:numPr>
        <w:rPr>
          <w:rFonts w:ascii="Arial" w:cs="Arial" w:eastAsia="Arial" w:hAnsi="Arial"/>
          <w:sz w:val="20"/>
          <w:szCs w:val="20"/>
          <w:color w:val="51555C"/>
        </w:rPr>
      </w:pPr>
      <w:r>
        <w:rPr>
          <w:rFonts w:ascii="Arial" w:cs="Arial" w:eastAsia="Arial" w:hAnsi="Arial"/>
          <w:sz w:val="20"/>
          <w:szCs w:val="20"/>
          <w:color w:val="51555C"/>
        </w:rPr>
        <w:t>At bbcon 2026:</w:t>
      </w:r>
    </w:p>
    <w:p>
      <w:pPr>
        <w:spacing w:after="0" w:line="161" w:lineRule="exact"/>
        <w:rPr>
          <w:rFonts w:ascii="Arial" w:cs="Arial" w:eastAsia="Arial" w:hAnsi="Arial"/>
          <w:sz w:val="20"/>
          <w:szCs w:val="20"/>
          <w:color w:val="51555C"/>
        </w:rPr>
      </w:pPr>
    </w:p>
    <w:p>
      <w:pPr>
        <w:ind w:left="1140" w:right="220" w:hanging="160"/>
        <w:spacing w:after="0" w:line="258" w:lineRule="auto"/>
        <w:tabs>
          <w:tab w:leader="none" w:pos="1129" w:val="left"/>
        </w:tabs>
        <w:numPr>
          <w:ilvl w:val="1"/>
          <w:numId w:val="3"/>
        </w:numPr>
        <w:rPr>
          <w:rFonts w:ascii="Arial" w:cs="Arial" w:eastAsia="Arial" w:hAnsi="Arial"/>
          <w:sz w:val="20"/>
          <w:szCs w:val="20"/>
          <w:color w:val="51555C"/>
        </w:rPr>
      </w:pPr>
      <w:r>
        <w:rPr>
          <w:rFonts w:ascii="Arial" w:cs="Arial" w:eastAsia="Arial" w:hAnsi="Arial"/>
          <w:sz w:val="20"/>
          <w:szCs w:val="20"/>
          <w:u w:val="single" w:color="auto"/>
          <w:color w:val="7A04DD"/>
        </w:rPr>
        <w:t>Blackbaud introduced Platform for Good™</w:t>
      </w:r>
      <w:r>
        <w:rPr>
          <w:rFonts w:ascii="Arial" w:cs="Arial" w:eastAsia="Arial" w:hAnsi="Arial"/>
          <w:sz w:val="20"/>
          <w:szCs w:val="20"/>
          <w:color w:val="51555C"/>
        </w:rPr>
        <w:t>, its unified operating system for social impact, bringing the company’s</w:t>
      </w:r>
      <w:r>
        <w:rPr>
          <w:rFonts w:ascii="Arial" w:cs="Arial" w:eastAsia="Arial" w:hAnsi="Arial"/>
          <w:sz w:val="20"/>
          <w:szCs w:val="20"/>
          <w:color w:val="7A04DD"/>
        </w:rPr>
        <w:t xml:space="preserve"> </w:t>
      </w:r>
      <w:r>
        <w:rPr>
          <w:rFonts w:ascii="Arial" w:cs="Arial" w:eastAsia="Arial" w:hAnsi="Arial"/>
          <w:sz w:val="20"/>
          <w:szCs w:val="20"/>
          <w:color w:val="51555C"/>
        </w:rPr>
        <w:t>products, data, AI, workflows and ecosystem together on a shared architecture to help organizations identify opportunities, expand capacity and move from information to action with greater confidence. Blackbaud also announced a broad portfolio of innovations across fundraising, marketing, financial management and education designed to strengthen the connected value of the platform.</w:t>
      </w:r>
    </w:p>
    <w:p>
      <w:pPr>
        <w:spacing w:after="0" w:line="113" w:lineRule="exact"/>
        <w:rPr>
          <w:rFonts w:ascii="Arial" w:cs="Arial" w:eastAsia="Arial" w:hAnsi="Arial"/>
          <w:sz w:val="20"/>
          <w:szCs w:val="20"/>
          <w:color w:val="51555C"/>
        </w:rPr>
      </w:pPr>
    </w:p>
    <w:p>
      <w:pPr>
        <w:ind w:left="1140" w:hanging="160"/>
        <w:spacing w:after="0" w:line="254" w:lineRule="auto"/>
        <w:tabs>
          <w:tab w:leader="none" w:pos="1129" w:val="left"/>
        </w:tabs>
        <w:numPr>
          <w:ilvl w:val="1"/>
          <w:numId w:val="3"/>
        </w:numPr>
        <w:rPr>
          <w:rFonts w:ascii="Arial" w:cs="Arial" w:eastAsia="Arial" w:hAnsi="Arial"/>
          <w:sz w:val="20"/>
          <w:szCs w:val="20"/>
          <w:color w:val="51555C"/>
        </w:rPr>
      </w:pPr>
      <w:r>
        <w:rPr>
          <w:rFonts w:ascii="Arial" w:cs="Arial" w:eastAsia="Arial" w:hAnsi="Arial"/>
          <w:sz w:val="20"/>
          <w:szCs w:val="20"/>
          <w:u w:val="single" w:color="auto"/>
          <w:color w:val="7A04DD"/>
        </w:rPr>
        <w:t>Blackbaud also unveiled Lantern™</w:t>
      </w:r>
      <w:r>
        <w:rPr>
          <w:rFonts w:ascii="Arial" w:cs="Arial" w:eastAsia="Arial" w:hAnsi="Arial"/>
          <w:sz w:val="20"/>
          <w:szCs w:val="20"/>
          <w:color w:val="51555C"/>
        </w:rPr>
        <w:t>, the first domain-specific language model purpose-built to optimize fundraising</w:t>
      </w:r>
      <w:r>
        <w:rPr>
          <w:rFonts w:ascii="Arial" w:cs="Arial" w:eastAsia="Arial" w:hAnsi="Arial"/>
          <w:sz w:val="20"/>
          <w:szCs w:val="20"/>
          <w:color w:val="7A04DD"/>
        </w:rPr>
        <w:t xml:space="preserve"> </w:t>
      </w:r>
      <w:r>
        <w:rPr>
          <w:rFonts w:ascii="Arial" w:cs="Arial" w:eastAsia="Arial" w:hAnsi="Arial"/>
          <w:sz w:val="20"/>
          <w:szCs w:val="20"/>
          <w:color w:val="51555C"/>
        </w:rPr>
        <w:t>intelligence. Developed through a strategic collaboration with Databricks, Lantern is built on Blackbaud’s four decades of experience in fundraising workflows, decisions, and results, so it understands the rhythms of fundraising and can illuminate opportunities that might otherwise go unseen. Starting in 2027, Lantern will be embedded within the Platform for Good and will begin powering select Blackbaud Raiser’s Edge NXT® and Agents for Good™ capabilities.</w:t>
      </w:r>
    </w:p>
    <w:p>
      <w:pPr>
        <w:spacing w:after="0" w:line="132" w:lineRule="exact"/>
        <w:rPr>
          <w:rFonts w:ascii="Arial" w:cs="Arial" w:eastAsia="Arial" w:hAnsi="Arial"/>
          <w:sz w:val="20"/>
          <w:szCs w:val="20"/>
          <w:color w:val="51555C"/>
        </w:rPr>
      </w:pPr>
    </w:p>
    <w:p>
      <w:pPr>
        <w:jc w:val="both"/>
        <w:ind w:left="1140" w:right="140" w:hanging="160"/>
        <w:spacing w:after="0" w:line="255" w:lineRule="auto"/>
        <w:tabs>
          <w:tab w:leader="none" w:pos="1129" w:val="left"/>
        </w:tabs>
        <w:numPr>
          <w:ilvl w:val="1"/>
          <w:numId w:val="3"/>
        </w:numPr>
        <w:rPr>
          <w:rFonts w:ascii="Arial" w:cs="Arial" w:eastAsia="Arial" w:hAnsi="Arial"/>
          <w:sz w:val="20"/>
          <w:szCs w:val="20"/>
          <w:color w:val="51555C"/>
        </w:rPr>
      </w:pPr>
      <w:r>
        <w:rPr>
          <w:rFonts w:ascii="Arial" w:cs="Arial" w:eastAsia="Arial" w:hAnsi="Arial"/>
          <w:sz w:val="20"/>
          <w:szCs w:val="20"/>
          <w:color w:val="51555C"/>
        </w:rPr>
        <w:t xml:space="preserve">In addition, </w:t>
      </w:r>
      <w:r>
        <w:rPr>
          <w:rFonts w:ascii="Arial" w:cs="Arial" w:eastAsia="Arial" w:hAnsi="Arial"/>
          <w:sz w:val="20"/>
          <w:szCs w:val="20"/>
          <w:u w:val="single" w:color="auto"/>
          <w:color w:val="7A04DD"/>
        </w:rPr>
        <w:t>Blackbaud shared updates on its expanding family of Agents for Good</w:t>
      </w:r>
      <w:r>
        <w:rPr>
          <w:rFonts w:ascii="Arial" w:cs="Arial" w:eastAsia="Arial" w:hAnsi="Arial"/>
          <w:sz w:val="20"/>
          <w:szCs w:val="20"/>
          <w:color w:val="51555C"/>
        </w:rPr>
        <w:t>, including advancements to the Development Agent and the introduction of the Data Health Agent, a continuous data steward designed to detect and address data issues through review-and-approve workflows. Blackbaud also previewed agentic experiences for finance and education.</w:t>
      </w:r>
    </w:p>
    <w:p>
      <w:pPr>
        <w:spacing w:after="0" w:line="129" w:lineRule="exact"/>
        <w:rPr>
          <w:rFonts w:ascii="Arial" w:cs="Arial" w:eastAsia="Arial" w:hAnsi="Arial"/>
          <w:sz w:val="20"/>
          <w:szCs w:val="20"/>
          <w:color w:val="51555C"/>
        </w:rPr>
      </w:pPr>
    </w:p>
    <w:p>
      <w:pPr>
        <w:ind w:left="1140" w:right="100" w:hanging="160"/>
        <w:spacing w:after="0" w:line="254" w:lineRule="auto"/>
        <w:tabs>
          <w:tab w:leader="none" w:pos="1129" w:val="left"/>
        </w:tabs>
        <w:numPr>
          <w:ilvl w:val="1"/>
          <w:numId w:val="3"/>
        </w:numPr>
        <w:rPr>
          <w:rFonts w:ascii="Arial" w:cs="Arial" w:eastAsia="Arial" w:hAnsi="Arial"/>
          <w:sz w:val="20"/>
          <w:szCs w:val="20"/>
          <w:color w:val="51555C"/>
        </w:rPr>
      </w:pPr>
      <w:r>
        <w:rPr>
          <w:rFonts w:ascii="Arial" w:cs="Arial" w:eastAsia="Arial" w:hAnsi="Arial"/>
          <w:sz w:val="20"/>
          <w:szCs w:val="20"/>
          <w:u w:val="single" w:color="auto"/>
          <w:color w:val="7A04DD"/>
        </w:rPr>
        <w:t>BILL and Blackbaud announced a strategic partnership</w:t>
      </w:r>
      <w:r>
        <w:rPr>
          <w:rFonts w:ascii="Arial" w:cs="Arial" w:eastAsia="Arial" w:hAnsi="Arial"/>
          <w:sz w:val="20"/>
          <w:szCs w:val="20"/>
          <w:color w:val="7A04DD"/>
        </w:rPr>
        <w:t xml:space="preserve"> </w:t>
      </w:r>
      <w:r>
        <w:rPr>
          <w:rFonts w:ascii="Arial" w:cs="Arial" w:eastAsia="Arial" w:hAnsi="Arial"/>
          <w:sz w:val="20"/>
          <w:szCs w:val="20"/>
          <w:color w:val="51555C"/>
        </w:rPr>
        <w:t>to simplify the accounts payable process for nonprofit and</w:t>
      </w:r>
      <w:r>
        <w:rPr>
          <w:rFonts w:ascii="Arial" w:cs="Arial" w:eastAsia="Arial" w:hAnsi="Arial"/>
          <w:sz w:val="20"/>
          <w:szCs w:val="20"/>
          <w:color w:val="7A04DD"/>
        </w:rPr>
        <w:t xml:space="preserve"> </w:t>
      </w:r>
      <w:r>
        <w:rPr>
          <w:rFonts w:ascii="Arial" w:cs="Arial" w:eastAsia="Arial" w:hAnsi="Arial"/>
          <w:sz w:val="20"/>
          <w:szCs w:val="20"/>
          <w:color w:val="51555C"/>
        </w:rPr>
        <w:t>education finance teams, embedding BILL’s business payments network and payment-processing capabilities into Blackbaud Financial Edge NXT® Payment Assistant™. The connected experience is designed to support finance teams from invoice and approval through payment and reconciliation, reducing manual work within the financial management workflow.</w:t>
      </w:r>
    </w:p>
    <w:p>
      <w:pPr>
        <w:spacing w:after="0" w:line="133" w:lineRule="exact"/>
        <w:rPr>
          <w:rFonts w:ascii="Arial" w:cs="Arial" w:eastAsia="Arial" w:hAnsi="Arial"/>
          <w:sz w:val="20"/>
          <w:szCs w:val="20"/>
          <w:color w:val="51555C"/>
        </w:rPr>
      </w:pPr>
    </w:p>
    <w:p>
      <w:pPr>
        <w:ind w:left="500" w:right="40" w:hanging="168"/>
        <w:spacing w:after="0" w:line="259" w:lineRule="auto"/>
        <w:tabs>
          <w:tab w:leader="none" w:pos="488" w:val="left"/>
        </w:tabs>
        <w:numPr>
          <w:ilvl w:val="0"/>
          <w:numId w:val="3"/>
        </w:numPr>
        <w:rPr>
          <w:rFonts w:ascii="Arial" w:cs="Arial" w:eastAsia="Arial" w:hAnsi="Arial"/>
          <w:sz w:val="20"/>
          <w:szCs w:val="20"/>
          <w:color w:val="51555C"/>
        </w:rPr>
      </w:pPr>
      <w:r>
        <w:rPr>
          <w:rFonts w:ascii="Arial" w:cs="Arial" w:eastAsia="Arial" w:hAnsi="Arial"/>
          <w:sz w:val="20"/>
          <w:szCs w:val="20"/>
          <w:u w:val="single" w:color="auto"/>
          <w:color w:val="7A04DD"/>
        </w:rPr>
        <w:t>Blackbaud expanded the availability of Expedited Giving and Expedited Giving+</w:t>
      </w:r>
      <w:r>
        <w:rPr>
          <w:rFonts w:ascii="Arial" w:cs="Arial" w:eastAsia="Arial" w:hAnsi="Arial"/>
          <w:sz w:val="20"/>
          <w:szCs w:val="20"/>
          <w:color w:val="7A04DD"/>
        </w:rPr>
        <w:t xml:space="preserve"> </w:t>
      </w:r>
      <w:r>
        <w:rPr>
          <w:rFonts w:ascii="Arial" w:cs="Arial" w:eastAsia="Arial" w:hAnsi="Arial"/>
          <w:sz w:val="20"/>
          <w:szCs w:val="20"/>
          <w:color w:val="51555C"/>
        </w:rPr>
        <w:t>within its YourCause® from Blackbaud®</w:t>
      </w:r>
      <w:r>
        <w:rPr>
          <w:rFonts w:ascii="Arial" w:cs="Arial" w:eastAsia="Arial" w:hAnsi="Arial"/>
          <w:sz w:val="20"/>
          <w:szCs w:val="20"/>
          <w:color w:val="7A04DD"/>
        </w:rPr>
        <w:t xml:space="preserve"> </w:t>
      </w:r>
      <w:r>
        <w:rPr>
          <w:rFonts w:ascii="Arial" w:cs="Arial" w:eastAsia="Arial" w:hAnsi="Arial"/>
          <w:sz w:val="20"/>
          <w:szCs w:val="20"/>
          <w:color w:val="51555C"/>
        </w:rPr>
        <w:t>solutions, accelerating how corporate and employee donations reach nonprofits. Expedited Giving delivers donations 90% faster than the industry average, while Expedited Giving+ is the industry’s fastest option, enabling direct-to-nonprofit donations in near real time leveraging Blackbaud Integrated Payments.</w:t>
      </w:r>
    </w:p>
    <w:p>
      <w:pPr>
        <w:spacing w:after="0" w:line="114" w:lineRule="exact"/>
        <w:rPr>
          <w:rFonts w:ascii="Arial" w:cs="Arial" w:eastAsia="Arial" w:hAnsi="Arial"/>
          <w:sz w:val="20"/>
          <w:szCs w:val="20"/>
          <w:color w:val="51555C"/>
        </w:rPr>
      </w:pPr>
    </w:p>
    <w:p>
      <w:pPr>
        <w:ind w:left="500" w:right="100" w:hanging="168"/>
        <w:spacing w:after="0" w:line="286" w:lineRule="auto"/>
        <w:tabs>
          <w:tab w:leader="none" w:pos="488" w:val="left"/>
        </w:tabs>
        <w:numPr>
          <w:ilvl w:val="0"/>
          <w:numId w:val="3"/>
        </w:numPr>
        <w:rPr>
          <w:rFonts w:ascii="Arial" w:cs="Arial" w:eastAsia="Arial" w:hAnsi="Arial"/>
          <w:sz w:val="20"/>
          <w:szCs w:val="20"/>
          <w:color w:val="51555C"/>
        </w:rPr>
      </w:pPr>
      <w:r>
        <w:rPr>
          <w:rFonts w:ascii="Arial" w:cs="Arial" w:eastAsia="Arial" w:hAnsi="Arial"/>
          <w:sz w:val="20"/>
          <w:szCs w:val="20"/>
          <w:color w:val="51555C"/>
        </w:rPr>
        <w:t xml:space="preserve">Blackbaud announced new integrations with </w:t>
      </w:r>
      <w:r>
        <w:rPr>
          <w:rFonts w:ascii="Arial" w:cs="Arial" w:eastAsia="Arial" w:hAnsi="Arial"/>
          <w:sz w:val="20"/>
          <w:szCs w:val="20"/>
          <w:u w:val="single" w:color="auto"/>
          <w:color w:val="7A04DD"/>
        </w:rPr>
        <w:t>Microsoft 365 Copilot</w:t>
      </w:r>
      <w:r>
        <w:rPr>
          <w:rFonts w:ascii="Arial" w:cs="Arial" w:eastAsia="Arial" w:hAnsi="Arial"/>
          <w:sz w:val="20"/>
          <w:szCs w:val="20"/>
          <w:color w:val="51555C"/>
        </w:rPr>
        <w:t xml:space="preserve"> and </w:t>
      </w:r>
      <w:r>
        <w:rPr>
          <w:rFonts w:ascii="Arial" w:cs="Arial" w:eastAsia="Arial" w:hAnsi="Arial"/>
          <w:sz w:val="20"/>
          <w:szCs w:val="20"/>
          <w:u w:val="single" w:color="auto"/>
          <w:color w:val="7A04DD"/>
        </w:rPr>
        <w:t>Intuit Mailchimp</w:t>
      </w:r>
      <w:r>
        <w:rPr>
          <w:rFonts w:ascii="Arial" w:cs="Arial" w:eastAsia="Arial" w:hAnsi="Arial"/>
          <w:sz w:val="20"/>
          <w:szCs w:val="20"/>
          <w:color w:val="51555C"/>
        </w:rPr>
        <w:t>, connecting Raiser’s Edge NXT to preferred technologies and giving users more ways to work, with best-in-class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51555C"/>
        </w:rPr>
        <w:t>2</w:t>
      </w:r>
    </w:p>
    <w:p>
      <w:pPr>
        <w:sectPr>
          <w:pgSz w:w="11900" w:h="16838" w:orient="portrait"/>
          <w:cols w:equalWidth="0" w:num="1">
            <w:col w:w="11200"/>
          </w:cols>
          <w:pgMar w:left="320" w:top="766"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51555C"/>
        </w:rPr>
        <w:drawing>
          <wp:anchor simplePos="0" relativeHeight="251657728" behindDoc="1" locked="0" layoutInCell="0" allowOverlap="1">
            <wp:simplePos x="0" y="0"/>
            <wp:positionH relativeFrom="page">
              <wp:posOffset>6346190</wp:posOffset>
            </wp:positionH>
            <wp:positionV relativeFrom="page">
              <wp:posOffset>131445</wp:posOffset>
            </wp:positionV>
            <wp:extent cx="9855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85520" cy="154305"/>
                    </a:xfrm>
                    <a:prstGeom prst="rect">
                      <a:avLst/>
                    </a:prstGeom>
                    <a:noFill/>
                  </pic:spPr>
                </pic:pic>
              </a:graphicData>
            </a:graphic>
          </wp:anchor>
        </w:drawing>
        <w:t xml:space="preserve">Visit </w:t>
      </w:r>
      <w:r>
        <w:rPr>
          <w:rFonts w:ascii="Arial" w:cs="Arial" w:eastAsia="Arial" w:hAnsi="Arial"/>
          <w:sz w:val="20"/>
          <w:szCs w:val="20"/>
          <w:u w:val="single" w:color="auto"/>
          <w:color w:val="7A04DD"/>
        </w:rPr>
        <w:t>www.blackbaud.com/newsroom</w:t>
      </w:r>
      <w:r>
        <w:rPr>
          <w:rFonts w:ascii="Arial" w:cs="Arial" w:eastAsia="Arial" w:hAnsi="Arial"/>
          <w:sz w:val="20"/>
          <w:szCs w:val="20"/>
          <w:color w:val="51555C"/>
        </w:rPr>
        <w:t xml:space="preserve"> for more information about Blackbaud’s recent highlights.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51555C"/>
        </w:rPr>
        <w:t>Financial Outlook</w:t>
      </w:r>
    </w:p>
    <w:p>
      <w:pPr>
        <w:spacing w:after="0" w:line="164" w:lineRule="exact"/>
        <w:rPr>
          <w:sz w:val="20"/>
          <w:szCs w:val="20"/>
          <w:color w:val="auto"/>
        </w:rPr>
      </w:pPr>
    </w:p>
    <w:p>
      <w:pPr>
        <w:ind w:right="320"/>
        <w:spacing w:after="0" w:line="286" w:lineRule="auto"/>
        <w:rPr>
          <w:sz w:val="20"/>
          <w:szCs w:val="20"/>
          <w:color w:val="auto"/>
        </w:rPr>
      </w:pPr>
      <w:r>
        <w:rPr>
          <w:rFonts w:ascii="Arial" w:cs="Arial" w:eastAsia="Arial" w:hAnsi="Arial"/>
          <w:sz w:val="20"/>
          <w:szCs w:val="20"/>
          <w:color w:val="51555C"/>
        </w:rPr>
        <w:t>Blackbaud today reaffirmed its 2026 full year financial guidance and expects to finish in the upper half of the range across all four key metrics:</w:t>
      </w:r>
    </w:p>
    <w:p>
      <w:pPr>
        <w:spacing w:after="0" w:line="167" w:lineRule="exact"/>
        <w:rPr>
          <w:sz w:val="20"/>
          <w:szCs w:val="20"/>
          <w:color w:val="auto"/>
        </w:rPr>
      </w:pPr>
    </w:p>
    <w:p>
      <w:pPr>
        <w:ind w:left="480" w:hanging="148"/>
        <w:spacing w:after="0"/>
        <w:tabs>
          <w:tab w:leader="none" w:pos="480" w:val="left"/>
        </w:tabs>
        <w:numPr>
          <w:ilvl w:val="0"/>
          <w:numId w:val="4"/>
        </w:numPr>
        <w:rPr>
          <w:rFonts w:ascii="Arial" w:cs="Arial" w:eastAsia="Arial" w:hAnsi="Arial"/>
          <w:sz w:val="20"/>
          <w:szCs w:val="20"/>
          <w:color w:val="51555C"/>
        </w:rPr>
      </w:pPr>
      <w:r>
        <w:rPr>
          <w:rFonts w:ascii="Arial" w:cs="Arial" w:eastAsia="Arial" w:hAnsi="Arial"/>
          <w:sz w:val="20"/>
          <w:szCs w:val="20"/>
          <w:color w:val="51555C"/>
        </w:rPr>
        <w:t>GAAP revenue of $1.173 billion to $1.179 billion</w:t>
      </w:r>
    </w:p>
    <w:p>
      <w:pPr>
        <w:spacing w:after="0" w:line="175" w:lineRule="exact"/>
        <w:rPr>
          <w:rFonts w:ascii="Arial" w:cs="Arial" w:eastAsia="Arial" w:hAnsi="Arial"/>
          <w:sz w:val="20"/>
          <w:szCs w:val="20"/>
          <w:color w:val="51555C"/>
        </w:rPr>
      </w:pPr>
    </w:p>
    <w:p>
      <w:pPr>
        <w:ind w:left="480" w:hanging="148"/>
        <w:spacing w:after="0"/>
        <w:tabs>
          <w:tab w:leader="none" w:pos="480" w:val="left"/>
        </w:tabs>
        <w:numPr>
          <w:ilvl w:val="0"/>
          <w:numId w:val="4"/>
        </w:numPr>
        <w:rPr>
          <w:rFonts w:ascii="Arial" w:cs="Arial" w:eastAsia="Arial" w:hAnsi="Arial"/>
          <w:sz w:val="20"/>
          <w:szCs w:val="20"/>
          <w:color w:val="51555C"/>
        </w:rPr>
      </w:pPr>
      <w:r>
        <w:rPr>
          <w:rFonts w:ascii="Arial" w:cs="Arial" w:eastAsia="Arial" w:hAnsi="Arial"/>
          <w:sz w:val="20"/>
          <w:szCs w:val="20"/>
          <w:color w:val="51555C"/>
        </w:rPr>
        <w:t>Non-GAAP adjusted EBITDA of $430 million to $438 million</w:t>
      </w:r>
    </w:p>
    <w:p>
      <w:pPr>
        <w:spacing w:after="0" w:line="175" w:lineRule="exact"/>
        <w:rPr>
          <w:rFonts w:ascii="Arial" w:cs="Arial" w:eastAsia="Arial" w:hAnsi="Arial"/>
          <w:sz w:val="20"/>
          <w:szCs w:val="20"/>
          <w:color w:val="51555C"/>
        </w:rPr>
      </w:pPr>
    </w:p>
    <w:p>
      <w:pPr>
        <w:ind w:left="480" w:hanging="148"/>
        <w:spacing w:after="0"/>
        <w:tabs>
          <w:tab w:leader="none" w:pos="480" w:val="left"/>
        </w:tabs>
        <w:numPr>
          <w:ilvl w:val="0"/>
          <w:numId w:val="4"/>
        </w:numPr>
        <w:rPr>
          <w:rFonts w:ascii="Arial" w:cs="Arial" w:eastAsia="Arial" w:hAnsi="Arial"/>
          <w:sz w:val="20"/>
          <w:szCs w:val="20"/>
          <w:color w:val="51555C"/>
        </w:rPr>
      </w:pPr>
      <w:r>
        <w:rPr>
          <w:rFonts w:ascii="Arial" w:cs="Arial" w:eastAsia="Arial" w:hAnsi="Arial"/>
          <w:sz w:val="20"/>
          <w:szCs w:val="20"/>
          <w:color w:val="51555C"/>
        </w:rPr>
        <w:t>Non-GAAP diluted earnings per share of $5.15 to $5.25</w:t>
      </w:r>
    </w:p>
    <w:p>
      <w:pPr>
        <w:spacing w:after="0" w:line="161" w:lineRule="exact"/>
        <w:rPr>
          <w:rFonts w:ascii="Arial" w:cs="Arial" w:eastAsia="Arial" w:hAnsi="Arial"/>
          <w:sz w:val="20"/>
          <w:szCs w:val="20"/>
          <w:color w:val="51555C"/>
        </w:rPr>
      </w:pPr>
    </w:p>
    <w:p>
      <w:pPr>
        <w:ind w:left="480" w:hanging="148"/>
        <w:spacing w:after="0"/>
        <w:tabs>
          <w:tab w:leader="none" w:pos="480" w:val="left"/>
        </w:tabs>
        <w:numPr>
          <w:ilvl w:val="0"/>
          <w:numId w:val="4"/>
        </w:numPr>
        <w:rPr>
          <w:rFonts w:ascii="Arial" w:cs="Arial" w:eastAsia="Arial" w:hAnsi="Arial"/>
          <w:sz w:val="20"/>
          <w:szCs w:val="20"/>
          <w:color w:val="51555C"/>
        </w:rPr>
      </w:pPr>
      <w:r>
        <w:rPr>
          <w:rFonts w:ascii="Arial" w:cs="Arial" w:eastAsia="Arial" w:hAnsi="Arial"/>
          <w:sz w:val="20"/>
          <w:szCs w:val="20"/>
          <w:color w:val="51555C"/>
        </w:rPr>
        <w:t>Non-GAAP free cash flow of $280 million to $290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51555C"/>
        </w:rPr>
        <w:t>Included in its 2026 full year financial guidance are the following updated assumptions:</w:t>
      </w:r>
    </w:p>
    <w:p>
      <w:pPr>
        <w:spacing w:after="0" w:line="16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0"/>
          <w:szCs w:val="20"/>
          <w:color w:val="51555C"/>
        </w:rPr>
      </w:pPr>
      <w:r>
        <w:rPr>
          <w:rFonts w:ascii="Arial" w:cs="Arial" w:eastAsia="Arial" w:hAnsi="Arial"/>
          <w:sz w:val="20"/>
          <w:szCs w:val="20"/>
          <w:color w:val="51555C"/>
        </w:rPr>
        <w:t>Non-GAAP annualized effective tax rate is expected to be approximately 24.5%</w:t>
      </w:r>
    </w:p>
    <w:p>
      <w:pPr>
        <w:spacing w:after="0" w:line="175" w:lineRule="exact"/>
        <w:rPr>
          <w:rFonts w:ascii="Arial" w:cs="Arial" w:eastAsia="Arial" w:hAnsi="Arial"/>
          <w:sz w:val="20"/>
          <w:szCs w:val="20"/>
          <w:color w:val="51555C"/>
        </w:rPr>
      </w:pPr>
    </w:p>
    <w:p>
      <w:pPr>
        <w:ind w:left="320" w:hanging="312"/>
        <w:spacing w:after="0"/>
        <w:tabs>
          <w:tab w:leader="none" w:pos="320" w:val="left"/>
        </w:tabs>
        <w:numPr>
          <w:ilvl w:val="0"/>
          <w:numId w:val="5"/>
        </w:numPr>
        <w:rPr>
          <w:rFonts w:ascii="Arial" w:cs="Arial" w:eastAsia="Arial" w:hAnsi="Arial"/>
          <w:sz w:val="20"/>
          <w:szCs w:val="20"/>
          <w:color w:val="51555C"/>
        </w:rPr>
      </w:pPr>
      <w:r>
        <w:rPr>
          <w:rFonts w:ascii="Arial" w:cs="Arial" w:eastAsia="Arial" w:hAnsi="Arial"/>
          <w:sz w:val="20"/>
          <w:szCs w:val="20"/>
          <w:color w:val="51555C"/>
        </w:rPr>
        <w:t>Interest expense for the year is expected to be approximately $62 million to $66 million</w:t>
      </w:r>
    </w:p>
    <w:p>
      <w:pPr>
        <w:spacing w:after="0" w:line="175" w:lineRule="exact"/>
        <w:rPr>
          <w:rFonts w:ascii="Arial" w:cs="Arial" w:eastAsia="Arial" w:hAnsi="Arial"/>
          <w:sz w:val="20"/>
          <w:szCs w:val="20"/>
          <w:color w:val="51555C"/>
        </w:rPr>
      </w:pPr>
    </w:p>
    <w:p>
      <w:pPr>
        <w:ind w:left="320" w:hanging="312"/>
        <w:spacing w:after="0"/>
        <w:tabs>
          <w:tab w:leader="none" w:pos="320" w:val="left"/>
        </w:tabs>
        <w:numPr>
          <w:ilvl w:val="0"/>
          <w:numId w:val="5"/>
        </w:numPr>
        <w:rPr>
          <w:rFonts w:ascii="Arial" w:cs="Arial" w:eastAsia="Arial" w:hAnsi="Arial"/>
          <w:sz w:val="20"/>
          <w:szCs w:val="20"/>
          <w:color w:val="51555C"/>
        </w:rPr>
      </w:pPr>
      <w:r>
        <w:rPr>
          <w:rFonts w:ascii="Arial" w:cs="Arial" w:eastAsia="Arial" w:hAnsi="Arial"/>
          <w:sz w:val="20"/>
          <w:szCs w:val="20"/>
          <w:color w:val="51555C"/>
        </w:rPr>
        <w:t>Diluted weighted average shares outstanding for the year are expected to be approximately 45.0 million to 46.0 million</w:t>
      </w:r>
    </w:p>
    <w:p>
      <w:pPr>
        <w:spacing w:after="0" w:line="161" w:lineRule="exact"/>
        <w:rPr>
          <w:rFonts w:ascii="Arial" w:cs="Arial" w:eastAsia="Arial" w:hAnsi="Arial"/>
          <w:sz w:val="20"/>
          <w:szCs w:val="20"/>
          <w:color w:val="51555C"/>
        </w:rPr>
      </w:pPr>
    </w:p>
    <w:p>
      <w:pPr>
        <w:ind w:left="340" w:right="260" w:hanging="332"/>
        <w:spacing w:after="0" w:line="286" w:lineRule="auto"/>
        <w:tabs>
          <w:tab w:leader="none" w:pos="328" w:val="left"/>
        </w:tabs>
        <w:numPr>
          <w:ilvl w:val="0"/>
          <w:numId w:val="5"/>
        </w:numPr>
        <w:rPr>
          <w:rFonts w:ascii="Arial" w:cs="Arial" w:eastAsia="Arial" w:hAnsi="Arial"/>
          <w:sz w:val="20"/>
          <w:szCs w:val="20"/>
          <w:color w:val="51555C"/>
        </w:rPr>
      </w:pPr>
      <w:r>
        <w:rPr>
          <w:rFonts w:ascii="Arial" w:cs="Arial" w:eastAsia="Arial" w:hAnsi="Arial"/>
          <w:sz w:val="20"/>
          <w:szCs w:val="20"/>
          <w:color w:val="51555C"/>
        </w:rPr>
        <w:t>Capital expenditures for the year are expected to be approximately $60 million to $70 million, including approximately $52 million to $62 million of capitalized software development costs</w:t>
      </w:r>
    </w:p>
    <w:p>
      <w:pPr>
        <w:spacing w:after="0" w:line="86" w:lineRule="exact"/>
        <w:rPr>
          <w:sz w:val="20"/>
          <w:szCs w:val="20"/>
          <w:color w:val="auto"/>
        </w:rPr>
      </w:pPr>
    </w:p>
    <w:p>
      <w:pPr>
        <w:spacing w:after="0" w:line="254" w:lineRule="auto"/>
        <w:rPr>
          <w:sz w:val="20"/>
          <w:szCs w:val="20"/>
          <w:color w:val="auto"/>
        </w:rPr>
      </w:pPr>
      <w:r>
        <w:rPr>
          <w:rFonts w:ascii="Arial" w:cs="Arial" w:eastAsia="Arial" w:hAnsi="Arial"/>
          <w:sz w:val="20"/>
          <w:szCs w:val="20"/>
          <w:color w:val="51555C"/>
        </w:rPr>
        <w:t>Blackbaud has not reconciled forward-looking full-year non-GAAP financial measures contained in this news release to their most directly comparable GAAP measures, as permitted by Item 10(e)(1)(i)(B) of Regulation S-K. Such reconciliations would require unreasonable efforts at this time to estimate and quantify with a reasonable degree of certainty various necessary GAAP components, including for example those related to compensation, acquisition transactions and integration, tax items or others that may arise during the year. These components and other factors could materially impact the amount of the future directly comparable GAAP measures, which may differ significantly from their non-GAAP counterparts.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51555C"/>
        </w:rPr>
        <w:t>Stock Repurchase Program</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51555C"/>
        </w:rPr>
        <w:t>As of September 30, 2026, Blackbaud had approximately $832 million remaining under its common stock repurchase program that was expanded, replenished and reauthorized in December 2025. Based on our current plans, and stock repurchases to date, we expect total repurchases during 2026 to represent between 7% and 10% of our outstanding common stock as of December 31, 2025.</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51555C"/>
        </w:rPr>
        <w:t>Conference Call Details</w:t>
      </w:r>
    </w:p>
    <w:p>
      <w:pPr>
        <w:spacing w:after="0" w:line="16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51555C"/>
        </w:rPr>
        <w:t>What:</w:t>
      </w:r>
      <w:r>
        <w:rPr>
          <w:sz w:val="20"/>
          <w:szCs w:val="20"/>
          <w:color w:val="auto"/>
        </w:rPr>
        <w:tab/>
      </w:r>
      <w:r>
        <w:rPr>
          <w:rFonts w:ascii="Arial" w:cs="Arial" w:eastAsia="Arial" w:hAnsi="Arial"/>
          <w:sz w:val="19"/>
          <w:szCs w:val="19"/>
          <w:color w:val="51555C"/>
        </w:rPr>
        <w:t>Blackbaud's 2026 Third Quarter Conference Call</w:t>
      </w:r>
    </w:p>
    <w:p>
      <w:pPr>
        <w:spacing w:after="0" w:line="31"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51555C"/>
        </w:rPr>
        <w:t>When:</w:t>
      </w:r>
      <w:r>
        <w:rPr>
          <w:sz w:val="20"/>
          <w:szCs w:val="20"/>
          <w:color w:val="auto"/>
        </w:rPr>
        <w:tab/>
      </w:r>
      <w:r>
        <w:rPr>
          <w:rFonts w:ascii="Arial" w:cs="Arial" w:eastAsia="Arial" w:hAnsi="Arial"/>
          <w:sz w:val="19"/>
          <w:szCs w:val="19"/>
          <w:color w:val="51555C"/>
        </w:rPr>
        <w:t>October 28, 2026</w:t>
      </w:r>
    </w:p>
    <w:p>
      <w:pPr>
        <w:spacing w:after="0" w:line="13"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51555C"/>
        </w:rPr>
        <w:t>Time:</w:t>
        <w:tab/>
        <w:t>8:00 a.m. (Eastern Time)</w:t>
      </w:r>
    </w:p>
    <w:p>
      <w:pPr>
        <w:spacing w:after="0"/>
        <w:tabs>
          <w:tab w:leader="none" w:pos="1080" w:val="left"/>
        </w:tabs>
        <w:rPr>
          <w:sz w:val="20"/>
          <w:szCs w:val="20"/>
          <w:color w:val="auto"/>
        </w:rPr>
      </w:pPr>
      <w:r>
        <w:rPr>
          <w:rFonts w:ascii="Arial" w:cs="Arial" w:eastAsia="Arial" w:hAnsi="Arial"/>
          <w:sz w:val="20"/>
          <w:szCs w:val="20"/>
          <w:color w:val="51555C"/>
        </w:rPr>
        <w:t>Live Call:</w:t>
      </w:r>
      <w:r>
        <w:rPr>
          <w:sz w:val="20"/>
          <w:szCs w:val="20"/>
          <w:color w:val="auto"/>
        </w:rPr>
        <w:tab/>
      </w:r>
      <w:r>
        <w:rPr>
          <w:rFonts w:ascii="Arial" w:cs="Arial" w:eastAsia="Arial" w:hAnsi="Arial"/>
          <w:sz w:val="19"/>
          <w:szCs w:val="19"/>
          <w:color w:val="51555C"/>
        </w:rPr>
        <w:t>1-877-407-3088 (US/Canada)</w:t>
      </w:r>
    </w:p>
    <w:p>
      <w:pPr>
        <w:spacing w:after="0" w:line="1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51555C"/>
        </w:rPr>
        <w:t>Webcast:</w:t>
      </w:r>
      <w:r>
        <w:rPr>
          <w:sz w:val="20"/>
          <w:szCs w:val="20"/>
          <w:color w:val="auto"/>
        </w:rPr>
        <w:tab/>
      </w:r>
      <w:r>
        <w:rPr>
          <w:rFonts w:ascii="Arial" w:cs="Arial" w:eastAsia="Arial" w:hAnsi="Arial"/>
          <w:sz w:val="19"/>
          <w:szCs w:val="19"/>
          <w:u w:val="single" w:color="auto"/>
          <w:color w:val="7A04DD"/>
        </w:rPr>
        <w:t>Blackbaud's Investor Relations Webpage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51555C"/>
        </w:rPr>
        <w:t>About Blackbaud</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20"/>
          <w:szCs w:val="20"/>
          <w:u w:val="single" w:color="auto"/>
          <w:color w:val="7A04DD"/>
        </w:rPr>
        <w:t>Blackbaud</w:t>
      </w:r>
      <w:r>
        <w:rPr>
          <w:rFonts w:ascii="Arial" w:cs="Arial" w:eastAsia="Arial" w:hAnsi="Arial"/>
          <w:sz w:val="20"/>
          <w:szCs w:val="20"/>
          <w:color w:val="7A04DD"/>
        </w:rPr>
        <w:t xml:space="preserve"> </w:t>
      </w:r>
      <w:r>
        <w:rPr>
          <w:rFonts w:ascii="Arial" w:cs="Arial" w:eastAsia="Arial" w:hAnsi="Arial"/>
          <w:sz w:val="20"/>
          <w:szCs w:val="20"/>
          <w:color w:val="51555C"/>
        </w:rPr>
        <w:t>(NASDAQ: BLKB) is the world's leading provider of AI-powered solutions for social impact. Serving nonprofits,</w:t>
      </w:r>
      <w:r>
        <w:rPr>
          <w:rFonts w:ascii="Arial" w:cs="Arial" w:eastAsia="Arial" w:hAnsi="Arial"/>
          <w:sz w:val="20"/>
          <w:szCs w:val="20"/>
          <w:color w:val="7A04DD"/>
        </w:rPr>
        <w:t xml:space="preserve"> </w:t>
      </w:r>
      <w:r>
        <w:rPr>
          <w:rFonts w:ascii="Arial" w:cs="Arial" w:eastAsia="Arial" w:hAnsi="Arial"/>
          <w:sz w:val="20"/>
          <w:szCs w:val="20"/>
          <w:color w:val="51555C"/>
        </w:rPr>
        <w:t>educational institutions, companies committed to corporate social responsibility and individual change makers, Blackbaud propels impact at scale with the sector’s most intelligent solutions for fundraising and engagement, education solutions, financial management and CSR and grantmaking. With the deepest expertise powered by the world’s largest philanthropic data set, the most connected</w:t>
      </w:r>
    </w:p>
    <w:p>
      <w:pPr>
        <w:sectPr>
          <w:pgSz w:w="11900" w:h="16838" w:orient="portrait"/>
          <w:cols w:equalWidth="0" w:num="1">
            <w:col w:w="11200"/>
          </w:cols>
          <w:pgMar w:left="320" w:top="76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51555C"/>
        </w:rPr>
        <w:t>3</w:t>
      </w:r>
    </w:p>
    <w:p>
      <w:pPr>
        <w:sectPr>
          <w:pgSz w:w="11900" w:h="16838" w:orient="portrait"/>
          <w:cols w:equalWidth="0" w:num="1">
            <w:col w:w="11200"/>
          </w:cols>
          <w:pgMar w:left="320" w:top="766" w:right="379" w:bottom="1440" w:gutter="0" w:footer="0" w:header="0"/>
          <w:type w:val="continuous"/>
        </w:sectPr>
      </w:pPr>
    </w:p>
    <w:bookmarkStart w:id="6" w:name="page7"/>
    <w:bookmarkEnd w:id="6"/>
    <w:p>
      <w:pPr>
        <w:spacing w:after="0" w:line="254" w:lineRule="auto"/>
        <w:rPr>
          <w:sz w:val="20"/>
          <w:szCs w:val="20"/>
          <w:color w:val="auto"/>
        </w:rPr>
      </w:pPr>
      <w:r>
        <w:rPr>
          <w:rFonts w:ascii="Arial" w:cs="Arial" w:eastAsia="Arial" w:hAnsi="Arial"/>
          <w:sz w:val="20"/>
          <w:szCs w:val="20"/>
          <w:color w:val="51555C"/>
        </w:rPr>
        <w:drawing>
          <wp:anchor simplePos="0" relativeHeight="251657728" behindDoc="1" locked="0" layoutInCell="0" allowOverlap="1">
            <wp:simplePos x="0" y="0"/>
            <wp:positionH relativeFrom="page">
              <wp:posOffset>6346190</wp:posOffset>
            </wp:positionH>
            <wp:positionV relativeFrom="page">
              <wp:posOffset>131445</wp:posOffset>
            </wp:positionV>
            <wp:extent cx="9855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85520" cy="154305"/>
                    </a:xfrm>
                    <a:prstGeom prst="rect">
                      <a:avLst/>
                    </a:prstGeom>
                    <a:noFill/>
                  </pic:spPr>
                </pic:pic>
              </a:graphicData>
            </a:graphic>
          </wp:anchor>
        </w:drawing>
        <w:t xml:space="preserve">workflows, and the most powerful impact network, Blackbaud's solutions are building a future where resources are unleashed at the speed of need. Blackbaud has been recognized by Fast Company, Newsweek, Quartz, Forbes and more for AI innovation, responsible leadership and workplace excellence. Blackbaud has operations in the United States, Australia, Canada, Costa Rica, India and the United Kingdom, supporting users in 100+ countries. Learn more at </w:t>
      </w:r>
      <w:r>
        <w:rPr>
          <w:rFonts w:ascii="Arial" w:cs="Arial" w:eastAsia="Arial" w:hAnsi="Arial"/>
          <w:sz w:val="20"/>
          <w:szCs w:val="20"/>
          <w:u w:val="single" w:color="auto"/>
          <w:color w:val="7A04DD"/>
        </w:rPr>
        <w:t>www.blackbaud.com</w:t>
      </w:r>
      <w:r>
        <w:rPr>
          <w:rFonts w:ascii="Arial" w:cs="Arial" w:eastAsia="Arial" w:hAnsi="Arial"/>
          <w:sz w:val="20"/>
          <w:szCs w:val="20"/>
          <w:color w:val="51555C"/>
        </w:rPr>
        <w:t xml:space="preserve">, or follow us on </w:t>
      </w:r>
      <w:r>
        <w:rPr>
          <w:rFonts w:ascii="Arial" w:cs="Arial" w:eastAsia="Arial" w:hAnsi="Arial"/>
          <w:sz w:val="20"/>
          <w:szCs w:val="20"/>
          <w:u w:val="single" w:color="auto"/>
          <w:color w:val="7A04DD"/>
        </w:rPr>
        <w:t>X/Twitter</w:t>
      </w:r>
      <w:r>
        <w:rPr>
          <w:rFonts w:ascii="Arial" w:cs="Arial" w:eastAsia="Arial" w:hAnsi="Arial"/>
          <w:sz w:val="20"/>
          <w:szCs w:val="20"/>
          <w:color w:val="51555C"/>
        </w:rPr>
        <w:t>,</w:t>
      </w:r>
      <w:r>
        <w:rPr>
          <w:rFonts w:ascii="Arial" w:cs="Arial" w:eastAsia="Arial" w:hAnsi="Arial"/>
          <w:sz w:val="20"/>
          <w:szCs w:val="20"/>
          <w:color w:val="7A04DD"/>
        </w:rPr>
        <w:t xml:space="preserve"> </w:t>
      </w:r>
      <w:r>
        <w:rPr>
          <w:rFonts w:ascii="Arial" w:cs="Arial" w:eastAsia="Arial" w:hAnsi="Arial"/>
          <w:sz w:val="20"/>
          <w:szCs w:val="20"/>
          <w:u w:val="single" w:color="auto"/>
          <w:color w:val="7A04DD"/>
        </w:rPr>
        <w:t>LinkedIn</w:t>
      </w:r>
      <w:r>
        <w:rPr>
          <w:rFonts w:ascii="Arial" w:cs="Arial" w:eastAsia="Arial" w:hAnsi="Arial"/>
          <w:sz w:val="20"/>
          <w:szCs w:val="20"/>
          <w:color w:val="51555C"/>
        </w:rPr>
        <w:t>,</w:t>
      </w:r>
      <w:r>
        <w:rPr>
          <w:rFonts w:ascii="Arial" w:cs="Arial" w:eastAsia="Arial" w:hAnsi="Arial"/>
          <w:sz w:val="20"/>
          <w:szCs w:val="20"/>
          <w:color w:val="7A04DD"/>
        </w:rPr>
        <w:t xml:space="preserve"> </w:t>
      </w:r>
      <w:r>
        <w:rPr>
          <w:rFonts w:ascii="Arial" w:cs="Arial" w:eastAsia="Arial" w:hAnsi="Arial"/>
          <w:sz w:val="20"/>
          <w:szCs w:val="20"/>
          <w:u w:val="single" w:color="auto"/>
          <w:color w:val="7A04DD"/>
        </w:rPr>
        <w:t>Instagram</w:t>
      </w:r>
      <w:r>
        <w:rPr>
          <w:rFonts w:ascii="Arial" w:cs="Arial" w:eastAsia="Arial" w:hAnsi="Arial"/>
          <w:sz w:val="20"/>
          <w:szCs w:val="20"/>
          <w:color w:val="51555C"/>
        </w:rPr>
        <w:t>, and</w:t>
      </w:r>
      <w:r>
        <w:rPr>
          <w:rFonts w:ascii="Arial" w:cs="Arial" w:eastAsia="Arial" w:hAnsi="Arial"/>
          <w:sz w:val="20"/>
          <w:szCs w:val="20"/>
          <w:color w:val="7A04DD"/>
        </w:rPr>
        <w:t xml:space="preserve"> </w:t>
      </w:r>
      <w:r>
        <w:rPr>
          <w:rFonts w:ascii="Arial" w:cs="Arial" w:eastAsia="Arial" w:hAnsi="Arial"/>
          <w:sz w:val="20"/>
          <w:szCs w:val="20"/>
          <w:u w:val="single" w:color="auto"/>
          <w:color w:val="7A04DD"/>
        </w:rPr>
        <w:t>Facebook</w:t>
      </w:r>
      <w:r>
        <w:rPr>
          <w:rFonts w:ascii="Arial" w:cs="Arial" w:eastAsia="Arial" w:hAnsi="Arial"/>
          <w:sz w:val="20"/>
          <w:szCs w:val="20"/>
          <w:color w:val="51555C"/>
        </w:rPr>
        <w: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006880"/>
        </w:rPr>
        <w:t>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7A04DD"/>
        </w:rPr>
        <w:t>IR@blackbaud.com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6880"/>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7A04DD"/>
        </w:rPr>
        <w:t>media@blackbaud.com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6880"/>
        </w:rPr>
        <w:t>Forward-Looking Statements</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0"/>
          <w:szCs w:val="20"/>
          <w:color w:val="51555C"/>
        </w:rPr>
        <w:t>Except for historical information, all of the statements, expectations, and assumptions contained in this news release are forward-looking statements which are subject to the safe harbor provisions of the Private Securities Litigation Reform Act of 1995, including, but not limited to, statements regarding the predictability of our financial condition and results of operations. These statements involve a number of risks and uncertainties. Although Blackbaud attempts to be accurate in making these forward-looking statements, it is possible that future circumstances might differ from the assumptions on which such statements are based. In addition, other important factors that could cause results to differ materially include the following: management of integration of acquired companies; uncertainty regarding increased business and renewals from existing customers; a shifting revenue mix that may impact gross margin; continued success in sales growth; risks related to the development, deployment, regulation, security, market adoption and perception of artificial intelligence technologies; cybersecurity and data protection risks and related liabilities; potential litigation involving us; and the other risk factors set forth from time to time in the SEC filings for Blackbaud, copies of which are available free of charge at the SEC’s website at www.sec.gov or upon request from Blackbaud's investor relations department. Blackbaud assumes no obligation and does not intend to update these forward-looking statements, except as required by law.</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006880"/>
        </w:rPr>
        <w:t>Trademarks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51555C"/>
        </w:rPr>
        <w:t>All Blackbaud product names appearing herein are trademarks or registered trademarks of Blackbaud, Inc.</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6880"/>
        </w:rPr>
        <w:t>Non-GAAP Financial Measures</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51555C"/>
        </w:rPr>
        <w:t>Blackbaud has provided in this release financial information that has not been prepared in accordance with GAAP. Blackbaud uses non-GAAP financial measures internally in analyzing its operational performance. Accordingly, Blackbaud believes these non-GAAP measures are useful to investors, as a supplement to GAAP measures, in evaluating its ongoing operational performance and trends and in comparing its financial results from period-to-period with other companies in Blackbaud's industry, many of which present similar non-GAAP financial measures to investors. However, these non-GAAP financial measures may not be completely comparable to similarly titled measures of other companies due to potential differences in the exact method of calculation between companies.</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51555C"/>
        </w:rPr>
        <w:t>The non-GAAP financial measures discussed above exclude the impact of certain transactions that Blackbaud believes are not directly related to its operating performance in any particular period, but are for its long-term benefit over multiple periods. Blackbaud believes these non-GAAP financial measures reflect its ongoing business in a manner that allows for meaningful period-to-period comparisons and analysis of trends in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51555C"/>
        </w:rPr>
        <w:t>4</w:t>
      </w:r>
    </w:p>
    <w:p>
      <w:pPr>
        <w:sectPr>
          <w:pgSz w:w="11900" w:h="16838" w:orient="portrait"/>
          <w:cols w:equalWidth="0" w:num="1">
            <w:col w:w="11180"/>
          </w:cols>
          <w:pgMar w:left="320" w:top="766" w:right="399" w:bottom="1440" w:gutter="0" w:footer="0" w:header="0"/>
        </w:sectPr>
      </w:pPr>
    </w:p>
    <w:bookmarkStart w:id="7" w:name="page8"/>
    <w:bookmarkEnd w:id="7"/>
    <w:p>
      <w:pPr>
        <w:ind w:right="180"/>
        <w:spacing w:after="0" w:line="259" w:lineRule="auto"/>
        <w:rPr>
          <w:sz w:val="20"/>
          <w:szCs w:val="20"/>
          <w:color w:val="auto"/>
        </w:rPr>
      </w:pPr>
      <w:r>
        <w:rPr>
          <w:rFonts w:ascii="Arial" w:cs="Arial" w:eastAsia="Arial" w:hAnsi="Arial"/>
          <w:sz w:val="20"/>
          <w:szCs w:val="20"/>
          <w:color w:val="51555C"/>
        </w:rPr>
        <w:drawing>
          <wp:anchor simplePos="0" relativeHeight="251657728" behindDoc="1" locked="0" layoutInCell="0" allowOverlap="1">
            <wp:simplePos x="0" y="0"/>
            <wp:positionH relativeFrom="page">
              <wp:posOffset>6346190</wp:posOffset>
            </wp:positionH>
            <wp:positionV relativeFrom="page">
              <wp:posOffset>131445</wp:posOffset>
            </wp:positionV>
            <wp:extent cx="9855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85520" cy="154305"/>
                    </a:xfrm>
                    <a:prstGeom prst="rect">
                      <a:avLst/>
                    </a:prstGeom>
                    <a:noFill/>
                  </pic:spPr>
                </pic:pic>
              </a:graphicData>
            </a:graphic>
          </wp:anchor>
        </w:drawing>
        <w:t>While Blackbaud believes these non-GAAP measures provide useful supplemental information, non-GAAP financial measures should not be considered in isolation from, or as a substitute for, financial information prepared in accordance with GAAP. Investors are encouraged to review the reconciliations of these non-GAAP measures to their most directly comparable GAAP financial measures.</w:t>
      </w:r>
    </w:p>
    <w:p>
      <w:pPr>
        <w:spacing w:after="0" w:line="114" w:lineRule="exact"/>
        <w:rPr>
          <w:sz w:val="20"/>
          <w:szCs w:val="20"/>
          <w:color w:val="auto"/>
        </w:rPr>
      </w:pPr>
    </w:p>
    <w:p>
      <w:pPr>
        <w:jc w:val="both"/>
        <w:ind w:right="100"/>
        <w:spacing w:after="0" w:line="259" w:lineRule="auto"/>
        <w:rPr>
          <w:sz w:val="20"/>
          <w:szCs w:val="20"/>
          <w:color w:val="auto"/>
        </w:rPr>
      </w:pPr>
      <w:r>
        <w:rPr>
          <w:rFonts w:ascii="Arial" w:cs="Arial" w:eastAsia="Arial" w:hAnsi="Arial"/>
          <w:sz w:val="20"/>
          <w:szCs w:val="20"/>
          <w:color w:val="51555C"/>
        </w:rPr>
        <w:t>Non-GAAP free cash flow is defined as operating cash flow less capital expenditures, including costs required to be capitalized for software development, and capital expenditures for property and equipment. Blackbaud believes non-GAAP free cash flow provides a useful measure of the company's operating performance. Non-GAAP free cash flow is not intended to represent and should not be viewed as the amount of residual cash flow available for discretionary expenditures.</w:t>
      </w:r>
    </w:p>
    <w:p>
      <w:pPr>
        <w:spacing w:after="0" w:line="128"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51555C"/>
        </w:rPr>
        <w:t>In addition, Blackbaud uses non-GAAP organic revenue growth, non-GAAP organic revenue growth on a constant currency basis, non-GAAP organic recurring revenue growth and non-GAAP organic recurring revenue growth on a constant currency basis, in analyzing its operating performance. Blackbaud believes that these non-GAAP measures are useful to investors, as a supplement to GAAP measures, for evaluating the periodic growth of its business on a consistent basis. Each of these measures excludes incremental acquisition-related revenue attributable to companies, if any, acquired in the current fiscal year. For companies acquired in the immediately preceding fiscal year, each of these measures reflects presentation of full-year incremental non-GAAP revenue derived from such companies as if they were combined throughout the prior period. In addition, each of these measures excludes prior period revenue associated with divested businesses, if any. The exclusion of the prior period revenue is to present the results of the divested businesses within the results of the combined company for the same period of time in both the prior and current periods. Blackbaud believes this presentation provides a more comparable representation of its current business’ organic revenue growth and revenue run-rate.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20"/>
          <w:szCs w:val="20"/>
          <w:color w:val="51555C"/>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expense; global workforce transition costs; acquisition and disposition-related costs; and Security Incident-related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51555C"/>
        </w:rPr>
        <w:t>5</w:t>
      </w:r>
    </w:p>
    <w:p>
      <w:pPr>
        <w:sectPr>
          <w:pgSz w:w="11900" w:h="16838" w:orient="portrait"/>
          <w:cols w:equalWidth="0" w:num="1">
            <w:col w:w="11220"/>
          </w:cols>
          <w:pgMar w:left="320" w:top="766"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8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8480" w:type="dxa"/>
            <w:vAlign w:val="bottom"/>
            <w:vMerge w:val="continue"/>
            <w:shd w:val="clear" w:color="auto" w:fill="004054"/>
          </w:tcPr>
          <w:p>
            <w:pPr>
              <w:spacing w:after="0"/>
              <w:rPr>
                <w:sz w:val="17"/>
                <w:szCs w:val="17"/>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b w:val="1"/>
          <w:bCs w:val="1"/>
          <w:color w:val="51555C"/>
        </w:rPr>
        <w:t>Assets</w:t>
      </w:r>
    </w:p>
    <w:p>
      <w:pPr>
        <w:sectPr>
          <w:pgSz w:w="11900" w:h="16838" w:orient="portrait"/>
          <w:cols w:equalWidth="0" w:num="1">
            <w:col w:w="11220"/>
          </w:cols>
          <w:pgMar w:left="320" w:top="121" w:right="359" w:bottom="1440" w:gutter="0" w:footer="0" w:header="0"/>
        </w:sectPr>
      </w:pP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Current assets: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Restricted cash</w:t>
      </w:r>
    </w:p>
    <w:p>
      <w:pPr>
        <w:spacing w:after="0" w:line="30" w:lineRule="exact"/>
        <w:rPr>
          <w:sz w:val="20"/>
          <w:szCs w:val="20"/>
          <w:color w:val="auto"/>
        </w:rPr>
      </w:pPr>
    </w:p>
    <w:p>
      <w:pPr>
        <w:ind w:left="560" w:right="180"/>
        <w:spacing w:after="0" w:line="245" w:lineRule="auto"/>
        <w:rPr>
          <w:sz w:val="20"/>
          <w:szCs w:val="20"/>
          <w:color w:val="auto"/>
        </w:rPr>
      </w:pPr>
      <w:r>
        <w:rPr>
          <w:rFonts w:ascii="Arial" w:cs="Arial" w:eastAsia="Arial" w:hAnsi="Arial"/>
          <w:sz w:val="15"/>
          <w:szCs w:val="15"/>
          <w:color w:val="51555C"/>
        </w:rPr>
        <w:t>Accounts receivable, net of allowance of $6,529 and $5,876 at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0628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23177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5"/>
          <w:szCs w:val="15"/>
          <w:color w:val="51555C"/>
        </w:rPr>
        <w:t>Customer funds receivable</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51555C"/>
        </w:rPr>
        <w:t>Total current assets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Software development costs, net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Intangible assets, net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51555C"/>
        </w:rPr>
        <w:t>Total assets</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51555C"/>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0628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Current liabilities: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Accrued expenses and other current liabilities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Debt, current portion</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Deferred revenue,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51555C"/>
        </w:rPr>
        <w:t>Total current liabilities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Deferred tax liability</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Deferred revenue,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Other liabilities</w:t>
      </w:r>
    </w:p>
    <w:p>
      <w:pPr>
        <w:spacing w:after="0" w:line="2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51555C"/>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062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Commitments and contingencies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Preferred stock; 20,000,000 shares authorized, none outstanding</w:t>
      </w:r>
    </w:p>
    <w:p>
      <w:pPr>
        <w:spacing w:after="0" w:line="30" w:lineRule="exact"/>
        <w:rPr>
          <w:sz w:val="20"/>
          <w:szCs w:val="20"/>
          <w:color w:val="auto"/>
        </w:rPr>
      </w:pPr>
    </w:p>
    <w:p>
      <w:pPr>
        <w:ind w:left="560"/>
        <w:spacing w:after="0" w:line="225" w:lineRule="auto"/>
        <w:rPr>
          <w:sz w:val="20"/>
          <w:szCs w:val="20"/>
          <w:color w:val="auto"/>
        </w:rPr>
      </w:pPr>
      <w:r>
        <w:rPr>
          <w:rFonts w:ascii="Arial" w:cs="Arial" w:eastAsia="Arial" w:hAnsi="Arial"/>
          <w:sz w:val="15"/>
          <w:szCs w:val="15"/>
          <w:color w:val="51555C"/>
        </w:rPr>
        <w:t>Common stock, $0.001 par value; 180,000,000 shares authorized, 74,080,118 and 72,312,354 shares issued at September 30, 2026 and December 31, 2025, respectively; 45,102,406 and 46,705,325 shares outstanding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0628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3257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5"/>
          <w:szCs w:val="15"/>
          <w:color w:val="51555C"/>
        </w:rPr>
        <w:t>September 30, 2026 and December 31, 2025, respectively</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Additional paid-in capital</w:t>
      </w:r>
    </w:p>
    <w:p>
      <w:pPr>
        <w:spacing w:after="0" w:line="30" w:lineRule="exact"/>
        <w:rPr>
          <w:sz w:val="20"/>
          <w:szCs w:val="20"/>
          <w:color w:val="auto"/>
        </w:rPr>
      </w:pPr>
    </w:p>
    <w:p>
      <w:pPr>
        <w:ind w:left="560" w:right="240"/>
        <w:spacing w:after="0" w:line="245" w:lineRule="auto"/>
        <w:rPr>
          <w:sz w:val="20"/>
          <w:szCs w:val="20"/>
          <w:color w:val="auto"/>
        </w:rPr>
      </w:pPr>
      <w:r>
        <w:rPr>
          <w:rFonts w:ascii="Arial" w:cs="Arial" w:eastAsia="Arial" w:hAnsi="Arial"/>
          <w:sz w:val="15"/>
          <w:szCs w:val="15"/>
          <w:color w:val="51555C"/>
        </w:rPr>
        <w:t>Treasury stock, at cost; 28,977,712 and 25,607,029 shares at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06285"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23177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5"/>
          <w:szCs w:val="15"/>
          <w:color w:val="51555C"/>
        </w:rPr>
        <w:t>Accumulated other comprehensive income (loss)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Pr>
          <w:p>
            <w:pPr>
              <w:jc w:val="right"/>
              <w:ind w:right="184"/>
              <w:spacing w:after="0"/>
              <w:rPr>
                <w:sz w:val="20"/>
                <w:szCs w:val="20"/>
                <w:color w:val="auto"/>
              </w:rPr>
            </w:pPr>
            <w:r>
              <w:rPr>
                <w:rFonts w:ascii="Arial" w:cs="Arial" w:eastAsia="Arial" w:hAnsi="Arial"/>
                <w:sz w:val="15"/>
                <w:szCs w:val="15"/>
                <w:color w:val="51555C"/>
                <w:w w:val="95"/>
              </w:rPr>
              <w:t>$</w:t>
            </w:r>
          </w:p>
        </w:tc>
        <w:tc>
          <w:tcPr>
            <w:tcW w:w="980" w:type="dxa"/>
            <w:vAlign w:val="bottom"/>
          </w:tcPr>
          <w:p>
            <w:pPr>
              <w:jc w:val="right"/>
              <w:spacing w:after="0"/>
              <w:rPr>
                <w:sz w:val="20"/>
                <w:szCs w:val="20"/>
                <w:color w:val="auto"/>
              </w:rPr>
            </w:pPr>
            <w:r>
              <w:rPr>
                <w:rFonts w:ascii="Arial" w:cs="Arial" w:eastAsia="Arial" w:hAnsi="Arial"/>
                <w:sz w:val="15"/>
                <w:szCs w:val="15"/>
                <w:color w:val="51555C"/>
              </w:rPr>
              <w:t>35,734</w:t>
            </w:r>
          </w:p>
        </w:tc>
        <w:tc>
          <w:tcPr>
            <w:tcW w:w="380" w:type="dxa"/>
            <w:vAlign w:val="bottom"/>
          </w:tcPr>
          <w:p>
            <w:pPr>
              <w:jc w:val="right"/>
              <w:ind w:right="184"/>
              <w:spacing w:after="0"/>
              <w:rPr>
                <w:sz w:val="20"/>
                <w:szCs w:val="20"/>
                <w:color w:val="auto"/>
              </w:rPr>
            </w:pPr>
            <w:r>
              <w:rPr>
                <w:rFonts w:ascii="Arial" w:cs="Arial" w:eastAsia="Arial" w:hAnsi="Arial"/>
                <w:sz w:val="15"/>
                <w:szCs w:val="15"/>
                <w:color w:val="51555C"/>
              </w:rPr>
              <w:t>$</w:t>
            </w:r>
          </w:p>
        </w:tc>
        <w:tc>
          <w:tcPr>
            <w:tcW w:w="1000" w:type="dxa"/>
            <w:vAlign w:val="bottom"/>
          </w:tcPr>
          <w:p>
            <w:pPr>
              <w:jc w:val="right"/>
              <w:spacing w:after="0"/>
              <w:rPr>
                <w:sz w:val="20"/>
                <w:szCs w:val="20"/>
                <w:color w:val="auto"/>
              </w:rPr>
            </w:pPr>
            <w:r>
              <w:rPr>
                <w:rFonts w:ascii="Arial" w:cs="Arial" w:eastAsia="Arial" w:hAnsi="Arial"/>
                <w:sz w:val="15"/>
                <w:szCs w:val="15"/>
                <w:color w:val="51555C"/>
              </w:rPr>
              <w:t>38,914</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428,166</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720,061</w:t>
            </w:r>
          </w:p>
        </w:tc>
      </w:tr>
      <w:tr>
        <w:trPr>
          <w:trHeight w:val="364"/>
        </w:trPr>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76,214</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80,517</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3,918</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1,308</w:t>
            </w:r>
          </w:p>
        </w:tc>
      </w:tr>
      <w:tr>
        <w:trPr>
          <w:trHeight w:val="206"/>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86,064</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89,290</w:t>
            </w:r>
          </w:p>
        </w:tc>
      </w:tr>
      <w:tr>
        <w:trPr>
          <w:trHeight w:val="195"/>
        </w:trPr>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630,096</w:t>
            </w: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930,090</w:t>
            </w:r>
          </w:p>
        </w:tc>
      </w:tr>
      <w:tr>
        <w:trPr>
          <w:trHeight w:val="200"/>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83,827</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85,076</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159,048</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155,842</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1,055,937</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1,056,815</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87,413</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106,654</w:t>
            </w:r>
          </w:p>
        </w:tc>
      </w:tr>
      <w:tr>
        <w:trPr>
          <w:trHeight w:val="205"/>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90,516</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56,205</w:t>
            </w:r>
          </w:p>
        </w:tc>
      </w:tr>
      <w:tr>
        <w:trPr>
          <w:trHeight w:val="198"/>
        </w:trPr>
        <w:tc>
          <w:tcPr>
            <w:tcW w:w="360" w:type="dxa"/>
            <w:vAlign w:val="bottom"/>
            <w:tcBorders>
              <w:bottom w:val="single" w:sz="8" w:color="51555C"/>
            </w:tcBorders>
          </w:tcPr>
          <w:p>
            <w:pPr>
              <w:jc w:val="right"/>
              <w:ind w:right="184"/>
              <w:spacing w:after="0"/>
              <w:rPr>
                <w:sz w:val="20"/>
                <w:szCs w:val="20"/>
                <w:color w:val="auto"/>
              </w:rPr>
            </w:pPr>
            <w:r>
              <w:rPr>
                <w:rFonts w:ascii="Arial" w:cs="Arial" w:eastAsia="Arial" w:hAnsi="Arial"/>
                <w:sz w:val="15"/>
                <w:szCs w:val="15"/>
                <w:color w:val="51555C"/>
                <w:w w:val="95"/>
              </w:rPr>
              <w:t>$</w:t>
            </w: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2,106,837</w:t>
            </w:r>
          </w:p>
        </w:tc>
        <w:tc>
          <w:tcPr>
            <w:tcW w:w="380" w:type="dxa"/>
            <w:vAlign w:val="bottom"/>
            <w:tcBorders>
              <w:bottom w:val="single" w:sz="8" w:color="51555C"/>
            </w:tcBorders>
          </w:tcPr>
          <w:p>
            <w:pPr>
              <w:jc w:val="right"/>
              <w:ind w:right="18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2,390,682</w:t>
            </w:r>
          </w:p>
        </w:tc>
      </w:tr>
      <w:tr>
        <w:trPr>
          <w:trHeight w:val="583"/>
        </w:trPr>
        <w:tc>
          <w:tcPr>
            <w:tcW w:w="360" w:type="dxa"/>
            <w:vAlign w:val="bottom"/>
          </w:tcPr>
          <w:p>
            <w:pPr>
              <w:jc w:val="right"/>
              <w:ind w:right="184"/>
              <w:spacing w:after="0"/>
              <w:rPr>
                <w:sz w:val="20"/>
                <w:szCs w:val="20"/>
                <w:color w:val="auto"/>
              </w:rPr>
            </w:pPr>
            <w:r>
              <w:rPr>
                <w:rFonts w:ascii="Arial" w:cs="Arial" w:eastAsia="Arial" w:hAnsi="Arial"/>
                <w:sz w:val="15"/>
                <w:szCs w:val="15"/>
                <w:color w:val="51555C"/>
                <w:w w:val="95"/>
              </w:rPr>
              <w:t>$</w:t>
            </w:r>
          </w:p>
        </w:tc>
        <w:tc>
          <w:tcPr>
            <w:tcW w:w="980" w:type="dxa"/>
            <w:vAlign w:val="bottom"/>
          </w:tcPr>
          <w:p>
            <w:pPr>
              <w:jc w:val="right"/>
              <w:spacing w:after="0"/>
              <w:rPr>
                <w:sz w:val="20"/>
                <w:szCs w:val="20"/>
                <w:color w:val="auto"/>
              </w:rPr>
            </w:pPr>
            <w:r>
              <w:rPr>
                <w:rFonts w:ascii="Arial" w:cs="Arial" w:eastAsia="Arial" w:hAnsi="Arial"/>
                <w:sz w:val="15"/>
                <w:szCs w:val="15"/>
                <w:color w:val="51555C"/>
              </w:rPr>
              <w:t>38,404</w:t>
            </w:r>
          </w:p>
        </w:tc>
        <w:tc>
          <w:tcPr>
            <w:tcW w:w="380" w:type="dxa"/>
            <w:vAlign w:val="bottom"/>
          </w:tcPr>
          <w:p>
            <w:pPr>
              <w:jc w:val="right"/>
              <w:ind w:right="184"/>
              <w:spacing w:after="0"/>
              <w:rPr>
                <w:sz w:val="20"/>
                <w:szCs w:val="20"/>
                <w:color w:val="auto"/>
              </w:rPr>
            </w:pPr>
            <w:r>
              <w:rPr>
                <w:rFonts w:ascii="Arial" w:cs="Arial" w:eastAsia="Arial" w:hAnsi="Arial"/>
                <w:sz w:val="15"/>
                <w:szCs w:val="15"/>
                <w:color w:val="51555C"/>
              </w:rPr>
              <w:t>$</w:t>
            </w:r>
          </w:p>
        </w:tc>
        <w:tc>
          <w:tcPr>
            <w:tcW w:w="1000" w:type="dxa"/>
            <w:vAlign w:val="bottom"/>
          </w:tcPr>
          <w:p>
            <w:pPr>
              <w:jc w:val="right"/>
              <w:spacing w:after="0"/>
              <w:rPr>
                <w:sz w:val="20"/>
                <w:szCs w:val="20"/>
                <w:color w:val="auto"/>
              </w:rPr>
            </w:pPr>
            <w:r>
              <w:rPr>
                <w:rFonts w:ascii="Arial" w:cs="Arial" w:eastAsia="Arial" w:hAnsi="Arial"/>
                <w:sz w:val="15"/>
                <w:szCs w:val="15"/>
                <w:color w:val="51555C"/>
              </w:rPr>
              <w:t>27,344</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51,047</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43,272</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430,703</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719,833</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22,654</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22,660</w:t>
            </w:r>
          </w:p>
        </w:tc>
      </w:tr>
      <w:tr>
        <w:trPr>
          <w:trHeight w:val="206"/>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380,989</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368,986</w:t>
            </w:r>
          </w:p>
        </w:tc>
      </w:tr>
      <w:tr>
        <w:trPr>
          <w:trHeight w:val="195"/>
        </w:trPr>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923,797</w:t>
            </w: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1,182,095</w:t>
            </w:r>
          </w:p>
        </w:tc>
      </w:tr>
      <w:tr>
        <w:trPr>
          <w:trHeight w:val="200"/>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1,022,143</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1,087,037</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25,100</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21,981</w:t>
            </w:r>
          </w:p>
        </w:tc>
      </w:tr>
      <w:tr>
        <w:trPr>
          <w:trHeight w:val="202"/>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3,674</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2,778</w:t>
            </w:r>
          </w:p>
        </w:tc>
      </w:tr>
      <w:tr>
        <w:trPr>
          <w:trHeight w:val="205"/>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12,638</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11,737</w:t>
            </w:r>
          </w:p>
        </w:tc>
      </w:tr>
      <w:tr>
        <w:trPr>
          <w:trHeight w:val="198"/>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1,987,352</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2,305,628</w:t>
            </w:r>
          </w:p>
        </w:tc>
      </w:tr>
      <w:tr>
        <w:trPr>
          <w:trHeight w:val="583"/>
        </w:trPr>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w:t>
            </w:r>
          </w:p>
        </w:tc>
      </w:tr>
    </w:tbl>
    <w:p>
      <w:pPr>
        <w:spacing w:after="0" w:line="313" w:lineRule="exact"/>
        <w:rPr>
          <w:sz w:val="20"/>
          <w:szCs w:val="20"/>
          <w:color w:val="auto"/>
        </w:rPr>
      </w:pPr>
    </w:p>
    <w:p>
      <w:pPr>
        <w:ind w:left="2480" w:hanging="1363"/>
        <w:spacing w:after="0"/>
        <w:tabs>
          <w:tab w:leader="none" w:pos="2480" w:val="left"/>
        </w:tabs>
        <w:numPr>
          <w:ilvl w:val="0"/>
          <w:numId w:val="6"/>
        </w:numPr>
        <w:rPr>
          <w:rFonts w:ascii="Arial" w:cs="Arial" w:eastAsia="Arial" w:hAnsi="Arial"/>
          <w:sz w:val="15"/>
          <w:szCs w:val="15"/>
          <w:color w:val="51555C"/>
        </w:rPr>
      </w:pPr>
      <w:r>
        <w:rPr>
          <w:rFonts w:ascii="Arial" w:cs="Arial" w:eastAsia="Arial" w:hAnsi="Arial"/>
          <w:sz w:val="15"/>
          <w:szCs w:val="15"/>
          <w:color w:val="51555C"/>
        </w:rPr>
        <w:t>72</w:t>
      </w:r>
    </w:p>
    <w:p>
      <w:pPr>
        <w:spacing w:after="0" w:line="30" w:lineRule="exact"/>
        <w:rPr>
          <w:rFonts w:ascii="Arial" w:cs="Arial" w:eastAsia="Arial" w:hAnsi="Arial"/>
          <w:sz w:val="15"/>
          <w:szCs w:val="15"/>
          <w:color w:val="51555C"/>
        </w:rPr>
      </w:pPr>
    </w:p>
    <w:p>
      <w:pPr>
        <w:ind w:left="600"/>
        <w:spacing w:after="0"/>
        <w:rPr>
          <w:rFonts w:ascii="Arial" w:cs="Arial" w:eastAsia="Arial" w:hAnsi="Arial"/>
          <w:sz w:val="15"/>
          <w:szCs w:val="15"/>
          <w:color w:val="51555C"/>
        </w:rPr>
      </w:pPr>
      <w:r>
        <w:rPr>
          <w:rFonts w:ascii="Arial" w:cs="Arial" w:eastAsia="Arial" w:hAnsi="Arial"/>
          <w:sz w:val="15"/>
          <w:szCs w:val="15"/>
          <w:color w:val="51555C"/>
        </w:rPr>
        <w:t>1,459,3221,391,641</w:t>
      </w:r>
    </w:p>
    <w:p>
      <w:pPr>
        <w:spacing w:after="0" w:line="192" w:lineRule="exact"/>
        <w:rPr>
          <w:sz w:val="20"/>
          <w:szCs w:val="20"/>
          <w:color w:val="auto"/>
        </w:rPr>
      </w:pPr>
    </w:p>
    <w:p>
      <w:pPr>
        <w:ind w:left="540"/>
        <w:spacing w:after="0"/>
        <w:tabs>
          <w:tab w:leader="none" w:pos="1900" w:val="left"/>
        </w:tabs>
        <w:rPr>
          <w:sz w:val="20"/>
          <w:szCs w:val="20"/>
          <w:color w:val="auto"/>
        </w:rPr>
      </w:pPr>
      <w:r>
        <w:rPr>
          <w:rFonts w:ascii="Arial" w:cs="Arial" w:eastAsia="Arial" w:hAnsi="Arial"/>
          <w:sz w:val="15"/>
          <w:szCs w:val="15"/>
          <w:color w:val="51555C"/>
        </w:rPr>
        <w:t>(1,471,199)</w:t>
      </w:r>
      <w:r>
        <w:rPr>
          <w:sz w:val="20"/>
          <w:szCs w:val="20"/>
          <w:color w:val="auto"/>
        </w:rPr>
        <w:tab/>
      </w:r>
      <w:r>
        <w:rPr>
          <w:rFonts w:ascii="Arial" w:cs="Arial" w:eastAsia="Arial" w:hAnsi="Arial"/>
          <w:sz w:val="15"/>
          <w:szCs w:val="15"/>
          <w:color w:val="51555C"/>
        </w:rPr>
        <w:t>(1,316,224)</w:t>
      </w:r>
    </w:p>
    <w:p>
      <w:pPr>
        <w:spacing w:after="0" w:line="30" w:lineRule="exact"/>
        <w:rPr>
          <w:sz w:val="20"/>
          <w:szCs w:val="20"/>
          <w:color w:val="auto"/>
        </w:rPr>
      </w:pPr>
    </w:p>
    <w:p>
      <w:pPr>
        <w:ind w:left="900"/>
        <w:spacing w:after="0"/>
        <w:tabs>
          <w:tab w:leader="none" w:pos="2180" w:val="left"/>
        </w:tabs>
        <w:rPr>
          <w:sz w:val="20"/>
          <w:szCs w:val="20"/>
          <w:color w:val="auto"/>
        </w:rPr>
      </w:pPr>
      <w:r>
        <w:rPr>
          <w:rFonts w:ascii="Arial" w:cs="Arial" w:eastAsia="Arial" w:hAnsi="Arial"/>
          <w:sz w:val="15"/>
          <w:szCs w:val="15"/>
          <w:color w:val="51555C"/>
        </w:rPr>
        <w:t>3,210</w:t>
      </w:r>
      <w:r>
        <w:rPr>
          <w:sz w:val="20"/>
          <w:szCs w:val="20"/>
          <w:color w:val="auto"/>
        </w:rPr>
        <w:tab/>
      </w:r>
      <w:r>
        <w:rPr>
          <w:rFonts w:ascii="Arial" w:cs="Arial" w:eastAsia="Arial" w:hAnsi="Arial"/>
          <w:sz w:val="15"/>
          <w:szCs w:val="15"/>
          <w:color w:val="51555C"/>
        </w:rPr>
        <w:t>(5,948)</w:t>
      </w:r>
    </w:p>
    <w:p>
      <w:pPr>
        <w:spacing w:after="0" w:line="30" w:lineRule="exact"/>
        <w:rPr>
          <w:sz w:val="20"/>
          <w:szCs w:val="20"/>
          <w:color w:val="auto"/>
        </w:rPr>
      </w:pPr>
    </w:p>
    <w:p>
      <w:pPr>
        <w:ind w:left="740"/>
        <w:spacing w:after="0"/>
        <w:tabs>
          <w:tab w:leader="none" w:pos="2160" w:val="left"/>
        </w:tabs>
        <w:rPr>
          <w:sz w:val="20"/>
          <w:szCs w:val="20"/>
          <w:color w:val="auto"/>
        </w:rPr>
      </w:pPr>
      <w:r>
        <w:rPr>
          <w:rFonts w:ascii="Arial" w:cs="Arial" w:eastAsia="Arial" w:hAnsi="Arial"/>
          <w:sz w:val="15"/>
          <w:szCs w:val="15"/>
          <w:color w:val="51555C"/>
        </w:rPr>
        <w:t>128,078</w:t>
      </w:r>
      <w:r>
        <w:rPr>
          <w:sz w:val="20"/>
          <w:szCs w:val="20"/>
          <w:color w:val="auto"/>
        </w:rPr>
        <w:tab/>
      </w:r>
      <w:r>
        <w:rPr>
          <w:rFonts w:ascii="Arial" w:cs="Arial" w:eastAsia="Arial" w:hAnsi="Arial"/>
          <w:sz w:val="15"/>
          <w:szCs w:val="15"/>
          <w:color w:val="51555C"/>
        </w:rPr>
        <w:t>15,513</w:t>
      </w:r>
    </w:p>
    <w:p>
      <w:pPr>
        <w:spacing w:after="0" w:line="28" w:lineRule="exact"/>
        <w:rPr>
          <w:sz w:val="20"/>
          <w:szCs w:val="20"/>
          <w:color w:val="auto"/>
        </w:rPr>
      </w:pPr>
    </w:p>
    <w:p>
      <w:pPr>
        <w:sectPr>
          <w:pgSz w:w="11900" w:h="16838" w:orient="portrait"/>
          <w:cols w:equalWidth="0" w:num="2">
            <w:col w:w="8100" w:space="380"/>
            <w:col w:w="274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480" w:type="dxa"/>
            <w:vAlign w:val="bottom"/>
            <w:tcBorders>
              <w:bottom w:val="single" w:sz="8" w:color="EBFBFF"/>
            </w:tcBorders>
          </w:tcPr>
          <w:p>
            <w:pPr>
              <w:ind w:left="1120"/>
              <w:spacing w:after="0"/>
              <w:rPr>
                <w:sz w:val="20"/>
                <w:szCs w:val="20"/>
                <w:color w:val="auto"/>
              </w:rPr>
            </w:pPr>
            <w:r>
              <w:rPr>
                <w:rFonts w:ascii="Arial" w:cs="Arial" w:eastAsia="Arial" w:hAnsi="Arial"/>
                <w:sz w:val="15"/>
                <w:szCs w:val="15"/>
                <w:b w:val="1"/>
                <w:bCs w:val="1"/>
                <w:color w:val="51555C"/>
              </w:rPr>
              <w:t>Total stockholders’ equity</w:t>
            </w:r>
          </w:p>
        </w:tc>
        <w:tc>
          <w:tcPr>
            <w:tcW w:w="360" w:type="dxa"/>
            <w:vAlign w:val="bottom"/>
            <w:tcBorders>
              <w:top w:val="single" w:sz="8" w:color="51555C"/>
              <w:bottom w:val="single" w:sz="8" w:color="51555C"/>
            </w:tcBorders>
          </w:tcPr>
          <w:p>
            <w:pPr>
              <w:spacing w:after="0"/>
              <w:rPr>
                <w:sz w:val="17"/>
                <w:szCs w:val="17"/>
                <w:color w:val="auto"/>
              </w:rPr>
            </w:pPr>
          </w:p>
        </w:tc>
        <w:tc>
          <w:tcPr>
            <w:tcW w:w="98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5"/>
                <w:szCs w:val="15"/>
                <w:color w:val="51555C"/>
              </w:rPr>
              <w:t>119,485</w:t>
            </w:r>
          </w:p>
        </w:tc>
        <w:tc>
          <w:tcPr>
            <w:tcW w:w="380" w:type="dxa"/>
            <w:vAlign w:val="bottom"/>
            <w:tcBorders>
              <w:top w:val="single" w:sz="8" w:color="51555C"/>
              <w:bottom w:val="single" w:sz="8" w:color="51555C"/>
            </w:tcBorders>
          </w:tcPr>
          <w:p>
            <w:pPr>
              <w:spacing w:after="0"/>
              <w:rPr>
                <w:sz w:val="17"/>
                <w:szCs w:val="17"/>
                <w:color w:val="auto"/>
              </w:rPr>
            </w:pPr>
          </w:p>
        </w:tc>
        <w:tc>
          <w:tcPr>
            <w:tcW w:w="100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5"/>
                <w:szCs w:val="15"/>
                <w:color w:val="51555C"/>
              </w:rPr>
              <w:t>85,054</w:t>
            </w:r>
          </w:p>
        </w:tc>
      </w:tr>
      <w:tr>
        <w:trPr>
          <w:trHeight w:val="195"/>
        </w:trPr>
        <w:tc>
          <w:tcPr>
            <w:tcW w:w="8480" w:type="dxa"/>
            <w:vAlign w:val="bottom"/>
            <w:tcBorders>
              <w:bottom w:val="single" w:sz="8" w:color="0CD973"/>
            </w:tcBorders>
            <w:shd w:val="clear" w:color="auto" w:fill="EBFBFF"/>
          </w:tcPr>
          <w:p>
            <w:pPr>
              <w:ind w:left="1120"/>
              <w:spacing w:after="0"/>
              <w:rPr>
                <w:sz w:val="20"/>
                <w:szCs w:val="20"/>
                <w:color w:val="auto"/>
              </w:rPr>
            </w:pPr>
            <w:r>
              <w:rPr>
                <w:rFonts w:ascii="Arial" w:cs="Arial" w:eastAsia="Arial" w:hAnsi="Arial"/>
                <w:sz w:val="15"/>
                <w:szCs w:val="15"/>
                <w:b w:val="1"/>
                <w:bCs w:val="1"/>
                <w:color w:val="51555C"/>
              </w:rPr>
              <w:t>Total liabilities and stockholders’ equity</w:t>
            </w:r>
          </w:p>
        </w:tc>
        <w:tc>
          <w:tcPr>
            <w:tcW w:w="360" w:type="dxa"/>
            <w:vAlign w:val="bottom"/>
            <w:tcBorders>
              <w:bottom w:val="single" w:sz="8" w:color="0CD973"/>
            </w:tcBorders>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2,106,837</w:t>
            </w:r>
          </w:p>
        </w:tc>
        <w:tc>
          <w:tcPr>
            <w:tcW w:w="380" w:type="dxa"/>
            <w:vAlign w:val="bottom"/>
            <w:tcBorders>
              <w:bottom w:val="single" w:sz="8" w:color="0CD973"/>
            </w:tcBorders>
            <w:shd w:val="clear" w:color="auto" w:fill="EBFBFF"/>
          </w:tcPr>
          <w:p>
            <w:pPr>
              <w:jc w:val="right"/>
              <w:ind w:right="18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2,390,682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1555C"/>
        </w:rPr>
        <w:t>6</w:t>
      </w:r>
    </w:p>
    <w:p>
      <w:pPr>
        <w:sectPr>
          <w:pgSz w:w="11900" w:h="16838" w:orient="portrait"/>
          <w:cols w:equalWidth="0" w:num="1">
            <w:col w:w="11220"/>
          </w:cols>
          <w:pgMar w:left="320" w:top="121" w:right="35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4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232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230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5"/>
                <w:szCs w:val="15"/>
                <w:color w:val="auto"/>
              </w:rPr>
            </w:pPr>
          </w:p>
        </w:tc>
      </w:tr>
      <w:tr>
        <w:trPr>
          <w:trHeight w:val="185"/>
        </w:trPr>
        <w:tc>
          <w:tcPr>
            <w:tcW w:w="594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1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363"/>
        </w:trPr>
        <w:tc>
          <w:tcPr>
            <w:tcW w:w="5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300" w:type="dxa"/>
            <w:vAlign w:val="bottom"/>
            <w:tcBorders>
              <w:bottom w:val="single" w:sz="8" w:color="004054"/>
            </w:tcBorders>
            <w:shd w:val="clear" w:color="auto" w:fill="004054"/>
          </w:tcPr>
          <w:p>
            <w:pPr>
              <w:spacing w:after="0"/>
              <w:rPr>
                <w:sz w:val="24"/>
                <w:szCs w:val="24"/>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00" w:type="dxa"/>
            <w:vAlign w:val="bottom"/>
            <w:tcBorders>
              <w:bottom w:val="single" w:sz="8" w:color="004054"/>
            </w:tcBorders>
            <w:shd w:val="clear" w:color="auto" w:fill="004054"/>
          </w:tcPr>
          <w:p>
            <w:pPr>
              <w:spacing w:after="0"/>
              <w:rPr>
                <w:sz w:val="24"/>
                <w:szCs w:val="24"/>
                <w:color w:val="auto"/>
              </w:rPr>
            </w:pPr>
          </w:p>
        </w:tc>
        <w:tc>
          <w:tcPr>
            <w:tcW w:w="112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80" w:type="dxa"/>
            <w:vAlign w:val="bottom"/>
            <w:tcBorders>
              <w:bottom w:val="single" w:sz="8" w:color="EBFBFF"/>
            </w:tcBorders>
          </w:tcPr>
          <w:p>
            <w:pPr>
              <w:spacing w:after="0"/>
              <w:rPr>
                <w:sz w:val="24"/>
                <w:szCs w:val="24"/>
                <w:color w:val="auto"/>
              </w:rPr>
            </w:pPr>
          </w:p>
        </w:tc>
        <w:tc>
          <w:tcPr>
            <w:tcW w:w="300" w:type="dxa"/>
            <w:vAlign w:val="bottom"/>
            <w:tcBorders>
              <w:bottom w:val="single" w:sz="8" w:color="004054"/>
            </w:tcBorders>
            <w:shd w:val="clear" w:color="auto" w:fill="004054"/>
          </w:tcPr>
          <w:p>
            <w:pPr>
              <w:spacing w:after="0"/>
              <w:rPr>
                <w:sz w:val="24"/>
                <w:szCs w:val="24"/>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00" w:type="dxa"/>
            <w:vAlign w:val="bottom"/>
            <w:tcBorders>
              <w:bottom w:val="single" w:sz="8" w:color="004054"/>
            </w:tcBorders>
            <w:shd w:val="clear" w:color="auto" w:fill="004054"/>
          </w:tcPr>
          <w:p>
            <w:pPr>
              <w:spacing w:after="0"/>
              <w:rPr>
                <w:sz w:val="24"/>
                <w:szCs w:val="24"/>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4"/>
                <w:szCs w:val="24"/>
                <w:color w:val="auto"/>
              </w:rPr>
            </w:pPr>
          </w:p>
        </w:tc>
      </w:tr>
      <w:tr>
        <w:trPr>
          <w:trHeight w:val="197"/>
        </w:trPr>
        <w:tc>
          <w:tcPr>
            <w:tcW w:w="59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Revenue</w:t>
            </w:r>
          </w:p>
        </w:tc>
        <w:tc>
          <w:tcPr>
            <w:tcW w:w="30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292,641</w:t>
            </w:r>
          </w:p>
        </w:tc>
        <w:tc>
          <w:tcPr>
            <w:tcW w:w="200" w:type="dxa"/>
            <w:vAlign w:val="bottom"/>
            <w:shd w:val="clear" w:color="auto" w:fill="EBFBFF"/>
          </w:tcPr>
          <w:p>
            <w:pPr>
              <w:jc w:val="right"/>
              <w:ind w:right="24"/>
              <w:spacing w:after="0"/>
              <w:rPr>
                <w:sz w:val="20"/>
                <w:szCs w:val="20"/>
                <w:color w:val="auto"/>
              </w:rPr>
            </w:pPr>
            <w:r>
              <w:rPr>
                <w:rFonts w:ascii="Arial" w:cs="Arial" w:eastAsia="Arial" w:hAnsi="Arial"/>
                <w:sz w:val="15"/>
                <w:szCs w:val="15"/>
                <w:color w:val="51555C"/>
                <w:w w:val="95"/>
              </w:rPr>
              <w:t>$</w:t>
            </w:r>
          </w:p>
        </w:tc>
        <w:tc>
          <w:tcPr>
            <w:tcW w:w="1120" w:type="dxa"/>
            <w:vAlign w:val="bottom"/>
            <w:tcBorders>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281,143</w:t>
            </w:r>
          </w:p>
        </w:tc>
        <w:tc>
          <w:tcPr>
            <w:tcW w:w="80" w:type="dxa"/>
            <w:vAlign w:val="bottom"/>
            <w:shd w:val="clear" w:color="auto" w:fill="EBFBFF"/>
          </w:tcPr>
          <w:p>
            <w:pPr>
              <w:spacing w:after="0"/>
              <w:rPr>
                <w:sz w:val="17"/>
                <w:szCs w:val="17"/>
                <w:color w:val="auto"/>
              </w:rPr>
            </w:pPr>
          </w:p>
        </w:tc>
        <w:tc>
          <w:tcPr>
            <w:tcW w:w="30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864,378</w:t>
            </w:r>
          </w:p>
        </w:tc>
        <w:tc>
          <w:tcPr>
            <w:tcW w:w="200" w:type="dxa"/>
            <w:vAlign w:val="bottom"/>
            <w:shd w:val="clear" w:color="auto" w:fill="EBFBFF"/>
          </w:tcPr>
          <w:p>
            <w:pPr>
              <w:jc w:val="right"/>
              <w:ind w:right="24"/>
              <w:spacing w:after="0"/>
              <w:rPr>
                <w:sz w:val="20"/>
                <w:szCs w:val="20"/>
                <w:color w:val="auto"/>
              </w:rPr>
            </w:pPr>
            <w:r>
              <w:rPr>
                <w:rFonts w:ascii="Arial" w:cs="Arial" w:eastAsia="Arial" w:hAnsi="Arial"/>
                <w:sz w:val="15"/>
                <w:szCs w:val="15"/>
                <w:color w:val="51555C"/>
                <w:w w:val="95"/>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833,109</w:t>
            </w:r>
          </w:p>
        </w:tc>
        <w:tc>
          <w:tcPr>
            <w:tcW w:w="20" w:type="dxa"/>
            <w:vAlign w:val="bottom"/>
          </w:tcPr>
          <w:p>
            <w:pPr>
              <w:spacing w:after="0"/>
              <w:rPr>
                <w:sz w:val="17"/>
                <w:szCs w:val="17"/>
                <w:color w:val="auto"/>
              </w:rPr>
            </w:pPr>
          </w:p>
        </w:tc>
      </w:tr>
      <w:tr>
        <w:trPr>
          <w:trHeight w:val="203"/>
        </w:trPr>
        <w:tc>
          <w:tcPr>
            <w:tcW w:w="5940" w:type="dxa"/>
            <w:vAlign w:val="bottom"/>
            <w:tcBorders>
              <w:bottom w:val="single" w:sz="8" w:color="EBFBFF"/>
            </w:tcBorders>
          </w:tcPr>
          <w:p>
            <w:pPr>
              <w:ind w:left="140"/>
              <w:spacing w:after="0"/>
              <w:rPr>
                <w:sz w:val="20"/>
                <w:szCs w:val="20"/>
                <w:color w:val="auto"/>
              </w:rPr>
            </w:pPr>
            <w:r>
              <w:rPr>
                <w:rFonts w:ascii="Arial" w:cs="Arial" w:eastAsia="Arial" w:hAnsi="Arial"/>
                <w:sz w:val="15"/>
                <w:szCs w:val="15"/>
                <w:b w:val="1"/>
                <w:bCs w:val="1"/>
                <w:color w:val="51555C"/>
              </w:rPr>
              <w:t>Cost of revenue</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114,850</w:t>
            </w:r>
          </w:p>
        </w:tc>
        <w:tc>
          <w:tcPr>
            <w:tcW w:w="20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rPr>
              <w:t>113,653</w:t>
            </w:r>
          </w:p>
        </w:tc>
        <w:tc>
          <w:tcPr>
            <w:tcW w:w="80" w:type="dxa"/>
            <w:vAlign w:val="bottom"/>
            <w:tcBorders>
              <w:bottom w:val="single" w:sz="8" w:color="EBFBFF"/>
            </w:tcBorders>
          </w:tcPr>
          <w:p>
            <w:pPr>
              <w:spacing w:after="0"/>
              <w:rPr>
                <w:sz w:val="17"/>
                <w:szCs w:val="17"/>
                <w:color w:val="auto"/>
              </w:rPr>
            </w:pP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341,865</w:t>
            </w:r>
          </w:p>
        </w:tc>
        <w:tc>
          <w:tcPr>
            <w:tcW w:w="20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342,101</w:t>
            </w:r>
          </w:p>
        </w:tc>
        <w:tc>
          <w:tcPr>
            <w:tcW w:w="20" w:type="dxa"/>
            <w:vAlign w:val="bottom"/>
          </w:tcPr>
          <w:p>
            <w:pPr>
              <w:spacing w:after="0"/>
              <w:rPr>
                <w:sz w:val="17"/>
                <w:szCs w:val="17"/>
                <w:color w:val="auto"/>
              </w:rPr>
            </w:pPr>
          </w:p>
        </w:tc>
      </w:tr>
      <w:tr>
        <w:trPr>
          <w:trHeight w:val="196"/>
        </w:trPr>
        <w:tc>
          <w:tcPr>
            <w:tcW w:w="59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Gross profit</w:t>
            </w: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177,791</w:t>
            </w:r>
          </w:p>
        </w:tc>
        <w:tc>
          <w:tcPr>
            <w:tcW w:w="20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167,490</w:t>
            </w:r>
          </w:p>
        </w:tc>
        <w:tc>
          <w:tcPr>
            <w:tcW w:w="80" w:type="dxa"/>
            <w:vAlign w:val="bottom"/>
            <w:shd w:val="clear" w:color="auto" w:fill="EBFBFF"/>
          </w:tcPr>
          <w:p>
            <w:pPr>
              <w:spacing w:after="0"/>
              <w:rPr>
                <w:sz w:val="17"/>
                <w:szCs w:val="17"/>
                <w:color w:val="auto"/>
              </w:rPr>
            </w:pP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522,513</w:t>
            </w:r>
          </w:p>
        </w:tc>
        <w:tc>
          <w:tcPr>
            <w:tcW w:w="20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491,008</w:t>
            </w:r>
          </w:p>
        </w:tc>
        <w:tc>
          <w:tcPr>
            <w:tcW w:w="20" w:type="dxa"/>
            <w:vAlign w:val="bottom"/>
          </w:tcPr>
          <w:p>
            <w:pPr>
              <w:spacing w:after="0"/>
              <w:rPr>
                <w:sz w:val="17"/>
                <w:szCs w:val="17"/>
                <w:color w:val="auto"/>
              </w:rPr>
            </w:pPr>
          </w:p>
        </w:tc>
      </w:tr>
      <w:tr>
        <w:trPr>
          <w:trHeight w:val="183"/>
        </w:trPr>
        <w:tc>
          <w:tcPr>
            <w:tcW w:w="5940" w:type="dxa"/>
            <w:vAlign w:val="bottom"/>
          </w:tcPr>
          <w:p>
            <w:pPr>
              <w:ind w:left="140"/>
              <w:spacing w:after="0"/>
              <w:rPr>
                <w:sz w:val="20"/>
                <w:szCs w:val="20"/>
                <w:color w:val="auto"/>
              </w:rPr>
            </w:pPr>
            <w:r>
              <w:rPr>
                <w:rFonts w:ascii="Arial" w:cs="Arial" w:eastAsia="Arial" w:hAnsi="Arial"/>
                <w:sz w:val="15"/>
                <w:szCs w:val="15"/>
                <w:b w:val="1"/>
                <w:bCs w:val="1"/>
                <w:color w:val="51555C"/>
              </w:rPr>
              <w:t>Operating expenses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9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Sales, marketing and customer success</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46,218</w:t>
            </w:r>
          </w:p>
        </w:tc>
        <w:tc>
          <w:tcPr>
            <w:tcW w:w="20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44,105</w:t>
            </w:r>
          </w:p>
        </w:tc>
        <w:tc>
          <w:tcPr>
            <w:tcW w:w="80" w:type="dxa"/>
            <w:vAlign w:val="bottom"/>
            <w:shd w:val="clear" w:color="auto" w:fill="EBFBFF"/>
          </w:tcPr>
          <w:p>
            <w:pPr>
              <w:spacing w:after="0"/>
              <w:rPr>
                <w:sz w:val="17"/>
                <w:szCs w:val="17"/>
                <w:color w:val="auto"/>
              </w:rPr>
            </w:pP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139,823</w:t>
            </w:r>
          </w:p>
        </w:tc>
        <w:tc>
          <w:tcPr>
            <w:tcW w:w="20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132,795</w:t>
            </w:r>
          </w:p>
        </w:tc>
        <w:tc>
          <w:tcPr>
            <w:tcW w:w="20" w:type="dxa"/>
            <w:vAlign w:val="bottom"/>
          </w:tcPr>
          <w:p>
            <w:pPr>
              <w:spacing w:after="0"/>
              <w:rPr>
                <w:sz w:val="17"/>
                <w:szCs w:val="17"/>
                <w:color w:val="auto"/>
              </w:rPr>
            </w:pPr>
          </w:p>
        </w:tc>
      </w:tr>
      <w:tr>
        <w:trPr>
          <w:trHeight w:val="201"/>
        </w:trPr>
        <w:tc>
          <w:tcPr>
            <w:tcW w:w="5940" w:type="dxa"/>
            <w:vAlign w:val="bottom"/>
          </w:tcPr>
          <w:p>
            <w:pPr>
              <w:ind w:left="360"/>
              <w:spacing w:after="0"/>
              <w:rPr>
                <w:sz w:val="20"/>
                <w:szCs w:val="20"/>
                <w:color w:val="auto"/>
              </w:rPr>
            </w:pPr>
            <w:r>
              <w:rPr>
                <w:rFonts w:ascii="Arial" w:cs="Arial" w:eastAsia="Arial" w:hAnsi="Arial"/>
                <w:sz w:val="15"/>
                <w:szCs w:val="15"/>
                <w:color w:val="51555C"/>
              </w:rPr>
              <w:t>Research and development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36,206</w:t>
            </w:r>
          </w:p>
        </w:tc>
        <w:tc>
          <w:tcPr>
            <w:tcW w:w="2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51555C"/>
              </w:rPr>
              <w:t>37,198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107,978</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51555C"/>
              </w:rPr>
              <w:t>104,352</w:t>
            </w:r>
          </w:p>
        </w:tc>
        <w:tc>
          <w:tcPr>
            <w:tcW w:w="20" w:type="dxa"/>
            <w:vAlign w:val="bottom"/>
          </w:tcPr>
          <w:p>
            <w:pPr>
              <w:spacing w:after="0"/>
              <w:rPr>
                <w:sz w:val="17"/>
                <w:szCs w:val="17"/>
                <w:color w:val="auto"/>
              </w:rPr>
            </w:pPr>
          </w:p>
        </w:tc>
      </w:tr>
      <w:tr>
        <w:trPr>
          <w:trHeight w:val="204"/>
        </w:trPr>
        <w:tc>
          <w:tcPr>
            <w:tcW w:w="59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General and administrative</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34,828</w:t>
            </w:r>
          </w:p>
        </w:tc>
        <w:tc>
          <w:tcPr>
            <w:tcW w:w="20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31,044</w:t>
            </w:r>
          </w:p>
        </w:tc>
        <w:tc>
          <w:tcPr>
            <w:tcW w:w="80" w:type="dxa"/>
            <w:vAlign w:val="bottom"/>
            <w:shd w:val="clear" w:color="auto" w:fill="EBFBFF"/>
          </w:tcPr>
          <w:p>
            <w:pPr>
              <w:spacing w:after="0"/>
              <w:rPr>
                <w:sz w:val="17"/>
                <w:szCs w:val="17"/>
                <w:color w:val="auto"/>
              </w:rPr>
            </w:pP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99,538</w:t>
            </w:r>
          </w:p>
        </w:tc>
        <w:tc>
          <w:tcPr>
            <w:tcW w:w="20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120,579</w:t>
            </w:r>
          </w:p>
        </w:tc>
        <w:tc>
          <w:tcPr>
            <w:tcW w:w="20" w:type="dxa"/>
            <w:vAlign w:val="bottom"/>
          </w:tcPr>
          <w:p>
            <w:pPr>
              <w:spacing w:after="0"/>
              <w:rPr>
                <w:sz w:val="17"/>
                <w:szCs w:val="17"/>
                <w:color w:val="auto"/>
              </w:rPr>
            </w:pPr>
          </w:p>
        </w:tc>
      </w:tr>
      <w:tr>
        <w:trPr>
          <w:trHeight w:val="201"/>
        </w:trPr>
        <w:tc>
          <w:tcPr>
            <w:tcW w:w="594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Amortization of intangible assets</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588</w:t>
            </w:r>
          </w:p>
        </w:tc>
        <w:tc>
          <w:tcPr>
            <w:tcW w:w="20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rPr>
              <w:t>570</w:t>
            </w:r>
          </w:p>
        </w:tc>
        <w:tc>
          <w:tcPr>
            <w:tcW w:w="80" w:type="dxa"/>
            <w:vAlign w:val="bottom"/>
            <w:tcBorders>
              <w:bottom w:val="single" w:sz="8" w:color="EBFBFF"/>
            </w:tcBorders>
          </w:tcPr>
          <w:p>
            <w:pPr>
              <w:spacing w:after="0"/>
              <w:rPr>
                <w:sz w:val="17"/>
                <w:szCs w:val="17"/>
                <w:color w:val="auto"/>
              </w:rPr>
            </w:pP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1,762</w:t>
            </w:r>
          </w:p>
        </w:tc>
        <w:tc>
          <w:tcPr>
            <w:tcW w:w="20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1,670</w:t>
            </w:r>
          </w:p>
        </w:tc>
        <w:tc>
          <w:tcPr>
            <w:tcW w:w="20" w:type="dxa"/>
            <w:vAlign w:val="bottom"/>
          </w:tcPr>
          <w:p>
            <w:pPr>
              <w:spacing w:after="0"/>
              <w:rPr>
                <w:sz w:val="17"/>
                <w:szCs w:val="17"/>
                <w:color w:val="auto"/>
              </w:rPr>
            </w:pPr>
          </w:p>
        </w:tc>
      </w:tr>
      <w:tr>
        <w:trPr>
          <w:trHeight w:val="197"/>
        </w:trPr>
        <w:tc>
          <w:tcPr>
            <w:tcW w:w="5940" w:type="dxa"/>
            <w:vAlign w:val="bottom"/>
            <w:shd w:val="clear" w:color="auto" w:fill="EBFBFF"/>
          </w:tcPr>
          <w:p>
            <w:pPr>
              <w:ind w:left="560"/>
              <w:spacing w:after="0"/>
              <w:rPr>
                <w:sz w:val="20"/>
                <w:szCs w:val="20"/>
                <w:color w:val="auto"/>
              </w:rPr>
            </w:pPr>
            <w:r>
              <w:rPr>
                <w:rFonts w:ascii="Arial" w:cs="Arial" w:eastAsia="Arial" w:hAnsi="Arial"/>
                <w:sz w:val="15"/>
                <w:szCs w:val="15"/>
                <w:b w:val="1"/>
                <w:bCs w:val="1"/>
                <w:color w:val="51555C"/>
              </w:rPr>
              <w:t>Total operating expenses</w:t>
            </w: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117,840</w:t>
            </w:r>
          </w:p>
        </w:tc>
        <w:tc>
          <w:tcPr>
            <w:tcW w:w="20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112,917</w:t>
            </w:r>
          </w:p>
        </w:tc>
        <w:tc>
          <w:tcPr>
            <w:tcW w:w="80" w:type="dxa"/>
            <w:vAlign w:val="bottom"/>
            <w:shd w:val="clear" w:color="auto" w:fill="EBFBFF"/>
          </w:tcPr>
          <w:p>
            <w:pPr>
              <w:spacing w:after="0"/>
              <w:rPr>
                <w:sz w:val="17"/>
                <w:szCs w:val="17"/>
                <w:color w:val="auto"/>
              </w:rPr>
            </w:pP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349,101</w:t>
            </w:r>
          </w:p>
        </w:tc>
        <w:tc>
          <w:tcPr>
            <w:tcW w:w="20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359,396</w:t>
            </w:r>
          </w:p>
        </w:tc>
        <w:tc>
          <w:tcPr>
            <w:tcW w:w="20" w:type="dxa"/>
            <w:vAlign w:val="bottom"/>
          </w:tcPr>
          <w:p>
            <w:pPr>
              <w:spacing w:after="0"/>
              <w:rPr>
                <w:sz w:val="17"/>
                <w:szCs w:val="17"/>
                <w:color w:val="auto"/>
              </w:rPr>
            </w:pPr>
          </w:p>
        </w:tc>
      </w:tr>
      <w:tr>
        <w:trPr>
          <w:trHeight w:val="195"/>
        </w:trPr>
        <w:tc>
          <w:tcPr>
            <w:tcW w:w="5940" w:type="dxa"/>
            <w:vAlign w:val="bottom"/>
            <w:tcBorders>
              <w:bottom w:val="single" w:sz="8" w:color="EBFBFF"/>
            </w:tcBorders>
          </w:tcPr>
          <w:p>
            <w:pPr>
              <w:ind w:left="140"/>
              <w:spacing w:after="0"/>
              <w:rPr>
                <w:sz w:val="20"/>
                <w:szCs w:val="20"/>
                <w:color w:val="auto"/>
              </w:rPr>
            </w:pPr>
            <w:r>
              <w:rPr>
                <w:rFonts w:ascii="Arial" w:cs="Arial" w:eastAsia="Arial" w:hAnsi="Arial"/>
                <w:sz w:val="15"/>
                <w:szCs w:val="15"/>
                <w:b w:val="1"/>
                <w:bCs w:val="1"/>
                <w:color w:val="51555C"/>
              </w:rPr>
              <w:t>Income from operations</w:t>
            </w:r>
          </w:p>
        </w:tc>
        <w:tc>
          <w:tcPr>
            <w:tcW w:w="300" w:type="dxa"/>
            <w:vAlign w:val="bottom"/>
            <w:tcBorders>
              <w:bottom w:val="single" w:sz="8" w:color="51555C"/>
            </w:tcBorders>
          </w:tcPr>
          <w:p>
            <w:pPr>
              <w:spacing w:after="0"/>
              <w:rPr>
                <w:sz w:val="16"/>
                <w:szCs w:val="16"/>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59,951</w:t>
            </w:r>
          </w:p>
        </w:tc>
        <w:tc>
          <w:tcPr>
            <w:tcW w:w="200" w:type="dxa"/>
            <w:vAlign w:val="bottom"/>
            <w:tcBorders>
              <w:bottom w:val="single" w:sz="8" w:color="51555C"/>
            </w:tcBorders>
          </w:tcPr>
          <w:p>
            <w:pPr>
              <w:spacing w:after="0"/>
              <w:rPr>
                <w:sz w:val="16"/>
                <w:szCs w:val="16"/>
                <w:color w:val="auto"/>
              </w:rPr>
            </w:pPr>
          </w:p>
        </w:tc>
        <w:tc>
          <w:tcPr>
            <w:tcW w:w="112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rPr>
              <w:t>54,573</w:t>
            </w:r>
          </w:p>
        </w:tc>
        <w:tc>
          <w:tcPr>
            <w:tcW w:w="80" w:type="dxa"/>
            <w:vAlign w:val="bottom"/>
            <w:tcBorders>
              <w:bottom w:val="single" w:sz="8" w:color="EBFBFF"/>
            </w:tcBorders>
          </w:tcPr>
          <w:p>
            <w:pPr>
              <w:spacing w:after="0"/>
              <w:rPr>
                <w:sz w:val="16"/>
                <w:szCs w:val="16"/>
                <w:color w:val="auto"/>
              </w:rPr>
            </w:pPr>
          </w:p>
        </w:tc>
        <w:tc>
          <w:tcPr>
            <w:tcW w:w="300" w:type="dxa"/>
            <w:vAlign w:val="bottom"/>
            <w:tcBorders>
              <w:bottom w:val="single" w:sz="8" w:color="51555C"/>
            </w:tcBorders>
          </w:tcPr>
          <w:p>
            <w:pPr>
              <w:spacing w:after="0"/>
              <w:rPr>
                <w:sz w:val="16"/>
                <w:szCs w:val="16"/>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173,412</w:t>
            </w:r>
          </w:p>
        </w:tc>
        <w:tc>
          <w:tcPr>
            <w:tcW w:w="200" w:type="dxa"/>
            <w:vAlign w:val="bottom"/>
            <w:tcBorders>
              <w:bottom w:val="single" w:sz="8" w:color="51555C"/>
            </w:tcBorders>
          </w:tcPr>
          <w:p>
            <w:pPr>
              <w:spacing w:after="0"/>
              <w:rPr>
                <w:sz w:val="16"/>
                <w:szCs w:val="16"/>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131,612</w:t>
            </w:r>
          </w:p>
        </w:tc>
        <w:tc>
          <w:tcPr>
            <w:tcW w:w="20" w:type="dxa"/>
            <w:vAlign w:val="bottom"/>
          </w:tcPr>
          <w:p>
            <w:pPr>
              <w:spacing w:after="0"/>
              <w:rPr>
                <w:sz w:val="16"/>
                <w:szCs w:val="16"/>
                <w:color w:val="auto"/>
              </w:rPr>
            </w:pPr>
          </w:p>
        </w:tc>
      </w:tr>
      <w:tr>
        <w:trPr>
          <w:trHeight w:val="197"/>
        </w:trPr>
        <w:tc>
          <w:tcPr>
            <w:tcW w:w="59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Interest expense</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(16,109)</w:t>
            </w:r>
          </w:p>
        </w:tc>
        <w:tc>
          <w:tcPr>
            <w:tcW w:w="20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5"/>
                <w:szCs w:val="15"/>
                <w:color w:val="51555C"/>
              </w:rPr>
              <w:t>(16,774)</w:t>
            </w:r>
          </w:p>
        </w:tc>
        <w:tc>
          <w:tcPr>
            <w:tcW w:w="80" w:type="dxa"/>
            <w:vAlign w:val="bottom"/>
            <w:shd w:val="clear" w:color="auto" w:fill="EBFBFF"/>
          </w:tcPr>
          <w:p>
            <w:pPr>
              <w:spacing w:after="0"/>
              <w:rPr>
                <w:sz w:val="17"/>
                <w:szCs w:val="17"/>
                <w:color w:val="auto"/>
              </w:rPr>
            </w:pP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(49,724)</w:t>
            </w:r>
          </w:p>
        </w:tc>
        <w:tc>
          <w:tcPr>
            <w:tcW w:w="20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(52,130)</w:t>
            </w:r>
          </w:p>
        </w:tc>
        <w:tc>
          <w:tcPr>
            <w:tcW w:w="20" w:type="dxa"/>
            <w:vAlign w:val="bottom"/>
          </w:tcPr>
          <w:p>
            <w:pPr>
              <w:spacing w:after="0"/>
              <w:rPr>
                <w:sz w:val="17"/>
                <w:szCs w:val="17"/>
                <w:color w:val="auto"/>
              </w:rPr>
            </w:pPr>
          </w:p>
        </w:tc>
      </w:tr>
      <w:tr>
        <w:trPr>
          <w:trHeight w:val="201"/>
        </w:trPr>
        <w:tc>
          <w:tcPr>
            <w:tcW w:w="594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Other income, net</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2,597</w:t>
            </w:r>
          </w:p>
        </w:tc>
        <w:tc>
          <w:tcPr>
            <w:tcW w:w="20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rPr>
              <w:t>3,245</w:t>
            </w:r>
          </w:p>
        </w:tc>
        <w:tc>
          <w:tcPr>
            <w:tcW w:w="80" w:type="dxa"/>
            <w:vAlign w:val="bottom"/>
            <w:tcBorders>
              <w:bottom w:val="single" w:sz="8" w:color="EBFBFF"/>
            </w:tcBorders>
          </w:tcPr>
          <w:p>
            <w:pPr>
              <w:spacing w:after="0"/>
              <w:rPr>
                <w:sz w:val="17"/>
                <w:szCs w:val="17"/>
                <w:color w:val="auto"/>
              </w:rPr>
            </w:pP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6,977</w:t>
            </w:r>
          </w:p>
        </w:tc>
        <w:tc>
          <w:tcPr>
            <w:tcW w:w="20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6,468</w:t>
            </w:r>
          </w:p>
        </w:tc>
        <w:tc>
          <w:tcPr>
            <w:tcW w:w="20" w:type="dxa"/>
            <w:vAlign w:val="bottom"/>
          </w:tcPr>
          <w:p>
            <w:pPr>
              <w:spacing w:after="0"/>
              <w:rPr>
                <w:sz w:val="17"/>
                <w:szCs w:val="17"/>
                <w:color w:val="auto"/>
              </w:rPr>
            </w:pPr>
          </w:p>
        </w:tc>
      </w:tr>
      <w:tr>
        <w:trPr>
          <w:trHeight w:val="197"/>
        </w:trPr>
        <w:tc>
          <w:tcPr>
            <w:tcW w:w="59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Income before provision (benefit) for income taxes</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46,439</w:t>
            </w:r>
          </w:p>
        </w:tc>
        <w:tc>
          <w:tcPr>
            <w:tcW w:w="20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41,044</w:t>
            </w:r>
          </w:p>
        </w:tc>
        <w:tc>
          <w:tcPr>
            <w:tcW w:w="80" w:type="dxa"/>
            <w:vAlign w:val="bottom"/>
            <w:shd w:val="clear" w:color="auto" w:fill="EBFBFF"/>
          </w:tcPr>
          <w:p>
            <w:pPr>
              <w:spacing w:after="0"/>
              <w:rPr>
                <w:sz w:val="17"/>
                <w:szCs w:val="17"/>
                <w:color w:val="auto"/>
              </w:rPr>
            </w:pP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130,665</w:t>
            </w:r>
          </w:p>
        </w:tc>
        <w:tc>
          <w:tcPr>
            <w:tcW w:w="20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85,950</w:t>
            </w:r>
          </w:p>
        </w:tc>
        <w:tc>
          <w:tcPr>
            <w:tcW w:w="20" w:type="dxa"/>
            <w:vAlign w:val="bottom"/>
          </w:tcPr>
          <w:p>
            <w:pPr>
              <w:spacing w:after="0"/>
              <w:rPr>
                <w:sz w:val="17"/>
                <w:szCs w:val="17"/>
                <w:color w:val="auto"/>
              </w:rPr>
            </w:pPr>
          </w:p>
        </w:tc>
      </w:tr>
      <w:tr>
        <w:trPr>
          <w:trHeight w:val="201"/>
        </w:trPr>
        <w:tc>
          <w:tcPr>
            <w:tcW w:w="594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Income tax provision (benefit)</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371</w:t>
            </w:r>
          </w:p>
        </w:tc>
        <w:tc>
          <w:tcPr>
            <w:tcW w:w="20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(6,448)</w:t>
            </w:r>
          </w:p>
        </w:tc>
        <w:tc>
          <w:tcPr>
            <w:tcW w:w="80" w:type="dxa"/>
            <w:vAlign w:val="bottom"/>
            <w:tcBorders>
              <w:bottom w:val="single" w:sz="8" w:color="EBFBFF"/>
            </w:tcBorders>
          </w:tcPr>
          <w:p>
            <w:pPr>
              <w:spacing w:after="0"/>
              <w:rPr>
                <w:sz w:val="17"/>
                <w:szCs w:val="17"/>
                <w:color w:val="auto"/>
              </w:rPr>
            </w:pP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18,100</w:t>
            </w:r>
          </w:p>
        </w:tc>
        <w:tc>
          <w:tcPr>
            <w:tcW w:w="20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7,669</w:t>
            </w:r>
          </w:p>
        </w:tc>
        <w:tc>
          <w:tcPr>
            <w:tcW w:w="20" w:type="dxa"/>
            <w:vAlign w:val="bottom"/>
          </w:tcPr>
          <w:p>
            <w:pPr>
              <w:spacing w:after="0"/>
              <w:rPr>
                <w:sz w:val="17"/>
                <w:szCs w:val="17"/>
                <w:color w:val="auto"/>
              </w:rPr>
            </w:pPr>
          </w:p>
        </w:tc>
      </w:tr>
      <w:tr>
        <w:trPr>
          <w:trHeight w:val="197"/>
        </w:trPr>
        <w:tc>
          <w:tcPr>
            <w:tcW w:w="59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Net income</w:t>
            </w:r>
          </w:p>
        </w:tc>
        <w:tc>
          <w:tcPr>
            <w:tcW w:w="300" w:type="dxa"/>
            <w:vAlign w:val="bottom"/>
            <w:tcBorders>
              <w:bottom w:val="single" w:sz="8" w:color="51555C"/>
            </w:tcBorders>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46,068</w:t>
            </w:r>
          </w:p>
        </w:tc>
        <w:tc>
          <w:tcPr>
            <w:tcW w:w="200" w:type="dxa"/>
            <w:vAlign w:val="bottom"/>
            <w:tcBorders>
              <w:bottom w:val="single" w:sz="8" w:color="51555C"/>
            </w:tcBorders>
            <w:shd w:val="clear" w:color="auto" w:fill="EBFBFF"/>
          </w:tcPr>
          <w:p>
            <w:pPr>
              <w:jc w:val="right"/>
              <w:ind w:right="24"/>
              <w:spacing w:after="0"/>
              <w:rPr>
                <w:sz w:val="20"/>
                <w:szCs w:val="20"/>
                <w:color w:val="auto"/>
              </w:rPr>
            </w:pPr>
            <w:r>
              <w:rPr>
                <w:rFonts w:ascii="Arial" w:cs="Arial" w:eastAsia="Arial" w:hAnsi="Arial"/>
                <w:sz w:val="15"/>
                <w:szCs w:val="15"/>
                <w:color w:val="51555C"/>
                <w:w w:val="95"/>
              </w:rPr>
              <w:t>$</w:t>
            </w:r>
          </w:p>
        </w:tc>
        <w:tc>
          <w:tcPr>
            <w:tcW w:w="1120" w:type="dxa"/>
            <w:vAlign w:val="bottom"/>
            <w:tcBorders>
              <w:bottom w:val="single" w:sz="8" w:color="51555C"/>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47,492</w:t>
            </w:r>
          </w:p>
        </w:tc>
        <w:tc>
          <w:tcPr>
            <w:tcW w:w="80" w:type="dxa"/>
            <w:vAlign w:val="bottom"/>
            <w:shd w:val="clear" w:color="auto" w:fill="EBFBFF"/>
          </w:tcPr>
          <w:p>
            <w:pPr>
              <w:spacing w:after="0"/>
              <w:rPr>
                <w:sz w:val="17"/>
                <w:szCs w:val="17"/>
                <w:color w:val="auto"/>
              </w:rPr>
            </w:pPr>
          </w:p>
        </w:tc>
        <w:tc>
          <w:tcPr>
            <w:tcW w:w="300" w:type="dxa"/>
            <w:vAlign w:val="bottom"/>
            <w:tcBorders>
              <w:bottom w:val="single" w:sz="8" w:color="51555C"/>
            </w:tcBorders>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112,565</w:t>
            </w:r>
          </w:p>
        </w:tc>
        <w:tc>
          <w:tcPr>
            <w:tcW w:w="200" w:type="dxa"/>
            <w:vAlign w:val="bottom"/>
            <w:tcBorders>
              <w:bottom w:val="single" w:sz="8" w:color="51555C"/>
            </w:tcBorders>
            <w:shd w:val="clear" w:color="auto" w:fill="EBFBFF"/>
          </w:tcPr>
          <w:p>
            <w:pPr>
              <w:jc w:val="right"/>
              <w:ind w:right="2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78,281</w:t>
            </w:r>
          </w:p>
        </w:tc>
        <w:tc>
          <w:tcPr>
            <w:tcW w:w="20" w:type="dxa"/>
            <w:vAlign w:val="bottom"/>
          </w:tcPr>
          <w:p>
            <w:pPr>
              <w:spacing w:after="0"/>
              <w:rPr>
                <w:sz w:val="17"/>
                <w:szCs w:val="17"/>
                <w:color w:val="auto"/>
              </w:rPr>
            </w:pPr>
          </w:p>
        </w:tc>
      </w:tr>
      <w:tr>
        <w:trPr>
          <w:trHeight w:val="183"/>
        </w:trPr>
        <w:tc>
          <w:tcPr>
            <w:tcW w:w="5940" w:type="dxa"/>
            <w:vAlign w:val="bottom"/>
          </w:tcPr>
          <w:p>
            <w:pPr>
              <w:ind w:left="140"/>
              <w:spacing w:after="0"/>
              <w:rPr>
                <w:sz w:val="20"/>
                <w:szCs w:val="20"/>
                <w:color w:val="auto"/>
              </w:rPr>
            </w:pPr>
            <w:r>
              <w:rPr>
                <w:rFonts w:ascii="Arial" w:cs="Arial" w:eastAsia="Arial" w:hAnsi="Arial"/>
                <w:sz w:val="15"/>
                <w:szCs w:val="15"/>
                <w:b w:val="1"/>
                <w:bCs w:val="1"/>
                <w:color w:val="51555C"/>
              </w:rPr>
              <w:t>Earnings per share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9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Basic</w:t>
            </w:r>
          </w:p>
        </w:tc>
        <w:tc>
          <w:tcPr>
            <w:tcW w:w="30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1.04</w:t>
            </w:r>
          </w:p>
        </w:tc>
        <w:tc>
          <w:tcPr>
            <w:tcW w:w="200" w:type="dxa"/>
            <w:vAlign w:val="bottom"/>
            <w:shd w:val="clear" w:color="auto" w:fill="EBFBFF"/>
          </w:tcPr>
          <w:p>
            <w:pPr>
              <w:jc w:val="right"/>
              <w:ind w:right="24"/>
              <w:spacing w:after="0"/>
              <w:rPr>
                <w:sz w:val="20"/>
                <w:szCs w:val="20"/>
                <w:color w:val="auto"/>
              </w:rPr>
            </w:pPr>
            <w:r>
              <w:rPr>
                <w:rFonts w:ascii="Arial" w:cs="Arial" w:eastAsia="Arial" w:hAnsi="Arial"/>
                <w:sz w:val="15"/>
                <w:szCs w:val="15"/>
                <w:color w:val="51555C"/>
                <w:w w:val="95"/>
              </w:rPr>
              <w:t>$</w:t>
            </w:r>
          </w:p>
        </w:tc>
        <w:tc>
          <w:tcPr>
            <w:tcW w:w="1120" w:type="dxa"/>
            <w:vAlign w:val="bottom"/>
            <w:tcBorders>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1.00</w:t>
            </w:r>
          </w:p>
        </w:tc>
        <w:tc>
          <w:tcPr>
            <w:tcW w:w="380" w:type="dxa"/>
            <w:vAlign w:val="bottom"/>
            <w:gridSpan w:val="2"/>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2.51</w:t>
            </w:r>
          </w:p>
        </w:tc>
        <w:tc>
          <w:tcPr>
            <w:tcW w:w="200" w:type="dxa"/>
            <w:vAlign w:val="bottom"/>
            <w:shd w:val="clear" w:color="auto" w:fill="EBFBFF"/>
          </w:tcPr>
          <w:p>
            <w:pPr>
              <w:jc w:val="right"/>
              <w:ind w:right="24"/>
              <w:spacing w:after="0"/>
              <w:rPr>
                <w:sz w:val="20"/>
                <w:szCs w:val="20"/>
                <w:color w:val="auto"/>
              </w:rPr>
            </w:pPr>
            <w:r>
              <w:rPr>
                <w:rFonts w:ascii="Arial" w:cs="Arial" w:eastAsia="Arial" w:hAnsi="Arial"/>
                <w:sz w:val="15"/>
                <w:szCs w:val="15"/>
                <w:color w:val="51555C"/>
                <w:w w:val="95"/>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1.63</w:t>
            </w:r>
          </w:p>
        </w:tc>
        <w:tc>
          <w:tcPr>
            <w:tcW w:w="20" w:type="dxa"/>
            <w:vAlign w:val="bottom"/>
          </w:tcPr>
          <w:p>
            <w:pPr>
              <w:spacing w:after="0"/>
              <w:rPr>
                <w:sz w:val="17"/>
                <w:szCs w:val="17"/>
                <w:color w:val="auto"/>
              </w:rPr>
            </w:pPr>
          </w:p>
        </w:tc>
      </w:tr>
      <w:tr>
        <w:trPr>
          <w:trHeight w:val="201"/>
        </w:trPr>
        <w:tc>
          <w:tcPr>
            <w:tcW w:w="5940" w:type="dxa"/>
            <w:vAlign w:val="bottom"/>
          </w:tcPr>
          <w:p>
            <w:pPr>
              <w:ind w:left="360"/>
              <w:spacing w:after="0"/>
              <w:rPr>
                <w:sz w:val="20"/>
                <w:szCs w:val="20"/>
                <w:color w:val="auto"/>
              </w:rPr>
            </w:pPr>
            <w:r>
              <w:rPr>
                <w:rFonts w:ascii="Arial" w:cs="Arial" w:eastAsia="Arial" w:hAnsi="Arial"/>
                <w:sz w:val="15"/>
                <w:szCs w:val="15"/>
                <w:color w:val="51555C"/>
              </w:rPr>
              <w:t>Diluted</w:t>
            </w:r>
          </w:p>
        </w:tc>
        <w:tc>
          <w:tcPr>
            <w:tcW w:w="300" w:type="dxa"/>
            <w:vAlign w:val="bottom"/>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Pr>
          <w:p>
            <w:pPr>
              <w:jc w:val="right"/>
              <w:spacing w:after="0"/>
              <w:rPr>
                <w:sz w:val="20"/>
                <w:szCs w:val="20"/>
                <w:color w:val="auto"/>
              </w:rPr>
            </w:pPr>
            <w:r>
              <w:rPr>
                <w:rFonts w:ascii="Arial" w:cs="Arial" w:eastAsia="Arial" w:hAnsi="Arial"/>
                <w:sz w:val="15"/>
                <w:szCs w:val="15"/>
                <w:color w:val="51555C"/>
              </w:rPr>
              <w:t>1.02</w:t>
            </w:r>
          </w:p>
        </w:tc>
        <w:tc>
          <w:tcPr>
            <w:tcW w:w="200" w:type="dxa"/>
            <w:vAlign w:val="bottom"/>
          </w:tcPr>
          <w:p>
            <w:pPr>
              <w:jc w:val="right"/>
              <w:ind w:right="24"/>
              <w:spacing w:after="0"/>
              <w:rPr>
                <w:sz w:val="20"/>
                <w:szCs w:val="20"/>
                <w:color w:val="auto"/>
              </w:rPr>
            </w:pPr>
            <w:r>
              <w:rPr>
                <w:rFonts w:ascii="Arial" w:cs="Arial" w:eastAsia="Arial" w:hAnsi="Arial"/>
                <w:sz w:val="15"/>
                <w:szCs w:val="15"/>
                <w:color w:val="51555C"/>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51555C"/>
              </w:rPr>
              <w:t>0.98</w:t>
            </w:r>
          </w:p>
        </w:tc>
        <w:tc>
          <w:tcPr>
            <w:tcW w:w="380" w:type="dxa"/>
            <w:vAlign w:val="bottom"/>
            <w:gridSpan w:val="2"/>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Pr>
          <w:p>
            <w:pPr>
              <w:jc w:val="right"/>
              <w:spacing w:after="0"/>
              <w:rPr>
                <w:sz w:val="20"/>
                <w:szCs w:val="20"/>
                <w:color w:val="auto"/>
              </w:rPr>
            </w:pPr>
            <w:r>
              <w:rPr>
                <w:rFonts w:ascii="Arial" w:cs="Arial" w:eastAsia="Arial" w:hAnsi="Arial"/>
                <w:sz w:val="15"/>
                <w:szCs w:val="15"/>
                <w:color w:val="51555C"/>
              </w:rPr>
              <w:t>2.49</w:t>
            </w:r>
          </w:p>
        </w:tc>
        <w:tc>
          <w:tcPr>
            <w:tcW w:w="200" w:type="dxa"/>
            <w:vAlign w:val="bottom"/>
          </w:tcPr>
          <w:p>
            <w:pPr>
              <w:jc w:val="right"/>
              <w:ind w:right="24"/>
              <w:spacing w:after="0"/>
              <w:rPr>
                <w:sz w:val="20"/>
                <w:szCs w:val="20"/>
                <w:color w:val="auto"/>
              </w:rPr>
            </w:pPr>
            <w:r>
              <w:rPr>
                <w:rFonts w:ascii="Arial" w:cs="Arial" w:eastAsia="Arial" w:hAnsi="Arial"/>
                <w:sz w:val="15"/>
                <w:szCs w:val="15"/>
                <w:color w:val="51555C"/>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51555C"/>
              </w:rPr>
              <w:t>1.61</w:t>
            </w:r>
          </w:p>
        </w:tc>
        <w:tc>
          <w:tcPr>
            <w:tcW w:w="20" w:type="dxa"/>
            <w:vAlign w:val="bottom"/>
          </w:tcPr>
          <w:p>
            <w:pPr>
              <w:spacing w:after="0"/>
              <w:rPr>
                <w:sz w:val="17"/>
                <w:szCs w:val="17"/>
                <w:color w:val="auto"/>
              </w:rPr>
            </w:pPr>
          </w:p>
        </w:tc>
      </w:tr>
      <w:tr>
        <w:trPr>
          <w:trHeight w:val="204"/>
        </w:trPr>
        <w:tc>
          <w:tcPr>
            <w:tcW w:w="59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Common shares and equivalents outstanding</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11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5940" w:type="dxa"/>
            <w:vAlign w:val="bottom"/>
          </w:tcPr>
          <w:p>
            <w:pPr>
              <w:ind w:left="360"/>
              <w:spacing w:after="0"/>
              <w:rPr>
                <w:sz w:val="20"/>
                <w:szCs w:val="20"/>
                <w:color w:val="auto"/>
              </w:rPr>
            </w:pPr>
            <w:r>
              <w:rPr>
                <w:rFonts w:ascii="Arial" w:cs="Arial" w:eastAsia="Arial" w:hAnsi="Arial"/>
                <w:sz w:val="15"/>
                <w:szCs w:val="15"/>
                <w:color w:val="51555C"/>
              </w:rPr>
              <w:t>Basic weighted average shares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44,267,816</w:t>
            </w:r>
          </w:p>
        </w:tc>
        <w:tc>
          <w:tcPr>
            <w:tcW w:w="2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51555C"/>
              </w:rPr>
              <w:t>47,680,002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44,858,491</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51555C"/>
              </w:rPr>
              <w:t>47,961,631</w:t>
            </w:r>
          </w:p>
        </w:tc>
        <w:tc>
          <w:tcPr>
            <w:tcW w:w="20" w:type="dxa"/>
            <w:vAlign w:val="bottom"/>
          </w:tcPr>
          <w:p>
            <w:pPr>
              <w:spacing w:after="0"/>
              <w:rPr>
                <w:sz w:val="17"/>
                <w:szCs w:val="17"/>
                <w:color w:val="auto"/>
              </w:rPr>
            </w:pPr>
          </w:p>
        </w:tc>
      </w:tr>
      <w:tr>
        <w:trPr>
          <w:trHeight w:val="204"/>
        </w:trPr>
        <w:tc>
          <w:tcPr>
            <w:tcW w:w="59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Diluted weighted average shares</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44,961,588</w:t>
            </w:r>
          </w:p>
        </w:tc>
        <w:tc>
          <w:tcPr>
            <w:tcW w:w="20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rPr>
              <w:t>48,498,285</w:t>
            </w:r>
          </w:p>
        </w:tc>
        <w:tc>
          <w:tcPr>
            <w:tcW w:w="80" w:type="dxa"/>
            <w:vAlign w:val="bottom"/>
            <w:shd w:val="clear" w:color="auto" w:fill="EBFBFF"/>
          </w:tcPr>
          <w:p>
            <w:pPr>
              <w:spacing w:after="0"/>
              <w:rPr>
                <w:sz w:val="17"/>
                <w:szCs w:val="17"/>
                <w:color w:val="auto"/>
              </w:rPr>
            </w:pP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45,245,216</w:t>
            </w:r>
          </w:p>
        </w:tc>
        <w:tc>
          <w:tcPr>
            <w:tcW w:w="20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48,634,027</w:t>
            </w:r>
          </w:p>
        </w:tc>
        <w:tc>
          <w:tcPr>
            <w:tcW w:w="20" w:type="dxa"/>
            <w:vAlign w:val="bottom"/>
          </w:tcPr>
          <w:p>
            <w:pPr>
              <w:spacing w:after="0"/>
              <w:rPr>
                <w:sz w:val="17"/>
                <w:szCs w:val="17"/>
                <w:color w:val="auto"/>
              </w:rPr>
            </w:pPr>
          </w:p>
        </w:tc>
      </w:tr>
      <w:tr>
        <w:trPr>
          <w:trHeight w:val="203"/>
        </w:trPr>
        <w:tc>
          <w:tcPr>
            <w:tcW w:w="5940" w:type="dxa"/>
            <w:vAlign w:val="bottom"/>
          </w:tcPr>
          <w:p>
            <w:pPr>
              <w:ind w:left="140"/>
              <w:spacing w:after="0"/>
              <w:rPr>
                <w:sz w:val="20"/>
                <w:szCs w:val="20"/>
                <w:color w:val="auto"/>
              </w:rPr>
            </w:pPr>
            <w:r>
              <w:rPr>
                <w:rFonts w:ascii="Arial" w:cs="Arial" w:eastAsia="Arial" w:hAnsi="Arial"/>
                <w:sz w:val="15"/>
                <w:szCs w:val="15"/>
                <w:b w:val="1"/>
                <w:bCs w:val="1"/>
                <w:color w:val="51555C"/>
              </w:rPr>
              <w:t>Other comprehensive income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40" w:type="dxa"/>
            <w:vAlign w:val="bottom"/>
            <w:shd w:val="clear" w:color="auto" w:fill="EBFBFF"/>
          </w:tcPr>
          <w:p>
            <w:pPr>
              <w:ind w:left="400"/>
              <w:spacing w:after="0"/>
              <w:rPr>
                <w:sz w:val="20"/>
                <w:szCs w:val="20"/>
                <w:color w:val="auto"/>
              </w:rPr>
            </w:pPr>
            <w:r>
              <w:rPr>
                <w:rFonts w:ascii="Arial" w:cs="Arial" w:eastAsia="Arial" w:hAnsi="Arial"/>
                <w:sz w:val="15"/>
                <w:szCs w:val="15"/>
                <w:color w:val="51555C"/>
              </w:rPr>
              <w:t>Foreign currency translation adjustment</w:t>
            </w:r>
          </w:p>
        </w:tc>
        <w:tc>
          <w:tcPr>
            <w:tcW w:w="30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(106)</w:t>
            </w:r>
          </w:p>
        </w:tc>
        <w:tc>
          <w:tcPr>
            <w:tcW w:w="200" w:type="dxa"/>
            <w:vAlign w:val="bottom"/>
            <w:shd w:val="clear" w:color="auto" w:fill="EBFBFF"/>
          </w:tcPr>
          <w:p>
            <w:pPr>
              <w:jc w:val="right"/>
              <w:ind w:right="24"/>
              <w:spacing w:after="0"/>
              <w:rPr>
                <w:sz w:val="20"/>
                <w:szCs w:val="20"/>
                <w:color w:val="auto"/>
              </w:rPr>
            </w:pPr>
            <w:r>
              <w:rPr>
                <w:rFonts w:ascii="Arial" w:cs="Arial" w:eastAsia="Arial" w:hAnsi="Arial"/>
                <w:sz w:val="15"/>
                <w:szCs w:val="15"/>
                <w:color w:val="51555C"/>
                <w:w w:val="95"/>
              </w:rPr>
              <w:t>$</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5"/>
                <w:szCs w:val="15"/>
                <w:color w:val="51555C"/>
              </w:rPr>
              <w:t>(2,284)</w:t>
            </w:r>
          </w:p>
        </w:tc>
        <w:tc>
          <w:tcPr>
            <w:tcW w:w="380" w:type="dxa"/>
            <w:vAlign w:val="bottom"/>
            <w:gridSpan w:val="2"/>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(1,703)</w:t>
            </w:r>
          </w:p>
        </w:tc>
        <w:tc>
          <w:tcPr>
            <w:tcW w:w="200" w:type="dxa"/>
            <w:vAlign w:val="bottom"/>
            <w:shd w:val="clear" w:color="auto" w:fill="EBFBFF"/>
          </w:tcPr>
          <w:p>
            <w:pPr>
              <w:jc w:val="right"/>
              <w:ind w:right="24"/>
              <w:spacing w:after="0"/>
              <w:rPr>
                <w:sz w:val="20"/>
                <w:szCs w:val="20"/>
                <w:color w:val="auto"/>
              </w:rPr>
            </w:pPr>
            <w:r>
              <w:rPr>
                <w:rFonts w:ascii="Arial" w:cs="Arial" w:eastAsia="Arial" w:hAnsi="Arial"/>
                <w:sz w:val="15"/>
                <w:szCs w:val="15"/>
                <w:color w:val="51555C"/>
                <w:w w:val="95"/>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8,299</w:t>
            </w:r>
          </w:p>
        </w:tc>
        <w:tc>
          <w:tcPr>
            <w:tcW w:w="20" w:type="dxa"/>
            <w:vAlign w:val="bottom"/>
          </w:tcPr>
          <w:p>
            <w:pPr>
              <w:spacing w:after="0"/>
              <w:rPr>
                <w:sz w:val="17"/>
                <w:szCs w:val="17"/>
                <w:color w:val="auto"/>
              </w:rPr>
            </w:pPr>
          </w:p>
        </w:tc>
      </w:tr>
      <w:tr>
        <w:trPr>
          <w:trHeight w:val="201"/>
        </w:trPr>
        <w:tc>
          <w:tcPr>
            <w:tcW w:w="5940" w:type="dxa"/>
            <w:vAlign w:val="bottom"/>
            <w:tcBorders>
              <w:bottom w:val="single" w:sz="8" w:color="EBFBFF"/>
            </w:tcBorders>
          </w:tcPr>
          <w:p>
            <w:pPr>
              <w:ind w:left="400"/>
              <w:spacing w:after="0"/>
              <w:rPr>
                <w:sz w:val="20"/>
                <w:szCs w:val="20"/>
                <w:color w:val="auto"/>
              </w:rPr>
            </w:pPr>
            <w:r>
              <w:rPr>
                <w:rFonts w:ascii="Arial" w:cs="Arial" w:eastAsia="Arial" w:hAnsi="Arial"/>
                <w:sz w:val="15"/>
                <w:szCs w:val="15"/>
                <w:color w:val="51555C"/>
              </w:rPr>
              <w:t>Unrealized gain (loss) on derivative instruments, net of tax</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4,241</w:t>
            </w:r>
          </w:p>
        </w:tc>
        <w:tc>
          <w:tcPr>
            <w:tcW w:w="20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(622)</w:t>
            </w:r>
          </w:p>
        </w:tc>
        <w:tc>
          <w:tcPr>
            <w:tcW w:w="80" w:type="dxa"/>
            <w:vAlign w:val="bottom"/>
            <w:tcBorders>
              <w:bottom w:val="single" w:sz="8" w:color="EBFBFF"/>
            </w:tcBorders>
          </w:tcPr>
          <w:p>
            <w:pPr>
              <w:spacing w:after="0"/>
              <w:rPr>
                <w:sz w:val="17"/>
                <w:szCs w:val="17"/>
                <w:color w:val="auto"/>
              </w:rPr>
            </w:pP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10,861</w:t>
            </w:r>
          </w:p>
        </w:tc>
        <w:tc>
          <w:tcPr>
            <w:tcW w:w="20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(12,628)</w:t>
            </w:r>
          </w:p>
        </w:tc>
        <w:tc>
          <w:tcPr>
            <w:tcW w:w="20" w:type="dxa"/>
            <w:vAlign w:val="bottom"/>
          </w:tcPr>
          <w:p>
            <w:pPr>
              <w:spacing w:after="0"/>
              <w:rPr>
                <w:sz w:val="17"/>
                <w:szCs w:val="17"/>
                <w:color w:val="auto"/>
              </w:rPr>
            </w:pPr>
          </w:p>
        </w:tc>
      </w:tr>
      <w:tr>
        <w:trPr>
          <w:trHeight w:val="197"/>
        </w:trPr>
        <w:tc>
          <w:tcPr>
            <w:tcW w:w="5940" w:type="dxa"/>
            <w:vAlign w:val="bottom"/>
            <w:shd w:val="clear" w:color="auto" w:fill="EBFBFF"/>
          </w:tcPr>
          <w:p>
            <w:pPr>
              <w:ind w:left="560"/>
              <w:spacing w:after="0"/>
              <w:rPr>
                <w:sz w:val="20"/>
                <w:szCs w:val="20"/>
                <w:color w:val="auto"/>
              </w:rPr>
            </w:pPr>
            <w:r>
              <w:rPr>
                <w:rFonts w:ascii="Arial" w:cs="Arial" w:eastAsia="Arial" w:hAnsi="Arial"/>
                <w:sz w:val="15"/>
                <w:szCs w:val="15"/>
                <w:b w:val="1"/>
                <w:bCs w:val="1"/>
                <w:color w:val="51555C"/>
              </w:rPr>
              <w:t>Total other comprehensive income (loss)</w:t>
            </w: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4,135</w:t>
            </w:r>
          </w:p>
        </w:tc>
        <w:tc>
          <w:tcPr>
            <w:tcW w:w="20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right w:val="single" w:sz="8" w:color="EBFBFF"/>
            </w:tcBorders>
            <w:shd w:val="clear" w:color="auto" w:fill="EBFBFF"/>
          </w:tcPr>
          <w:p>
            <w:pPr>
              <w:jc w:val="right"/>
              <w:spacing w:after="0"/>
              <w:rPr>
                <w:sz w:val="20"/>
                <w:szCs w:val="20"/>
                <w:color w:val="auto"/>
              </w:rPr>
            </w:pPr>
            <w:r>
              <w:rPr>
                <w:rFonts w:ascii="Arial" w:cs="Arial" w:eastAsia="Arial" w:hAnsi="Arial"/>
                <w:sz w:val="15"/>
                <w:szCs w:val="15"/>
                <w:color w:val="51555C"/>
              </w:rPr>
              <w:t>(2,906)</w:t>
            </w:r>
          </w:p>
        </w:tc>
        <w:tc>
          <w:tcPr>
            <w:tcW w:w="80" w:type="dxa"/>
            <w:vAlign w:val="bottom"/>
            <w:shd w:val="clear" w:color="auto" w:fill="EBFBFF"/>
          </w:tcPr>
          <w:p>
            <w:pPr>
              <w:spacing w:after="0"/>
              <w:rPr>
                <w:sz w:val="17"/>
                <w:szCs w:val="17"/>
                <w:color w:val="auto"/>
              </w:rPr>
            </w:pP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9,158</w:t>
            </w:r>
          </w:p>
        </w:tc>
        <w:tc>
          <w:tcPr>
            <w:tcW w:w="20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(4,329)</w:t>
            </w:r>
          </w:p>
        </w:tc>
        <w:tc>
          <w:tcPr>
            <w:tcW w:w="20" w:type="dxa"/>
            <w:vAlign w:val="bottom"/>
          </w:tcPr>
          <w:p>
            <w:pPr>
              <w:spacing w:after="0"/>
              <w:rPr>
                <w:sz w:val="17"/>
                <w:szCs w:val="17"/>
                <w:color w:val="auto"/>
              </w:rPr>
            </w:pPr>
          </w:p>
        </w:tc>
      </w:tr>
      <w:tr>
        <w:trPr>
          <w:trHeight w:val="195"/>
        </w:trPr>
        <w:tc>
          <w:tcPr>
            <w:tcW w:w="5940" w:type="dxa"/>
            <w:vAlign w:val="bottom"/>
            <w:tcBorders>
              <w:bottom w:val="single" w:sz="8" w:color="0CD973"/>
            </w:tcBorders>
          </w:tcPr>
          <w:p>
            <w:pPr>
              <w:ind w:left="140"/>
              <w:spacing w:after="0"/>
              <w:rPr>
                <w:sz w:val="20"/>
                <w:szCs w:val="20"/>
                <w:color w:val="auto"/>
              </w:rPr>
            </w:pPr>
            <w:r>
              <w:rPr>
                <w:rFonts w:ascii="Arial" w:cs="Arial" w:eastAsia="Arial" w:hAnsi="Arial"/>
                <w:sz w:val="15"/>
                <w:szCs w:val="15"/>
                <w:b w:val="1"/>
                <w:bCs w:val="1"/>
                <w:color w:val="51555C"/>
              </w:rPr>
              <w:t>Comprehensive income</w:t>
            </w:r>
          </w:p>
        </w:tc>
        <w:tc>
          <w:tcPr>
            <w:tcW w:w="300" w:type="dxa"/>
            <w:vAlign w:val="bottom"/>
            <w:tcBorders>
              <w:bottom w:val="single" w:sz="8" w:color="0CD973"/>
            </w:tcBorders>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0CD973"/>
            </w:tcBorders>
          </w:tcPr>
          <w:p>
            <w:pPr>
              <w:jc w:val="right"/>
              <w:spacing w:after="0"/>
              <w:rPr>
                <w:sz w:val="20"/>
                <w:szCs w:val="20"/>
                <w:color w:val="auto"/>
              </w:rPr>
            </w:pPr>
            <w:r>
              <w:rPr>
                <w:rFonts w:ascii="Arial" w:cs="Arial" w:eastAsia="Arial" w:hAnsi="Arial"/>
                <w:sz w:val="15"/>
                <w:szCs w:val="15"/>
                <w:color w:val="51555C"/>
              </w:rPr>
              <w:t>50,203</w:t>
            </w:r>
          </w:p>
        </w:tc>
        <w:tc>
          <w:tcPr>
            <w:tcW w:w="200" w:type="dxa"/>
            <w:vAlign w:val="bottom"/>
            <w:tcBorders>
              <w:bottom w:val="single" w:sz="8" w:color="0CD973"/>
            </w:tcBorders>
          </w:tcPr>
          <w:p>
            <w:pPr>
              <w:jc w:val="right"/>
              <w:ind w:right="24"/>
              <w:spacing w:after="0"/>
              <w:rPr>
                <w:sz w:val="20"/>
                <w:szCs w:val="20"/>
                <w:color w:val="auto"/>
              </w:rPr>
            </w:pPr>
            <w:r>
              <w:rPr>
                <w:rFonts w:ascii="Arial" w:cs="Arial" w:eastAsia="Arial" w:hAnsi="Arial"/>
                <w:sz w:val="15"/>
                <w:szCs w:val="15"/>
                <w:color w:val="51555C"/>
                <w:w w:val="95"/>
              </w:rPr>
              <w:t>$</w:t>
            </w:r>
          </w:p>
        </w:tc>
        <w:tc>
          <w:tcPr>
            <w:tcW w:w="1120" w:type="dxa"/>
            <w:vAlign w:val="bottom"/>
            <w:tcBorders>
              <w:bottom w:val="single" w:sz="8" w:color="0CD973"/>
            </w:tcBorders>
          </w:tcPr>
          <w:p>
            <w:pPr>
              <w:jc w:val="right"/>
              <w:ind w:right="4"/>
              <w:spacing w:after="0"/>
              <w:rPr>
                <w:sz w:val="20"/>
                <w:szCs w:val="20"/>
                <w:color w:val="auto"/>
              </w:rPr>
            </w:pPr>
            <w:r>
              <w:rPr>
                <w:rFonts w:ascii="Arial" w:cs="Arial" w:eastAsia="Arial" w:hAnsi="Arial"/>
                <w:sz w:val="15"/>
                <w:szCs w:val="15"/>
                <w:color w:val="51555C"/>
              </w:rPr>
              <w:t>44,586</w:t>
            </w:r>
          </w:p>
        </w:tc>
        <w:tc>
          <w:tcPr>
            <w:tcW w:w="80" w:type="dxa"/>
            <w:vAlign w:val="bottom"/>
            <w:tcBorders>
              <w:bottom w:val="single" w:sz="8" w:color="0CD973"/>
            </w:tcBorders>
          </w:tcPr>
          <w:p>
            <w:pPr>
              <w:spacing w:after="0"/>
              <w:rPr>
                <w:sz w:val="16"/>
                <w:szCs w:val="16"/>
                <w:color w:val="auto"/>
              </w:rPr>
            </w:pPr>
          </w:p>
        </w:tc>
        <w:tc>
          <w:tcPr>
            <w:tcW w:w="300" w:type="dxa"/>
            <w:vAlign w:val="bottom"/>
            <w:tcBorders>
              <w:bottom w:val="single" w:sz="8" w:color="0CD973"/>
            </w:tcBorders>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0CD973"/>
            </w:tcBorders>
          </w:tcPr>
          <w:p>
            <w:pPr>
              <w:jc w:val="right"/>
              <w:spacing w:after="0"/>
              <w:rPr>
                <w:sz w:val="20"/>
                <w:szCs w:val="20"/>
                <w:color w:val="auto"/>
              </w:rPr>
            </w:pPr>
            <w:r>
              <w:rPr>
                <w:rFonts w:ascii="Arial" w:cs="Arial" w:eastAsia="Arial" w:hAnsi="Arial"/>
                <w:sz w:val="15"/>
                <w:szCs w:val="15"/>
                <w:color w:val="51555C"/>
              </w:rPr>
              <w:t>121,723</w:t>
            </w:r>
          </w:p>
        </w:tc>
        <w:tc>
          <w:tcPr>
            <w:tcW w:w="200" w:type="dxa"/>
            <w:vAlign w:val="bottom"/>
            <w:tcBorders>
              <w:bottom w:val="single" w:sz="8" w:color="0CD973"/>
            </w:tcBorders>
          </w:tcPr>
          <w:p>
            <w:pPr>
              <w:jc w:val="right"/>
              <w:ind w:right="2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0CD973"/>
            </w:tcBorders>
          </w:tcPr>
          <w:p>
            <w:pPr>
              <w:jc w:val="right"/>
              <w:spacing w:after="0"/>
              <w:rPr>
                <w:sz w:val="20"/>
                <w:szCs w:val="20"/>
                <w:color w:val="auto"/>
              </w:rPr>
            </w:pPr>
            <w:r>
              <w:rPr>
                <w:rFonts w:ascii="Arial" w:cs="Arial" w:eastAsia="Arial" w:hAnsi="Arial"/>
                <w:sz w:val="15"/>
                <w:szCs w:val="15"/>
                <w:color w:val="51555C"/>
              </w:rPr>
              <w:t>73,952</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-3660140</wp:posOffset>
            </wp:positionV>
            <wp:extent cx="33686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51555C"/>
        </w:rPr>
        <w:t>7</w:t>
      </w:r>
    </w:p>
    <w:p>
      <w:pPr>
        <w:sectPr>
          <w:pgSz w:w="11900" w:h="16838" w:orient="portrait"/>
          <w:cols w:equalWidth="0" w:num="1">
            <w:col w:w="11260"/>
          </w:cols>
          <w:pgMar w:left="320" w:top="121"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80" w:type="dxa"/>
            <w:vAlign w:val="bottom"/>
            <w:shd w:val="clear" w:color="auto" w:fill="004054"/>
          </w:tcPr>
          <w:p>
            <w:pPr>
              <w:spacing w:after="0"/>
              <w:rPr>
                <w:sz w:val="14"/>
                <w:szCs w:val="14"/>
                <w:color w:val="auto"/>
              </w:rPr>
            </w:pPr>
          </w:p>
        </w:tc>
        <w:tc>
          <w:tcPr>
            <w:tcW w:w="400" w:type="dxa"/>
            <w:vAlign w:val="bottom"/>
            <w:shd w:val="clear" w:color="auto" w:fill="004054"/>
          </w:tcPr>
          <w:p>
            <w:pPr>
              <w:spacing w:after="0"/>
              <w:rPr>
                <w:sz w:val="14"/>
                <w:szCs w:val="14"/>
                <w:color w:val="auto"/>
              </w:rPr>
            </w:pPr>
          </w:p>
        </w:tc>
        <w:tc>
          <w:tcPr>
            <w:tcW w:w="960" w:type="dxa"/>
            <w:vAlign w:val="bottom"/>
            <w:shd w:val="clear" w:color="auto" w:fill="004054"/>
          </w:tcPr>
          <w:p>
            <w:pPr>
              <w:spacing w:after="0"/>
              <w:rPr>
                <w:sz w:val="14"/>
                <w:szCs w:val="14"/>
                <w:color w:val="auto"/>
              </w:rPr>
            </w:pPr>
          </w:p>
        </w:tc>
        <w:tc>
          <w:tcPr>
            <w:tcW w:w="138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85"/>
        </w:trPr>
        <w:tc>
          <w:tcPr>
            <w:tcW w:w="848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6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30"/>
        </w:trPr>
        <w:tc>
          <w:tcPr>
            <w:tcW w:w="84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0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40" w:type="dxa"/>
            <w:vAlign w:val="bottom"/>
            <w:shd w:val="clear" w:color="auto" w:fill="004054"/>
          </w:tcPr>
          <w:p>
            <w:pPr>
              <w:spacing w:after="0"/>
              <w:rPr>
                <w:sz w:val="19"/>
                <w:szCs w:val="19"/>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03"/>
        </w:trPr>
        <w:tc>
          <w:tcPr>
            <w:tcW w:w="848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Cash flows from operating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spacing w:after="0"/>
              <w:rPr>
                <w:sz w:val="17"/>
                <w:szCs w:val="17"/>
                <w:color w:val="auto"/>
              </w:rPr>
            </w:pPr>
          </w:p>
        </w:tc>
      </w:tr>
      <w:tr>
        <w:trPr>
          <w:trHeight w:val="201"/>
        </w:trPr>
        <w:tc>
          <w:tcPr>
            <w:tcW w:w="8480" w:type="dxa"/>
            <w:vAlign w:val="bottom"/>
          </w:tcPr>
          <w:p>
            <w:pPr>
              <w:ind w:left="220"/>
              <w:spacing w:after="0"/>
              <w:rPr>
                <w:sz w:val="20"/>
                <w:szCs w:val="20"/>
                <w:color w:val="auto"/>
              </w:rPr>
            </w:pPr>
            <w:r>
              <w:rPr>
                <w:rFonts w:ascii="Arial" w:cs="Arial" w:eastAsia="Arial" w:hAnsi="Arial"/>
                <w:sz w:val="15"/>
                <w:szCs w:val="15"/>
                <w:color w:val="51555C"/>
              </w:rPr>
              <w:t>Net income</w:t>
            </w:r>
          </w:p>
        </w:tc>
        <w:tc>
          <w:tcPr>
            <w:tcW w:w="400" w:type="dxa"/>
            <w:vAlign w:val="bottom"/>
          </w:tcPr>
          <w:p>
            <w:pPr>
              <w:jc w:val="right"/>
              <w:ind w:right="224"/>
              <w:spacing w:after="0"/>
              <w:rPr>
                <w:sz w:val="20"/>
                <w:szCs w:val="20"/>
                <w:color w:val="auto"/>
              </w:rPr>
            </w:pPr>
            <w:r>
              <w:rPr>
                <w:rFonts w:ascii="Arial" w:cs="Arial" w:eastAsia="Arial" w:hAnsi="Arial"/>
                <w:sz w:val="15"/>
                <w:szCs w:val="15"/>
                <w:color w:val="51555C"/>
                <w:w w:val="95"/>
              </w:rPr>
              <w:t>$</w:t>
            </w:r>
          </w:p>
        </w:tc>
        <w:tc>
          <w:tcPr>
            <w:tcW w:w="960" w:type="dxa"/>
            <w:vAlign w:val="bottom"/>
          </w:tcPr>
          <w:p>
            <w:pPr>
              <w:jc w:val="right"/>
              <w:spacing w:after="0"/>
              <w:rPr>
                <w:sz w:val="20"/>
                <w:szCs w:val="20"/>
                <w:color w:val="auto"/>
              </w:rPr>
            </w:pPr>
            <w:r>
              <w:rPr>
                <w:rFonts w:ascii="Arial" w:cs="Arial" w:eastAsia="Arial" w:hAnsi="Arial"/>
                <w:sz w:val="15"/>
                <w:szCs w:val="15"/>
                <w:color w:val="51555C"/>
              </w:rPr>
              <w:t>112,565</w:t>
            </w:r>
          </w:p>
        </w:tc>
        <w:tc>
          <w:tcPr>
            <w:tcW w:w="240" w:type="dxa"/>
            <w:vAlign w:val="bottom"/>
          </w:tcPr>
          <w:p>
            <w:pPr>
              <w:jc w:val="right"/>
              <w:ind w:right="45"/>
              <w:spacing w:after="0"/>
              <w:rPr>
                <w:sz w:val="20"/>
                <w:szCs w:val="20"/>
                <w:color w:val="auto"/>
              </w:rPr>
            </w:pPr>
            <w:r>
              <w:rPr>
                <w:rFonts w:ascii="Arial" w:cs="Arial" w:eastAsia="Arial" w:hAnsi="Arial"/>
                <w:sz w:val="15"/>
                <w:szCs w:val="15"/>
                <w:color w:val="51555C"/>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51555C"/>
              </w:rPr>
              <w:t>78,281</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Adjustments to reconcile net income to net cash provided by operating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spacing w:after="0"/>
              <w:rPr>
                <w:sz w:val="17"/>
                <w:szCs w:val="17"/>
                <w:color w:val="auto"/>
              </w:rPr>
            </w:pPr>
          </w:p>
        </w:tc>
      </w:tr>
      <w:tr>
        <w:trPr>
          <w:trHeight w:val="201"/>
        </w:trPr>
        <w:tc>
          <w:tcPr>
            <w:tcW w:w="8480" w:type="dxa"/>
            <w:vAlign w:val="bottom"/>
          </w:tcPr>
          <w:p>
            <w:pPr>
              <w:ind w:left="560"/>
              <w:spacing w:after="0"/>
              <w:rPr>
                <w:sz w:val="20"/>
                <w:szCs w:val="20"/>
                <w:color w:val="auto"/>
              </w:rPr>
            </w:pPr>
            <w:r>
              <w:rPr>
                <w:rFonts w:ascii="Arial" w:cs="Arial" w:eastAsia="Arial" w:hAnsi="Arial"/>
                <w:sz w:val="15"/>
                <w:szCs w:val="15"/>
                <w:color w:val="51555C"/>
              </w:rPr>
              <w:t>Depreciation and amortization</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62,595</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51555C"/>
              </w:rPr>
              <w:t>64,652</w:t>
            </w:r>
          </w:p>
        </w:tc>
      </w:tr>
      <w:tr>
        <w:trPr>
          <w:trHeight w:val="204"/>
        </w:trPr>
        <w:tc>
          <w:tcPr>
            <w:tcW w:w="8480" w:type="dxa"/>
            <w:vAlign w:val="bottom"/>
            <w:shd w:val="clear" w:color="auto" w:fill="EBFBFF"/>
          </w:tcPr>
          <w:p>
            <w:pPr>
              <w:ind w:left="560"/>
              <w:spacing w:after="0"/>
              <w:rPr>
                <w:sz w:val="20"/>
                <w:szCs w:val="20"/>
                <w:color w:val="auto"/>
              </w:rPr>
            </w:pPr>
            <w:r>
              <w:rPr>
                <w:rFonts w:ascii="Arial" w:cs="Arial" w:eastAsia="Arial" w:hAnsi="Arial"/>
                <w:sz w:val="15"/>
                <w:szCs w:val="15"/>
                <w:color w:val="51555C"/>
              </w:rPr>
              <w:t>Net provision for credit losses and sales returns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5,064</w:t>
            </w: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rPr>
              <w:t>3,788</w:t>
            </w:r>
          </w:p>
        </w:tc>
      </w:tr>
      <w:tr>
        <w:trPr>
          <w:trHeight w:val="201"/>
        </w:trPr>
        <w:tc>
          <w:tcPr>
            <w:tcW w:w="8480" w:type="dxa"/>
            <w:vAlign w:val="bottom"/>
          </w:tcPr>
          <w:p>
            <w:pPr>
              <w:ind w:left="560"/>
              <w:spacing w:after="0"/>
              <w:rPr>
                <w:sz w:val="20"/>
                <w:szCs w:val="20"/>
                <w:color w:val="auto"/>
              </w:rPr>
            </w:pPr>
            <w:r>
              <w:rPr>
                <w:rFonts w:ascii="Arial" w:cs="Arial" w:eastAsia="Arial" w:hAnsi="Arial"/>
                <w:sz w:val="15"/>
                <w:szCs w:val="15"/>
                <w:color w:val="51555C"/>
              </w:rPr>
              <w:t>Stock-based compensation expense</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67,682</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51555C"/>
              </w:rPr>
              <w:t>71,079</w:t>
            </w:r>
          </w:p>
        </w:tc>
      </w:tr>
      <w:tr>
        <w:trPr>
          <w:trHeight w:val="204"/>
        </w:trPr>
        <w:tc>
          <w:tcPr>
            <w:tcW w:w="8480" w:type="dxa"/>
            <w:vAlign w:val="bottom"/>
            <w:shd w:val="clear" w:color="auto" w:fill="EBFBFF"/>
          </w:tcPr>
          <w:p>
            <w:pPr>
              <w:ind w:left="560"/>
              <w:spacing w:after="0"/>
              <w:rPr>
                <w:sz w:val="20"/>
                <w:szCs w:val="20"/>
                <w:color w:val="auto"/>
              </w:rPr>
            </w:pPr>
            <w:r>
              <w:rPr>
                <w:rFonts w:ascii="Arial" w:cs="Arial" w:eastAsia="Arial" w:hAnsi="Arial"/>
                <w:sz w:val="15"/>
                <w:szCs w:val="15"/>
                <w:color w:val="51555C"/>
              </w:rPr>
              <w:t>Deferred taxes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4,892</w:t>
            </w: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(16,682)</w:t>
            </w:r>
          </w:p>
        </w:tc>
      </w:tr>
      <w:tr>
        <w:trPr>
          <w:trHeight w:val="201"/>
        </w:trPr>
        <w:tc>
          <w:tcPr>
            <w:tcW w:w="8480" w:type="dxa"/>
            <w:vAlign w:val="bottom"/>
          </w:tcPr>
          <w:p>
            <w:pPr>
              <w:ind w:left="560"/>
              <w:spacing w:after="0"/>
              <w:rPr>
                <w:sz w:val="20"/>
                <w:szCs w:val="20"/>
                <w:color w:val="auto"/>
              </w:rPr>
            </w:pPr>
            <w:r>
              <w:rPr>
                <w:rFonts w:ascii="Arial" w:cs="Arial" w:eastAsia="Arial" w:hAnsi="Arial"/>
                <w:sz w:val="15"/>
                <w:szCs w:val="15"/>
                <w:color w:val="51555C"/>
              </w:rPr>
              <w:t>Amortization of deferred financing costs and discount</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1,861</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51555C"/>
              </w:rPr>
              <w:t>1,940</w:t>
            </w:r>
          </w:p>
        </w:tc>
      </w:tr>
      <w:tr>
        <w:trPr>
          <w:trHeight w:val="204"/>
        </w:trPr>
        <w:tc>
          <w:tcPr>
            <w:tcW w:w="8480" w:type="dxa"/>
            <w:vAlign w:val="bottom"/>
            <w:shd w:val="clear" w:color="auto" w:fill="EBFBFF"/>
          </w:tcPr>
          <w:p>
            <w:pPr>
              <w:ind w:left="560"/>
              <w:spacing w:after="0"/>
              <w:rPr>
                <w:sz w:val="20"/>
                <w:szCs w:val="20"/>
                <w:color w:val="auto"/>
              </w:rPr>
            </w:pPr>
            <w:r>
              <w:rPr>
                <w:rFonts w:ascii="Arial" w:cs="Arial" w:eastAsia="Arial" w:hAnsi="Arial"/>
                <w:sz w:val="15"/>
                <w:szCs w:val="15"/>
                <w:color w:val="51555C"/>
              </w:rPr>
              <w:t>Other non-cash adjustments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1,313</w:t>
            </w: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(5,180)</w:t>
            </w:r>
          </w:p>
        </w:tc>
      </w:tr>
      <w:tr>
        <w:trPr>
          <w:trHeight w:val="201"/>
        </w:trPr>
        <w:tc>
          <w:tcPr>
            <w:tcW w:w="8480" w:type="dxa"/>
            <w:vAlign w:val="bottom"/>
          </w:tcPr>
          <w:p>
            <w:pPr>
              <w:ind w:left="560"/>
              <w:spacing w:after="0"/>
              <w:rPr>
                <w:sz w:val="20"/>
                <w:szCs w:val="20"/>
                <w:color w:val="auto"/>
              </w:rPr>
            </w:pPr>
            <w:r>
              <w:rPr>
                <w:rFonts w:ascii="Arial" w:cs="Arial" w:eastAsia="Arial" w:hAnsi="Arial"/>
                <w:sz w:val="15"/>
                <w:szCs w:val="15"/>
                <w:color w:val="51555C"/>
              </w:rPr>
              <w:t>Changes in operating assets and liabilities, net of acquisition and disposal of businesses: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8480" w:type="dxa"/>
            <w:vAlign w:val="bottom"/>
            <w:shd w:val="clear" w:color="auto" w:fill="EBFBFF"/>
          </w:tcPr>
          <w:p>
            <w:pPr>
              <w:ind w:left="680"/>
              <w:spacing w:after="0"/>
              <w:rPr>
                <w:sz w:val="20"/>
                <w:szCs w:val="20"/>
                <w:color w:val="auto"/>
              </w:rPr>
            </w:pPr>
            <w:r>
              <w:rPr>
                <w:rFonts w:ascii="Arial" w:cs="Arial" w:eastAsia="Arial" w:hAnsi="Arial"/>
                <w:sz w:val="15"/>
                <w:szCs w:val="15"/>
                <w:color w:val="51555C"/>
              </w:rPr>
              <w:t>Accounts receivable</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(817)</w:t>
            </w: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(2,422)</w:t>
            </w:r>
          </w:p>
        </w:tc>
      </w:tr>
      <w:tr>
        <w:trPr>
          <w:trHeight w:val="201"/>
        </w:trPr>
        <w:tc>
          <w:tcPr>
            <w:tcW w:w="8480" w:type="dxa"/>
            <w:vAlign w:val="bottom"/>
          </w:tcPr>
          <w:p>
            <w:pPr>
              <w:ind w:left="680"/>
              <w:spacing w:after="0"/>
              <w:rPr>
                <w:sz w:val="20"/>
                <w:szCs w:val="20"/>
                <w:color w:val="auto"/>
              </w:rPr>
            </w:pPr>
            <w:r>
              <w:rPr>
                <w:rFonts w:ascii="Arial" w:cs="Arial" w:eastAsia="Arial" w:hAnsi="Arial"/>
                <w:sz w:val="15"/>
                <w:szCs w:val="15"/>
                <w:color w:val="51555C"/>
              </w:rPr>
              <w:t>Prepaid expenses and other assets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(8,832)</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51555C"/>
              </w:rPr>
              <w:t>(9,707)</w:t>
            </w:r>
          </w:p>
        </w:tc>
      </w:tr>
      <w:tr>
        <w:trPr>
          <w:trHeight w:val="204"/>
        </w:trPr>
        <w:tc>
          <w:tcPr>
            <w:tcW w:w="8480" w:type="dxa"/>
            <w:vAlign w:val="bottom"/>
            <w:shd w:val="clear" w:color="auto" w:fill="EBFBFF"/>
          </w:tcPr>
          <w:p>
            <w:pPr>
              <w:ind w:left="680"/>
              <w:spacing w:after="0"/>
              <w:rPr>
                <w:sz w:val="20"/>
                <w:szCs w:val="20"/>
                <w:color w:val="auto"/>
              </w:rPr>
            </w:pPr>
            <w:r>
              <w:rPr>
                <w:rFonts w:ascii="Arial" w:cs="Arial" w:eastAsia="Arial" w:hAnsi="Arial"/>
                <w:sz w:val="15"/>
                <w:szCs w:val="15"/>
                <w:color w:val="51555C"/>
              </w:rPr>
              <w:t>Trade accounts payable</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11,750</w:t>
            </w: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(3,233)</w:t>
            </w:r>
          </w:p>
        </w:tc>
      </w:tr>
      <w:tr>
        <w:trPr>
          <w:trHeight w:val="201"/>
        </w:trPr>
        <w:tc>
          <w:tcPr>
            <w:tcW w:w="8480" w:type="dxa"/>
            <w:vAlign w:val="bottom"/>
          </w:tcPr>
          <w:p>
            <w:pPr>
              <w:ind w:left="680"/>
              <w:spacing w:after="0"/>
              <w:rPr>
                <w:sz w:val="20"/>
                <w:szCs w:val="20"/>
                <w:color w:val="auto"/>
              </w:rPr>
            </w:pPr>
            <w:r>
              <w:rPr>
                <w:rFonts w:ascii="Arial" w:cs="Arial" w:eastAsia="Arial" w:hAnsi="Arial"/>
                <w:sz w:val="15"/>
                <w:szCs w:val="15"/>
                <w:color w:val="51555C"/>
              </w:rPr>
              <w:t>Accrued expenses and other liabilities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13,242</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51555C"/>
              </w:rPr>
              <w:t>2,033</w:t>
            </w:r>
          </w:p>
        </w:tc>
      </w:tr>
      <w:tr>
        <w:trPr>
          <w:trHeight w:val="204"/>
        </w:trPr>
        <w:tc>
          <w:tcPr>
            <w:tcW w:w="8480" w:type="dxa"/>
            <w:vAlign w:val="bottom"/>
            <w:shd w:val="clear" w:color="auto" w:fill="EBFBFF"/>
          </w:tcPr>
          <w:p>
            <w:pPr>
              <w:ind w:left="680"/>
              <w:spacing w:after="0"/>
              <w:rPr>
                <w:sz w:val="20"/>
                <w:szCs w:val="20"/>
                <w:color w:val="auto"/>
              </w:rPr>
            </w:pPr>
            <w:r>
              <w:rPr>
                <w:rFonts w:ascii="Arial" w:cs="Arial" w:eastAsia="Arial" w:hAnsi="Arial"/>
                <w:sz w:val="15"/>
                <w:szCs w:val="15"/>
                <w:color w:val="51555C"/>
              </w:rPr>
              <w:t>Deferred revenue</w:t>
            </w:r>
          </w:p>
        </w:tc>
        <w:tc>
          <w:tcPr>
            <w:tcW w:w="400" w:type="dxa"/>
            <w:vAlign w:val="bottom"/>
            <w:tcBorders>
              <w:bottom w:val="single" w:sz="8" w:color="51555C"/>
            </w:tcBorders>
            <w:shd w:val="clear" w:color="auto" w:fill="EBFBFF"/>
          </w:tcPr>
          <w:p>
            <w:pPr>
              <w:spacing w:after="0"/>
              <w:rPr>
                <w:sz w:val="17"/>
                <w:szCs w:val="17"/>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12,929</w:t>
            </w:r>
          </w:p>
        </w:tc>
        <w:tc>
          <w:tcPr>
            <w:tcW w:w="240" w:type="dxa"/>
            <w:vAlign w:val="bottom"/>
            <w:tcBorders>
              <w:bottom w:val="single" w:sz="8" w:color="51555C"/>
            </w:tcBorders>
            <w:shd w:val="clear" w:color="auto" w:fill="EBFBFF"/>
          </w:tcPr>
          <w:p>
            <w:pPr>
              <w:spacing w:after="0"/>
              <w:rPr>
                <w:sz w:val="17"/>
                <w:szCs w:val="17"/>
                <w:color w:val="auto"/>
              </w:rPr>
            </w:pPr>
          </w:p>
        </w:tc>
        <w:tc>
          <w:tcPr>
            <w:tcW w:w="114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rPr>
              <w:t>22,991</w:t>
            </w:r>
          </w:p>
        </w:tc>
      </w:tr>
      <w:tr>
        <w:trPr>
          <w:trHeight w:val="195"/>
        </w:trPr>
        <w:tc>
          <w:tcPr>
            <w:tcW w:w="8480" w:type="dxa"/>
            <w:vAlign w:val="bottom"/>
          </w:tcPr>
          <w:p>
            <w:pPr>
              <w:ind w:left="880"/>
              <w:spacing w:after="0"/>
              <w:rPr>
                <w:sz w:val="20"/>
                <w:szCs w:val="20"/>
                <w:color w:val="auto"/>
              </w:rPr>
            </w:pPr>
            <w:r>
              <w:rPr>
                <w:rFonts w:ascii="Arial" w:cs="Arial" w:eastAsia="Arial" w:hAnsi="Arial"/>
                <w:sz w:val="15"/>
                <w:szCs w:val="15"/>
                <w:b w:val="1"/>
                <w:bCs w:val="1"/>
                <w:color w:val="51555C"/>
              </w:rPr>
              <w:t>Net cash provided by operating activities</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284,244</w:t>
            </w:r>
          </w:p>
        </w:tc>
        <w:tc>
          <w:tcPr>
            <w:tcW w:w="24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51555C"/>
              </w:rPr>
              <w:t>207,540</w:t>
            </w:r>
          </w:p>
        </w:tc>
      </w:tr>
      <w:tr>
        <w:trPr>
          <w:trHeight w:val="204"/>
        </w:trPr>
        <w:tc>
          <w:tcPr>
            <w:tcW w:w="848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Cash flows from investing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spacing w:after="0"/>
              <w:rPr>
                <w:sz w:val="17"/>
                <w:szCs w:val="17"/>
                <w:color w:val="auto"/>
              </w:rPr>
            </w:pPr>
          </w:p>
        </w:tc>
      </w:tr>
      <w:tr>
        <w:trPr>
          <w:trHeight w:val="201"/>
        </w:trPr>
        <w:tc>
          <w:tcPr>
            <w:tcW w:w="8480" w:type="dxa"/>
            <w:vAlign w:val="bottom"/>
          </w:tcPr>
          <w:p>
            <w:pPr>
              <w:ind w:left="360"/>
              <w:spacing w:after="0"/>
              <w:rPr>
                <w:sz w:val="20"/>
                <w:szCs w:val="20"/>
                <w:color w:val="auto"/>
              </w:rPr>
            </w:pPr>
            <w:r>
              <w:rPr>
                <w:rFonts w:ascii="Arial" w:cs="Arial" w:eastAsia="Arial" w:hAnsi="Arial"/>
                <w:sz w:val="15"/>
                <w:szCs w:val="15"/>
                <w:color w:val="51555C"/>
              </w:rPr>
              <w:t>Purchase of property and equipment</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(7,320)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51555C"/>
              </w:rPr>
              <w:t>(4,805)</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Capitalized software development costs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(38,635)</w:t>
            </w: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(40,268)</w:t>
            </w:r>
          </w:p>
        </w:tc>
      </w:tr>
      <w:tr>
        <w:trPr>
          <w:trHeight w:val="201"/>
        </w:trPr>
        <w:tc>
          <w:tcPr>
            <w:tcW w:w="8480" w:type="dxa"/>
            <w:vAlign w:val="bottom"/>
          </w:tcPr>
          <w:p>
            <w:pPr>
              <w:ind w:left="360"/>
              <w:spacing w:after="0"/>
              <w:rPr>
                <w:sz w:val="20"/>
                <w:szCs w:val="20"/>
                <w:color w:val="auto"/>
              </w:rPr>
            </w:pPr>
            <w:r>
              <w:rPr>
                <w:rFonts w:ascii="Arial" w:cs="Arial" w:eastAsia="Arial" w:hAnsi="Arial"/>
                <w:sz w:val="15"/>
                <w:szCs w:val="15"/>
                <w:color w:val="51555C"/>
              </w:rPr>
              <w:t>Cash used in disposition of business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51555C"/>
              </w:rPr>
              <w:t>(12,235)</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Other investing activities</w:t>
            </w:r>
          </w:p>
        </w:tc>
        <w:tc>
          <w:tcPr>
            <w:tcW w:w="400" w:type="dxa"/>
            <w:vAlign w:val="bottom"/>
            <w:tcBorders>
              <w:bottom w:val="single" w:sz="8" w:color="51555C"/>
            </w:tcBorders>
            <w:shd w:val="clear" w:color="auto" w:fill="EBFBFF"/>
          </w:tcPr>
          <w:p>
            <w:pPr>
              <w:spacing w:after="0"/>
              <w:rPr>
                <w:sz w:val="17"/>
                <w:szCs w:val="17"/>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(8,675)</w:t>
            </w:r>
          </w:p>
        </w:tc>
        <w:tc>
          <w:tcPr>
            <w:tcW w:w="240" w:type="dxa"/>
            <w:vAlign w:val="bottom"/>
            <w:tcBorders>
              <w:bottom w:val="single" w:sz="8" w:color="51555C"/>
            </w:tcBorders>
            <w:shd w:val="clear" w:color="auto" w:fill="EBFBFF"/>
          </w:tcPr>
          <w:p>
            <w:pPr>
              <w:spacing w:after="0"/>
              <w:rPr>
                <w:sz w:val="17"/>
                <w:szCs w:val="17"/>
                <w:color w:val="auto"/>
              </w:rPr>
            </w:pPr>
          </w:p>
        </w:tc>
        <w:tc>
          <w:tcPr>
            <w:tcW w:w="114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rPr>
              <w:t>—</w:t>
            </w:r>
          </w:p>
        </w:tc>
      </w:tr>
      <w:tr>
        <w:trPr>
          <w:trHeight w:val="195"/>
        </w:trPr>
        <w:tc>
          <w:tcPr>
            <w:tcW w:w="8480" w:type="dxa"/>
            <w:vAlign w:val="bottom"/>
          </w:tcPr>
          <w:p>
            <w:pPr>
              <w:ind w:left="880"/>
              <w:spacing w:after="0"/>
              <w:rPr>
                <w:sz w:val="20"/>
                <w:szCs w:val="20"/>
                <w:color w:val="auto"/>
              </w:rPr>
            </w:pPr>
            <w:r>
              <w:rPr>
                <w:rFonts w:ascii="Arial" w:cs="Arial" w:eastAsia="Arial" w:hAnsi="Arial"/>
                <w:sz w:val="15"/>
                <w:szCs w:val="15"/>
                <w:b w:val="1"/>
                <w:bCs w:val="1"/>
                <w:color w:val="51555C"/>
              </w:rPr>
              <w:t>Net cash used in investing activities</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(54,630)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51555C"/>
              </w:rPr>
              <w:t>(57,308)</w:t>
            </w:r>
          </w:p>
        </w:tc>
      </w:tr>
      <w:tr>
        <w:trPr>
          <w:trHeight w:val="204"/>
        </w:trPr>
        <w:tc>
          <w:tcPr>
            <w:tcW w:w="848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Cash flows from financing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spacing w:after="0"/>
              <w:rPr>
                <w:sz w:val="17"/>
                <w:szCs w:val="17"/>
                <w:color w:val="auto"/>
              </w:rPr>
            </w:pPr>
          </w:p>
        </w:tc>
      </w:tr>
      <w:tr>
        <w:trPr>
          <w:trHeight w:val="201"/>
        </w:trPr>
        <w:tc>
          <w:tcPr>
            <w:tcW w:w="8480" w:type="dxa"/>
            <w:vAlign w:val="bottom"/>
          </w:tcPr>
          <w:p>
            <w:pPr>
              <w:ind w:left="360"/>
              <w:spacing w:after="0"/>
              <w:rPr>
                <w:sz w:val="20"/>
                <w:szCs w:val="20"/>
                <w:color w:val="auto"/>
              </w:rPr>
            </w:pPr>
            <w:r>
              <w:rPr>
                <w:rFonts w:ascii="Arial" w:cs="Arial" w:eastAsia="Arial" w:hAnsi="Arial"/>
                <w:sz w:val="15"/>
                <w:szCs w:val="15"/>
                <w:color w:val="51555C"/>
              </w:rPr>
              <w:t>Proceeds from issuance of debt</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230,700</w:t>
            </w:r>
          </w:p>
        </w:tc>
        <w:tc>
          <w:tcPr>
            <w:tcW w:w="2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51555C"/>
              </w:rPr>
              <w:t>307,000</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Payments on debt</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(307,760)</w:t>
            </w: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(316,922)</w:t>
            </w:r>
          </w:p>
        </w:tc>
      </w:tr>
      <w:tr>
        <w:trPr>
          <w:trHeight w:val="201"/>
        </w:trPr>
        <w:tc>
          <w:tcPr>
            <w:tcW w:w="8480" w:type="dxa"/>
            <w:vAlign w:val="bottom"/>
          </w:tcPr>
          <w:p>
            <w:pPr>
              <w:ind w:left="360"/>
              <w:spacing w:after="0"/>
              <w:rPr>
                <w:sz w:val="20"/>
                <w:szCs w:val="20"/>
                <w:color w:val="auto"/>
              </w:rPr>
            </w:pPr>
            <w:r>
              <w:rPr>
                <w:rFonts w:ascii="Arial" w:cs="Arial" w:eastAsia="Arial" w:hAnsi="Arial"/>
                <w:sz w:val="15"/>
                <w:szCs w:val="15"/>
                <w:color w:val="51555C"/>
              </w:rPr>
              <w:t>Employee taxes paid for withheld shares upon equity award settlement</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(25,696)</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51555C"/>
              </w:rPr>
              <w:t>(39,669)</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Change in due to customers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(288,369)</w:t>
            </w:r>
          </w:p>
        </w:tc>
        <w:tc>
          <w:tcPr>
            <w:tcW w:w="240" w:type="dxa"/>
            <w:vAlign w:val="bottom"/>
            <w:shd w:val="clear" w:color="auto" w:fill="EBFBFF"/>
          </w:tcPr>
          <w:p>
            <w:pPr>
              <w:spacing w:after="0"/>
              <w:rPr>
                <w:sz w:val="17"/>
                <w:szCs w:val="17"/>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(323,467)</w:t>
            </w:r>
          </w:p>
        </w:tc>
      </w:tr>
      <w:tr>
        <w:trPr>
          <w:trHeight w:val="201"/>
        </w:trPr>
        <w:tc>
          <w:tcPr>
            <w:tcW w:w="8480" w:type="dxa"/>
            <w:vAlign w:val="bottom"/>
          </w:tcPr>
          <w:p>
            <w:pPr>
              <w:ind w:left="360"/>
              <w:spacing w:after="0"/>
              <w:rPr>
                <w:sz w:val="20"/>
                <w:szCs w:val="20"/>
                <w:color w:val="auto"/>
              </w:rPr>
            </w:pPr>
            <w:r>
              <w:rPr>
                <w:rFonts w:ascii="Arial" w:cs="Arial" w:eastAsia="Arial" w:hAnsi="Arial"/>
                <w:sz w:val="15"/>
                <w:szCs w:val="15"/>
                <w:color w:val="51555C"/>
              </w:rPr>
              <w:t>Change in customer funds receivable</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(2,692)</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51555C"/>
              </w:rPr>
              <w:t>(1,676)</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Purchase of treasury stock, including excise tax payments</w:t>
            </w:r>
          </w:p>
        </w:tc>
        <w:tc>
          <w:tcPr>
            <w:tcW w:w="400" w:type="dxa"/>
            <w:vAlign w:val="bottom"/>
            <w:tcBorders>
              <w:bottom w:val="single" w:sz="8" w:color="51555C"/>
            </w:tcBorders>
            <w:shd w:val="clear" w:color="auto" w:fill="EBFBFF"/>
          </w:tcPr>
          <w:p>
            <w:pPr>
              <w:spacing w:after="0"/>
              <w:rPr>
                <w:sz w:val="17"/>
                <w:szCs w:val="17"/>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(129,933)</w:t>
            </w:r>
          </w:p>
        </w:tc>
        <w:tc>
          <w:tcPr>
            <w:tcW w:w="240" w:type="dxa"/>
            <w:vAlign w:val="bottom"/>
            <w:tcBorders>
              <w:bottom w:val="single" w:sz="8" w:color="51555C"/>
            </w:tcBorders>
            <w:shd w:val="clear" w:color="auto" w:fill="EBFBFF"/>
          </w:tcPr>
          <w:p>
            <w:pPr>
              <w:spacing w:after="0"/>
              <w:rPr>
                <w:sz w:val="17"/>
                <w:szCs w:val="17"/>
                <w:color w:val="auto"/>
              </w:rPr>
            </w:pPr>
          </w:p>
        </w:tc>
        <w:tc>
          <w:tcPr>
            <w:tcW w:w="11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(133,338)</w:t>
            </w:r>
          </w:p>
        </w:tc>
      </w:tr>
      <w:tr>
        <w:trPr>
          <w:trHeight w:val="195"/>
        </w:trPr>
        <w:tc>
          <w:tcPr>
            <w:tcW w:w="8480" w:type="dxa"/>
            <w:vAlign w:val="bottom"/>
          </w:tcPr>
          <w:p>
            <w:pPr>
              <w:ind w:left="880"/>
              <w:spacing w:after="0"/>
              <w:rPr>
                <w:sz w:val="20"/>
                <w:szCs w:val="20"/>
                <w:color w:val="auto"/>
              </w:rPr>
            </w:pPr>
            <w:r>
              <w:rPr>
                <w:rFonts w:ascii="Arial" w:cs="Arial" w:eastAsia="Arial" w:hAnsi="Arial"/>
                <w:sz w:val="15"/>
                <w:szCs w:val="15"/>
                <w:b w:val="1"/>
                <w:bCs w:val="1"/>
                <w:color w:val="51555C"/>
              </w:rPr>
              <w:t>Net cash used in financing activities</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(523,750)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51555C"/>
              </w:rPr>
              <w:t>(508,072)</w:t>
            </w:r>
          </w:p>
        </w:tc>
      </w:tr>
      <w:tr>
        <w:trPr>
          <w:trHeight w:val="204"/>
        </w:trPr>
        <w:tc>
          <w:tcPr>
            <w:tcW w:w="8480" w:type="dxa"/>
            <w:vAlign w:val="bottom"/>
            <w:shd w:val="clear" w:color="auto" w:fill="EBFBFF"/>
          </w:tcPr>
          <w:p>
            <w:pPr>
              <w:ind w:left="20"/>
              <w:spacing w:after="0"/>
              <w:rPr>
                <w:sz w:val="20"/>
                <w:szCs w:val="20"/>
                <w:color w:val="auto"/>
              </w:rPr>
            </w:pPr>
            <w:r>
              <w:rPr>
                <w:rFonts w:ascii="Arial" w:cs="Arial" w:eastAsia="Arial" w:hAnsi="Arial"/>
                <w:sz w:val="15"/>
                <w:szCs w:val="15"/>
                <w:color w:val="51555C"/>
              </w:rPr>
              <w:t>Effect of exchange rate on cash, cash equivalents and restricted cash</w:t>
            </w:r>
          </w:p>
        </w:tc>
        <w:tc>
          <w:tcPr>
            <w:tcW w:w="400" w:type="dxa"/>
            <w:vAlign w:val="bottom"/>
            <w:tcBorders>
              <w:bottom w:val="single" w:sz="8" w:color="51555C"/>
            </w:tcBorders>
            <w:shd w:val="clear" w:color="auto" w:fill="EBFBFF"/>
          </w:tcPr>
          <w:p>
            <w:pPr>
              <w:spacing w:after="0"/>
              <w:rPr>
                <w:sz w:val="17"/>
                <w:szCs w:val="17"/>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(939)</w:t>
            </w:r>
          </w:p>
        </w:tc>
        <w:tc>
          <w:tcPr>
            <w:tcW w:w="240" w:type="dxa"/>
            <w:vAlign w:val="bottom"/>
            <w:tcBorders>
              <w:bottom w:val="single" w:sz="8" w:color="51555C"/>
            </w:tcBorders>
            <w:shd w:val="clear" w:color="auto" w:fill="EBFBFF"/>
          </w:tcPr>
          <w:p>
            <w:pPr>
              <w:spacing w:after="0"/>
              <w:rPr>
                <w:sz w:val="17"/>
                <w:szCs w:val="17"/>
                <w:color w:val="auto"/>
              </w:rPr>
            </w:pPr>
          </w:p>
        </w:tc>
        <w:tc>
          <w:tcPr>
            <w:tcW w:w="114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rPr>
              <w:t>5,768</w:t>
            </w:r>
          </w:p>
        </w:tc>
      </w:tr>
      <w:tr>
        <w:trPr>
          <w:trHeight w:val="195"/>
        </w:trPr>
        <w:tc>
          <w:tcPr>
            <w:tcW w:w="8480" w:type="dxa"/>
            <w:vAlign w:val="bottom"/>
          </w:tcPr>
          <w:p>
            <w:pPr>
              <w:ind w:left="20"/>
              <w:spacing w:after="0"/>
              <w:rPr>
                <w:sz w:val="20"/>
                <w:szCs w:val="20"/>
                <w:color w:val="auto"/>
              </w:rPr>
            </w:pPr>
            <w:r>
              <w:rPr>
                <w:rFonts w:ascii="Arial" w:cs="Arial" w:eastAsia="Arial" w:hAnsi="Arial"/>
                <w:sz w:val="15"/>
                <w:szCs w:val="15"/>
                <w:b w:val="1"/>
                <w:bCs w:val="1"/>
                <w:color w:val="51555C"/>
              </w:rPr>
              <w:t>Net decrease in cash, cash equivalents and restricted cash</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(295,075)</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51555C"/>
              </w:rPr>
              <w:t>(352,072)</w:t>
            </w:r>
          </w:p>
        </w:tc>
      </w:tr>
      <w:tr>
        <w:trPr>
          <w:trHeight w:val="204"/>
        </w:trPr>
        <w:tc>
          <w:tcPr>
            <w:tcW w:w="848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Cash, cash equivalents and restricted cash, beginning of period</w:t>
            </w:r>
          </w:p>
        </w:tc>
        <w:tc>
          <w:tcPr>
            <w:tcW w:w="400" w:type="dxa"/>
            <w:vAlign w:val="bottom"/>
            <w:tcBorders>
              <w:bottom w:val="single" w:sz="8" w:color="51555C"/>
            </w:tcBorders>
            <w:shd w:val="clear" w:color="auto" w:fill="EBFBFF"/>
          </w:tcPr>
          <w:p>
            <w:pPr>
              <w:spacing w:after="0"/>
              <w:rPr>
                <w:sz w:val="17"/>
                <w:szCs w:val="17"/>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758,975</w:t>
            </w:r>
          </w:p>
        </w:tc>
        <w:tc>
          <w:tcPr>
            <w:tcW w:w="240" w:type="dxa"/>
            <w:vAlign w:val="bottom"/>
            <w:tcBorders>
              <w:bottom w:val="single" w:sz="8" w:color="51555C"/>
            </w:tcBorders>
            <w:shd w:val="clear" w:color="auto" w:fill="EBFBFF"/>
          </w:tcPr>
          <w:p>
            <w:pPr>
              <w:spacing w:after="0"/>
              <w:rPr>
                <w:sz w:val="17"/>
                <w:szCs w:val="17"/>
                <w:color w:val="auto"/>
              </w:rPr>
            </w:pPr>
          </w:p>
        </w:tc>
        <w:tc>
          <w:tcPr>
            <w:tcW w:w="114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rPr>
              <w:t>809,512</w:t>
            </w:r>
          </w:p>
        </w:tc>
      </w:tr>
      <w:tr>
        <w:trPr>
          <w:trHeight w:val="195"/>
        </w:trPr>
        <w:tc>
          <w:tcPr>
            <w:tcW w:w="8480" w:type="dxa"/>
            <w:vAlign w:val="bottom"/>
            <w:tcBorders>
              <w:bottom w:val="single" w:sz="8" w:color="0CD973"/>
            </w:tcBorders>
          </w:tcPr>
          <w:p>
            <w:pPr>
              <w:ind w:left="20"/>
              <w:spacing w:after="0"/>
              <w:rPr>
                <w:sz w:val="20"/>
                <w:szCs w:val="20"/>
                <w:color w:val="auto"/>
              </w:rPr>
            </w:pPr>
            <w:r>
              <w:rPr>
                <w:rFonts w:ascii="Arial" w:cs="Arial" w:eastAsia="Arial" w:hAnsi="Arial"/>
                <w:sz w:val="15"/>
                <w:szCs w:val="15"/>
                <w:b w:val="1"/>
                <w:bCs w:val="1"/>
                <w:color w:val="51555C"/>
              </w:rPr>
              <w:t>Cash, cash equivalents and restricted cash, end of period</w:t>
            </w:r>
          </w:p>
        </w:tc>
        <w:tc>
          <w:tcPr>
            <w:tcW w:w="400" w:type="dxa"/>
            <w:vAlign w:val="bottom"/>
            <w:tcBorders>
              <w:bottom w:val="single" w:sz="8" w:color="0CD973"/>
            </w:tcBorders>
          </w:tcPr>
          <w:p>
            <w:pPr>
              <w:jc w:val="right"/>
              <w:ind w:right="224"/>
              <w:spacing w:after="0"/>
              <w:rPr>
                <w:sz w:val="20"/>
                <w:szCs w:val="20"/>
                <w:color w:val="auto"/>
              </w:rPr>
            </w:pPr>
            <w:r>
              <w:rPr>
                <w:rFonts w:ascii="Arial" w:cs="Arial" w:eastAsia="Arial" w:hAnsi="Arial"/>
                <w:sz w:val="15"/>
                <w:szCs w:val="15"/>
                <w:color w:val="51555C"/>
                <w:w w:val="95"/>
              </w:rPr>
              <w:t>$</w:t>
            </w:r>
          </w:p>
        </w:tc>
        <w:tc>
          <w:tcPr>
            <w:tcW w:w="960" w:type="dxa"/>
            <w:vAlign w:val="bottom"/>
            <w:tcBorders>
              <w:bottom w:val="single" w:sz="8" w:color="0CD973"/>
            </w:tcBorders>
          </w:tcPr>
          <w:p>
            <w:pPr>
              <w:jc w:val="right"/>
              <w:spacing w:after="0"/>
              <w:rPr>
                <w:sz w:val="20"/>
                <w:szCs w:val="20"/>
                <w:color w:val="auto"/>
              </w:rPr>
            </w:pPr>
            <w:r>
              <w:rPr>
                <w:rFonts w:ascii="Arial" w:cs="Arial" w:eastAsia="Arial" w:hAnsi="Arial"/>
                <w:sz w:val="15"/>
                <w:szCs w:val="15"/>
                <w:color w:val="51555C"/>
              </w:rPr>
              <w:t>463,900</w:t>
            </w:r>
          </w:p>
        </w:tc>
        <w:tc>
          <w:tcPr>
            <w:tcW w:w="240" w:type="dxa"/>
            <w:vAlign w:val="bottom"/>
            <w:tcBorders>
              <w:bottom w:val="single" w:sz="8" w:color="0CD973"/>
            </w:tcBorders>
          </w:tcPr>
          <w:p>
            <w:pPr>
              <w:jc w:val="right"/>
              <w:ind w:right="45"/>
              <w:spacing w:after="0"/>
              <w:rPr>
                <w:sz w:val="20"/>
                <w:szCs w:val="20"/>
                <w:color w:val="auto"/>
              </w:rPr>
            </w:pPr>
            <w:r>
              <w:rPr>
                <w:rFonts w:ascii="Arial" w:cs="Arial" w:eastAsia="Arial" w:hAnsi="Arial"/>
                <w:sz w:val="15"/>
                <w:szCs w:val="15"/>
                <w:color w:val="51555C"/>
              </w:rPr>
              <w:t>$</w:t>
            </w:r>
          </w:p>
        </w:tc>
        <w:tc>
          <w:tcPr>
            <w:tcW w:w="1140" w:type="dxa"/>
            <w:vAlign w:val="bottom"/>
            <w:tcBorders>
              <w:bottom w:val="single" w:sz="8" w:color="0CD973"/>
            </w:tcBorders>
          </w:tcPr>
          <w:p>
            <w:pPr>
              <w:jc w:val="right"/>
              <w:ind w:right="4"/>
              <w:spacing w:after="0"/>
              <w:rPr>
                <w:sz w:val="20"/>
                <w:szCs w:val="20"/>
                <w:color w:val="auto"/>
              </w:rPr>
            </w:pPr>
            <w:r>
              <w:rPr>
                <w:rFonts w:ascii="Arial" w:cs="Arial" w:eastAsia="Arial" w:hAnsi="Arial"/>
                <w:sz w:val="15"/>
                <w:szCs w:val="15"/>
                <w:color w:val="51555C"/>
              </w:rPr>
              <w:t>457,440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-4568190</wp:posOffset>
            </wp:positionV>
            <wp:extent cx="1739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following table provides a reconciliation of cash and cash equivalents and restricted cash reported within the consolidated balance sheets that sum to the total of the same such amounts shown above in the consolidated statements of cash flows: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44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6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03"/>
        </w:trPr>
        <w:tc>
          <w:tcPr>
            <w:tcW w:w="8440" w:type="dxa"/>
            <w:vAlign w:val="bottom"/>
            <w:vMerge w:val="continue"/>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60" w:type="dxa"/>
            <w:vAlign w:val="bottom"/>
            <w:shd w:val="clear" w:color="auto" w:fill="004054"/>
          </w:tcPr>
          <w:p>
            <w:pPr>
              <w:spacing w:after="0"/>
              <w:rPr>
                <w:sz w:val="17"/>
                <w:szCs w:val="17"/>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0" w:type="dxa"/>
            <w:vAlign w:val="bottom"/>
          </w:tcPr>
          <w:p>
            <w:pPr>
              <w:spacing w:after="0"/>
              <w:rPr>
                <w:sz w:val="1"/>
                <w:szCs w:val="1"/>
                <w:color w:val="auto"/>
              </w:rPr>
            </w:pPr>
          </w:p>
        </w:tc>
      </w:tr>
      <w:tr>
        <w:trPr>
          <w:trHeight w:val="203"/>
        </w:trPr>
        <w:tc>
          <w:tcPr>
            <w:tcW w:w="8440" w:type="dxa"/>
            <w:vAlign w:val="bottom"/>
            <w:shd w:val="clear" w:color="auto" w:fill="EBFBFF"/>
          </w:tcPr>
          <w:p>
            <w:pPr>
              <w:ind w:left="20"/>
              <w:spacing w:after="0"/>
              <w:rPr>
                <w:sz w:val="20"/>
                <w:szCs w:val="20"/>
                <w:color w:val="auto"/>
              </w:rPr>
            </w:pPr>
            <w:r>
              <w:rPr>
                <w:rFonts w:ascii="Arial" w:cs="Arial" w:eastAsia="Arial" w:hAnsi="Arial"/>
                <w:sz w:val="15"/>
                <w:szCs w:val="15"/>
                <w:color w:val="51555C"/>
              </w:rPr>
              <w:t>Cash and cash equivalents</w:t>
            </w:r>
          </w:p>
        </w:tc>
        <w:tc>
          <w:tcPr>
            <w:tcW w:w="240" w:type="dxa"/>
            <w:vAlign w:val="bottom"/>
            <w:shd w:val="clear" w:color="auto" w:fill="EBFBFF"/>
          </w:tcPr>
          <w:p>
            <w:pPr>
              <w:jc w:val="right"/>
              <w:ind w:right="64"/>
              <w:spacing w:after="0"/>
              <w:rPr>
                <w:sz w:val="20"/>
                <w:szCs w:val="20"/>
                <w:color w:val="auto"/>
              </w:rPr>
            </w:pPr>
            <w:r>
              <w:rPr>
                <w:rFonts w:ascii="Arial" w:cs="Arial" w:eastAsia="Arial" w:hAnsi="Arial"/>
                <w:sz w:val="15"/>
                <w:szCs w:val="15"/>
                <w:color w:val="51555C"/>
                <w:w w:val="95"/>
              </w:rPr>
              <w:t>$</w:t>
            </w:r>
          </w:p>
        </w:tc>
        <w:tc>
          <w:tcPr>
            <w:tcW w:w="11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35,734</w:t>
            </w:r>
          </w:p>
        </w:tc>
        <w:tc>
          <w:tcPr>
            <w:tcW w:w="260" w:type="dxa"/>
            <w:vAlign w:val="bottom"/>
            <w:shd w:val="clear" w:color="auto" w:fill="EBFBFF"/>
          </w:tcPr>
          <w:p>
            <w:pPr>
              <w:jc w:val="right"/>
              <w:ind w:right="84"/>
              <w:spacing w:after="0"/>
              <w:rPr>
                <w:sz w:val="20"/>
                <w:szCs w:val="20"/>
                <w:color w:val="auto"/>
              </w:rPr>
            </w:pPr>
            <w:r>
              <w:rPr>
                <w:rFonts w:ascii="Arial" w:cs="Arial" w:eastAsia="Arial" w:hAnsi="Arial"/>
                <w:sz w:val="15"/>
                <w:szCs w:val="15"/>
                <w:color w:val="51555C"/>
                <w:w w:val="95"/>
              </w:rPr>
              <w:t>$</w:t>
            </w:r>
          </w:p>
        </w:tc>
        <w:tc>
          <w:tcPr>
            <w:tcW w:w="1120" w:type="dxa"/>
            <w:vAlign w:val="bottom"/>
            <w:shd w:val="clear" w:color="auto" w:fill="EBFBFF"/>
          </w:tcPr>
          <w:p>
            <w:pPr>
              <w:jc w:val="right"/>
              <w:ind w:right="5"/>
              <w:spacing w:after="0"/>
              <w:rPr>
                <w:sz w:val="20"/>
                <w:szCs w:val="20"/>
                <w:color w:val="auto"/>
              </w:rPr>
            </w:pPr>
            <w:r>
              <w:rPr>
                <w:rFonts w:ascii="Arial" w:cs="Arial" w:eastAsia="Arial" w:hAnsi="Arial"/>
                <w:sz w:val="15"/>
                <w:szCs w:val="15"/>
                <w:color w:val="51555C"/>
              </w:rPr>
              <w:t>38,914</w:t>
            </w:r>
          </w:p>
        </w:tc>
        <w:tc>
          <w:tcPr>
            <w:tcW w:w="0" w:type="dxa"/>
            <w:vAlign w:val="bottom"/>
          </w:tcPr>
          <w:p>
            <w:pPr>
              <w:spacing w:after="0"/>
              <w:rPr>
                <w:sz w:val="1"/>
                <w:szCs w:val="1"/>
                <w:color w:val="auto"/>
              </w:rPr>
            </w:pPr>
          </w:p>
        </w:tc>
      </w:tr>
      <w:tr>
        <w:trPr>
          <w:trHeight w:val="201"/>
        </w:trPr>
        <w:tc>
          <w:tcPr>
            <w:tcW w:w="8440" w:type="dxa"/>
            <w:vAlign w:val="bottom"/>
            <w:tcBorders>
              <w:bottom w:val="single" w:sz="8" w:color="EBFBFF"/>
            </w:tcBorders>
          </w:tcPr>
          <w:p>
            <w:pPr>
              <w:ind w:left="20"/>
              <w:spacing w:after="0"/>
              <w:rPr>
                <w:sz w:val="20"/>
                <w:szCs w:val="20"/>
                <w:color w:val="auto"/>
              </w:rPr>
            </w:pPr>
            <w:r>
              <w:rPr>
                <w:rFonts w:ascii="Arial" w:cs="Arial" w:eastAsia="Arial" w:hAnsi="Arial"/>
                <w:sz w:val="15"/>
                <w:szCs w:val="15"/>
                <w:color w:val="51555C"/>
              </w:rPr>
              <w:t>Restricted cash</w:t>
            </w:r>
          </w:p>
        </w:tc>
        <w:tc>
          <w:tcPr>
            <w:tcW w:w="24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428,166</w:t>
            </w:r>
          </w:p>
        </w:tc>
        <w:tc>
          <w:tcPr>
            <w:tcW w:w="26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5"/>
              <w:spacing w:after="0"/>
              <w:rPr>
                <w:sz w:val="20"/>
                <w:szCs w:val="20"/>
                <w:color w:val="auto"/>
              </w:rPr>
            </w:pPr>
            <w:r>
              <w:rPr>
                <w:rFonts w:ascii="Arial" w:cs="Arial" w:eastAsia="Arial" w:hAnsi="Arial"/>
                <w:sz w:val="15"/>
                <w:szCs w:val="15"/>
                <w:color w:val="51555C"/>
              </w:rPr>
              <w:t>720,061</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5"/>
                <w:szCs w:val="15"/>
                <w:color w:val="51555C"/>
              </w:rPr>
              <w:t>Total cash, cash equivalents and restricted cash in the statement of cash flows</w:t>
            </w:r>
          </w:p>
        </w:tc>
        <w:tc>
          <w:tcPr>
            <w:tcW w:w="240" w:type="dxa"/>
            <w:vAlign w:val="bottom"/>
            <w:tcBorders>
              <w:bottom w:val="single" w:sz="8" w:color="0CD973"/>
            </w:tcBorders>
            <w:shd w:val="clear" w:color="auto" w:fill="EBFBFF"/>
          </w:tcPr>
          <w:p>
            <w:pPr>
              <w:jc w:val="right"/>
              <w:ind w:right="64"/>
              <w:spacing w:after="0"/>
              <w:rPr>
                <w:sz w:val="20"/>
                <w:szCs w:val="20"/>
                <w:color w:val="auto"/>
              </w:rPr>
            </w:pPr>
            <w:r>
              <w:rPr>
                <w:rFonts w:ascii="Arial" w:cs="Arial" w:eastAsia="Arial" w:hAnsi="Arial"/>
                <w:sz w:val="15"/>
                <w:szCs w:val="15"/>
                <w:color w:val="51555C"/>
                <w:w w:val="95"/>
              </w:rPr>
              <w:t>$</w:t>
            </w:r>
          </w:p>
        </w:tc>
        <w:tc>
          <w:tcPr>
            <w:tcW w:w="1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463,900</w:t>
            </w:r>
          </w:p>
        </w:tc>
        <w:tc>
          <w:tcPr>
            <w:tcW w:w="260" w:type="dxa"/>
            <w:vAlign w:val="bottom"/>
            <w:tcBorders>
              <w:bottom w:val="single" w:sz="8" w:color="0CD973"/>
            </w:tcBorders>
            <w:shd w:val="clear" w:color="auto" w:fill="EBFBFF"/>
          </w:tcPr>
          <w:p>
            <w:pPr>
              <w:jc w:val="right"/>
              <w:ind w:right="84"/>
              <w:spacing w:after="0"/>
              <w:rPr>
                <w:sz w:val="20"/>
                <w:szCs w:val="20"/>
                <w:color w:val="auto"/>
              </w:rPr>
            </w:pPr>
            <w:r>
              <w:rPr>
                <w:rFonts w:ascii="Arial" w:cs="Arial" w:eastAsia="Arial" w:hAnsi="Arial"/>
                <w:sz w:val="15"/>
                <w:szCs w:val="15"/>
                <w:color w:val="51555C"/>
                <w:w w:val="95"/>
              </w:rPr>
              <w:t>$</w:t>
            </w:r>
          </w:p>
        </w:tc>
        <w:tc>
          <w:tcPr>
            <w:tcW w:w="1120" w:type="dxa"/>
            <w:vAlign w:val="bottom"/>
            <w:tcBorders>
              <w:bottom w:val="single" w:sz="8" w:color="0CD973"/>
            </w:tcBorders>
            <w:shd w:val="clear" w:color="auto" w:fill="EBFBFF"/>
          </w:tcPr>
          <w:p>
            <w:pPr>
              <w:jc w:val="right"/>
              <w:ind w:right="5"/>
              <w:spacing w:after="0"/>
              <w:rPr>
                <w:sz w:val="20"/>
                <w:szCs w:val="20"/>
                <w:color w:val="auto"/>
              </w:rPr>
            </w:pPr>
            <w:r>
              <w:rPr>
                <w:rFonts w:ascii="Arial" w:cs="Arial" w:eastAsia="Arial" w:hAnsi="Arial"/>
                <w:sz w:val="15"/>
                <w:szCs w:val="15"/>
                <w:color w:val="51555C"/>
              </w:rPr>
              <w:t>758,975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1555C"/>
        </w:rPr>
        <w:t>8</w:t>
      </w:r>
    </w:p>
    <w:p>
      <w:pPr>
        <w:sectPr>
          <w:pgSz w:w="11900" w:h="16838" w:orient="portrait"/>
          <w:cols w:equalWidth="0" w:num="1">
            <w:col w:w="11220"/>
          </w:cols>
          <w:pgMar w:left="320" w:top="122" w:right="3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Reconciliation of GAAP to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250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1400" w:type="dxa"/>
            <w:vAlign w:val="bottom"/>
            <w:gridSpan w:val="2"/>
            <w:shd w:val="clear" w:color="auto" w:fill="004054"/>
          </w:tcPr>
          <w:p>
            <w:pPr>
              <w:ind w:left="40"/>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85"/>
        </w:trPr>
        <w:tc>
          <w:tcPr>
            <w:tcW w:w="556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89"/>
        </w:trPr>
        <w:tc>
          <w:tcPr>
            <w:tcW w:w="55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300" w:type="dxa"/>
            <w:vAlign w:val="bottom"/>
            <w:tcBorders>
              <w:bottom w:val="single" w:sz="8" w:color="004054"/>
            </w:tcBorders>
            <w:shd w:val="clear" w:color="auto" w:fill="004054"/>
          </w:tcPr>
          <w:p>
            <w:pPr>
              <w:spacing w:after="0"/>
              <w:rPr>
                <w:sz w:val="24"/>
                <w:szCs w:val="24"/>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40" w:type="dxa"/>
            <w:vAlign w:val="bottom"/>
            <w:tcBorders>
              <w:bottom w:val="single" w:sz="8" w:color="004054"/>
            </w:tcBorders>
            <w:shd w:val="clear" w:color="auto" w:fill="004054"/>
          </w:tcPr>
          <w:p>
            <w:pPr>
              <w:spacing w:after="0"/>
              <w:rPr>
                <w:sz w:val="24"/>
                <w:szCs w:val="24"/>
                <w:color w:val="auto"/>
              </w:rPr>
            </w:pPr>
          </w:p>
        </w:tc>
        <w:tc>
          <w:tcPr>
            <w:tcW w:w="11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24"/>
                <w:szCs w:val="24"/>
                <w:color w:val="auto"/>
              </w:rPr>
            </w:pPr>
          </w:p>
        </w:tc>
        <w:tc>
          <w:tcPr>
            <w:tcW w:w="280" w:type="dxa"/>
            <w:vAlign w:val="bottom"/>
            <w:tcBorders>
              <w:bottom w:val="single" w:sz="8" w:color="004054"/>
            </w:tcBorders>
            <w:shd w:val="clear" w:color="auto" w:fill="004054"/>
          </w:tcPr>
          <w:p>
            <w:pPr>
              <w:spacing w:after="0"/>
              <w:rPr>
                <w:sz w:val="24"/>
                <w:szCs w:val="24"/>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60" w:type="dxa"/>
            <w:vAlign w:val="bottom"/>
            <w:tcBorders>
              <w:bottom w:val="single" w:sz="8" w:color="004054"/>
            </w:tcBorders>
            <w:shd w:val="clear" w:color="auto" w:fill="004054"/>
          </w:tcPr>
          <w:p>
            <w:pPr>
              <w:spacing w:after="0"/>
              <w:rPr>
                <w:sz w:val="24"/>
                <w:szCs w:val="24"/>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4"/>
                <w:szCs w:val="24"/>
                <w:color w:val="auto"/>
              </w:rPr>
            </w:pPr>
          </w:p>
        </w:tc>
      </w:tr>
      <w:tr>
        <w:trPr>
          <w:trHeight w:val="177"/>
        </w:trPr>
        <w:tc>
          <w:tcPr>
            <w:tcW w:w="5560" w:type="dxa"/>
            <w:vAlign w:val="bottom"/>
            <w:tcBorders>
              <w:top w:val="single" w:sz="8" w:color="004054"/>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Revenue</w:t>
            </w:r>
          </w:p>
        </w:tc>
        <w:tc>
          <w:tcPr>
            <w:tcW w:w="300" w:type="dxa"/>
            <w:vAlign w:val="bottom"/>
            <w:tcBorders>
              <w:top w:val="single" w:sz="8" w:color="004054"/>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tcBorders>
              <w:top w:val="single" w:sz="8" w:color="004054"/>
            </w:tcBorders>
            <w:shd w:val="clear" w:color="auto" w:fill="EBFBFF"/>
          </w:tcPr>
          <w:p>
            <w:pPr>
              <w:jc w:val="right"/>
              <w:ind w:right="108"/>
              <w:spacing w:after="0"/>
              <w:rPr>
                <w:sz w:val="20"/>
                <w:szCs w:val="20"/>
                <w:color w:val="auto"/>
              </w:rPr>
            </w:pPr>
            <w:r>
              <w:rPr>
                <w:rFonts w:ascii="Arial" w:cs="Arial" w:eastAsia="Arial" w:hAnsi="Arial"/>
                <w:sz w:val="14"/>
                <w:szCs w:val="14"/>
                <w:color w:val="51555C"/>
              </w:rPr>
              <w:t>292,641</w:t>
            </w:r>
          </w:p>
        </w:tc>
        <w:tc>
          <w:tcPr>
            <w:tcW w:w="240" w:type="dxa"/>
            <w:vAlign w:val="bottom"/>
            <w:tcBorders>
              <w:top w:val="single" w:sz="8" w:color="004054"/>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tcBorders>
              <w:top w:val="single" w:sz="8" w:color="004054"/>
            </w:tcBorders>
            <w:shd w:val="clear" w:color="auto" w:fill="EBFBFF"/>
          </w:tcPr>
          <w:p>
            <w:pPr>
              <w:jc w:val="right"/>
              <w:ind w:right="128"/>
              <w:spacing w:after="0"/>
              <w:rPr>
                <w:sz w:val="20"/>
                <w:szCs w:val="20"/>
                <w:color w:val="auto"/>
              </w:rPr>
            </w:pPr>
            <w:r>
              <w:rPr>
                <w:rFonts w:ascii="Arial" w:cs="Arial" w:eastAsia="Arial" w:hAnsi="Arial"/>
                <w:sz w:val="14"/>
                <w:szCs w:val="14"/>
                <w:color w:val="51555C"/>
              </w:rPr>
              <w:t>281,143</w:t>
            </w:r>
          </w:p>
        </w:tc>
        <w:tc>
          <w:tcPr>
            <w:tcW w:w="380" w:type="dxa"/>
            <w:vAlign w:val="bottom"/>
            <w:tcBorders>
              <w:top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tcBorders>
              <w:top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864,378</w:t>
            </w:r>
          </w:p>
        </w:tc>
        <w:tc>
          <w:tcPr>
            <w:tcW w:w="260" w:type="dxa"/>
            <w:vAlign w:val="bottom"/>
            <w:tcBorders>
              <w:top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40" w:type="dxa"/>
            <w:vAlign w:val="bottom"/>
            <w:tcBorders>
              <w:top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833,109</w:t>
            </w:r>
          </w:p>
        </w:tc>
        <w:tc>
          <w:tcPr>
            <w:tcW w:w="20" w:type="dxa"/>
            <w:vAlign w:val="bottom"/>
          </w:tcPr>
          <w:p>
            <w:pPr>
              <w:spacing w:after="0"/>
              <w:rPr>
                <w:sz w:val="15"/>
                <w:szCs w:val="15"/>
                <w:color w:val="auto"/>
              </w:rPr>
            </w:pPr>
          </w:p>
        </w:tc>
      </w:tr>
      <w:tr>
        <w:trPr>
          <w:trHeight w:val="34"/>
        </w:trPr>
        <w:tc>
          <w:tcPr>
            <w:tcW w:w="5560" w:type="dxa"/>
            <w:vAlign w:val="bottom"/>
          </w:tcPr>
          <w:p>
            <w:pPr>
              <w:spacing w:after="0"/>
              <w:rPr>
                <w:sz w:val="2"/>
                <w:szCs w:val="2"/>
                <w:color w:val="auto"/>
              </w:rPr>
            </w:pPr>
          </w:p>
        </w:tc>
        <w:tc>
          <w:tcPr>
            <w:tcW w:w="300" w:type="dxa"/>
            <w:vAlign w:val="bottom"/>
            <w:tcBorders>
              <w:top w:val="single" w:sz="8" w:color="51555C"/>
            </w:tcBorders>
          </w:tcPr>
          <w:p>
            <w:pPr>
              <w:spacing w:after="0"/>
              <w:rPr>
                <w:sz w:val="2"/>
                <w:szCs w:val="2"/>
                <w:color w:val="auto"/>
              </w:rPr>
            </w:pPr>
          </w:p>
        </w:tc>
        <w:tc>
          <w:tcPr>
            <w:tcW w:w="1100" w:type="dxa"/>
            <w:vAlign w:val="bottom"/>
            <w:tcBorders>
              <w:top w:val="single" w:sz="8" w:color="51555C"/>
            </w:tcBorders>
          </w:tcPr>
          <w:p>
            <w:pPr>
              <w:spacing w:after="0"/>
              <w:rPr>
                <w:sz w:val="2"/>
                <w:szCs w:val="2"/>
                <w:color w:val="auto"/>
              </w:rPr>
            </w:pPr>
          </w:p>
        </w:tc>
        <w:tc>
          <w:tcPr>
            <w:tcW w:w="240" w:type="dxa"/>
            <w:vAlign w:val="bottom"/>
            <w:tcBorders>
              <w:top w:val="single" w:sz="8" w:color="51555C"/>
            </w:tcBorders>
          </w:tcPr>
          <w:p>
            <w:pPr>
              <w:spacing w:after="0"/>
              <w:rPr>
                <w:sz w:val="2"/>
                <w:szCs w:val="2"/>
                <w:color w:val="auto"/>
              </w:rPr>
            </w:pPr>
          </w:p>
        </w:tc>
        <w:tc>
          <w:tcPr>
            <w:tcW w:w="1160" w:type="dxa"/>
            <w:vAlign w:val="bottom"/>
            <w:tcBorders>
              <w:top w:val="single" w:sz="8" w:color="51555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51555C"/>
            </w:tcBorders>
          </w:tcPr>
          <w:p>
            <w:pPr>
              <w:spacing w:after="0"/>
              <w:rPr>
                <w:sz w:val="2"/>
                <w:szCs w:val="2"/>
                <w:color w:val="auto"/>
              </w:rPr>
            </w:pPr>
          </w:p>
        </w:tc>
        <w:tc>
          <w:tcPr>
            <w:tcW w:w="1100" w:type="dxa"/>
            <w:vAlign w:val="bottom"/>
            <w:tcBorders>
              <w:top w:val="single" w:sz="8" w:color="51555C"/>
            </w:tcBorders>
          </w:tcPr>
          <w:p>
            <w:pPr>
              <w:spacing w:after="0"/>
              <w:rPr>
                <w:sz w:val="2"/>
                <w:szCs w:val="2"/>
                <w:color w:val="auto"/>
              </w:rPr>
            </w:pPr>
          </w:p>
        </w:tc>
        <w:tc>
          <w:tcPr>
            <w:tcW w:w="260" w:type="dxa"/>
            <w:vAlign w:val="bottom"/>
            <w:tcBorders>
              <w:top w:val="single" w:sz="8" w:color="51555C"/>
            </w:tcBorders>
          </w:tcPr>
          <w:p>
            <w:pPr>
              <w:spacing w:after="0"/>
              <w:rPr>
                <w:sz w:val="2"/>
                <w:szCs w:val="2"/>
                <w:color w:val="auto"/>
              </w:rPr>
            </w:pPr>
          </w:p>
        </w:tc>
        <w:tc>
          <w:tcPr>
            <w:tcW w:w="1140" w:type="dxa"/>
            <w:vAlign w:val="bottom"/>
            <w:tcBorders>
              <w:top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gross profit</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177,791</w:t>
            </w:r>
          </w:p>
        </w:tc>
        <w:tc>
          <w:tcPr>
            <w:tcW w:w="24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167,490</w:t>
            </w:r>
          </w:p>
        </w:tc>
        <w:tc>
          <w:tcPr>
            <w:tcW w:w="380" w:type="dxa"/>
            <w:vAlign w:val="bottom"/>
            <w:gridSpan w:val="2"/>
            <w:shd w:val="clear" w:color="auto" w:fill="EBFBFF"/>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522,513</w:t>
            </w:r>
          </w:p>
        </w:tc>
        <w:tc>
          <w:tcPr>
            <w:tcW w:w="2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491,008</w:t>
            </w:r>
          </w:p>
        </w:tc>
        <w:tc>
          <w:tcPr>
            <w:tcW w:w="20" w:type="dxa"/>
            <w:vAlign w:val="bottom"/>
          </w:tcPr>
          <w:p>
            <w:pPr>
              <w:spacing w:after="0"/>
              <w:rPr>
                <w:sz w:val="17"/>
                <w:szCs w:val="17"/>
                <w:color w:val="auto"/>
              </w:rPr>
            </w:pPr>
          </w:p>
        </w:tc>
      </w:tr>
      <w:tr>
        <w:trPr>
          <w:trHeight w:val="201"/>
        </w:trPr>
        <w:tc>
          <w:tcPr>
            <w:tcW w:w="5560" w:type="dxa"/>
            <w:vAlign w:val="bottom"/>
          </w:tcPr>
          <w:p>
            <w:pPr>
              <w:ind w:left="140"/>
              <w:spacing w:after="0"/>
              <w:rPr>
                <w:sz w:val="20"/>
                <w:szCs w:val="20"/>
                <w:color w:val="auto"/>
              </w:rPr>
            </w:pPr>
            <w:r>
              <w:rPr>
                <w:rFonts w:ascii="Arial" w:cs="Arial" w:eastAsia="Arial" w:hAnsi="Arial"/>
                <w:sz w:val="14"/>
                <w:szCs w:val="14"/>
                <w:b w:val="1"/>
                <w:bCs w:val="1"/>
                <w:color w:val="51555C"/>
              </w:rPr>
              <w:t>GAAP gross margin</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51555C"/>
              </w:rPr>
              <w:t>60.8 %</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51555C"/>
              </w:rPr>
              <w:t>59.6 %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51555C"/>
              </w:rPr>
              <w:t>60.4 %</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51555C"/>
              </w:rPr>
              <w:t>58.9 %</w:t>
            </w:r>
          </w:p>
        </w:tc>
        <w:tc>
          <w:tcPr>
            <w:tcW w:w="20" w:type="dxa"/>
            <w:vAlign w:val="bottom"/>
          </w:tcPr>
          <w:p>
            <w:pPr>
              <w:spacing w:after="0"/>
              <w:rPr>
                <w:sz w:val="17"/>
                <w:szCs w:val="17"/>
                <w:color w:val="auto"/>
              </w:rPr>
            </w:pPr>
          </w:p>
        </w:tc>
      </w:tr>
      <w:tr>
        <w:trPr>
          <w:trHeight w:val="204"/>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2,693</w:t>
            </w:r>
          </w:p>
        </w:tc>
        <w:tc>
          <w:tcPr>
            <w:tcW w:w="2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51555C"/>
              </w:rPr>
              <w:t>2,850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8,494</w:t>
            </w:r>
          </w:p>
        </w:tc>
        <w:tc>
          <w:tcPr>
            <w:tcW w:w="2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51555C"/>
              </w:rPr>
              <w:t>8,798</w:t>
            </w:r>
          </w:p>
        </w:tc>
        <w:tc>
          <w:tcPr>
            <w:tcW w:w="20" w:type="dxa"/>
            <w:vAlign w:val="bottom"/>
          </w:tcPr>
          <w:p>
            <w:pPr>
              <w:spacing w:after="0"/>
              <w:rPr>
                <w:sz w:val="17"/>
                <w:szCs w:val="17"/>
                <w:color w:val="auto"/>
              </w:rPr>
            </w:pPr>
          </w:p>
        </w:tc>
      </w:tr>
      <w:tr>
        <w:trPr>
          <w:trHeight w:val="207"/>
        </w:trPr>
        <w:tc>
          <w:tcPr>
            <w:tcW w:w="55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5,405</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6,811</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17,076</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20,883</w:t>
            </w:r>
          </w:p>
        </w:tc>
        <w:tc>
          <w:tcPr>
            <w:tcW w:w="20" w:type="dxa"/>
            <w:vAlign w:val="bottom"/>
          </w:tcPr>
          <w:p>
            <w:pPr>
              <w:spacing w:after="0"/>
              <w:rPr>
                <w:sz w:val="17"/>
                <w:szCs w:val="17"/>
                <w:color w:val="auto"/>
              </w:rPr>
            </w:pP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24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51555C"/>
              </w:rPr>
              <w:t>(18)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2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51555C"/>
              </w:rPr>
              <w:t>284</w:t>
            </w:r>
          </w:p>
        </w:tc>
        <w:tc>
          <w:tcPr>
            <w:tcW w:w="20" w:type="dxa"/>
            <w:vAlign w:val="bottom"/>
          </w:tcPr>
          <w:p>
            <w:pPr>
              <w:spacing w:after="0"/>
              <w:rPr>
                <w:sz w:val="17"/>
                <w:szCs w:val="17"/>
                <w:color w:val="auto"/>
              </w:rPr>
            </w:pPr>
          </w:p>
        </w:tc>
      </w:tr>
      <w:tr>
        <w:trPr>
          <w:trHeight w:val="206"/>
        </w:trPr>
        <w:tc>
          <w:tcPr>
            <w:tcW w:w="55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Global workforce transition costs</w:t>
            </w:r>
            <w:r>
              <w:rPr>
                <w:rFonts w:ascii="Arial" w:cs="Arial" w:eastAsia="Arial" w:hAnsi="Arial"/>
                <w:sz w:val="18"/>
                <w:szCs w:val="18"/>
                <w:color w:val="51555C"/>
                <w:vertAlign w:val="superscript"/>
              </w:rPr>
              <w:t>(1)</w:t>
            </w:r>
          </w:p>
        </w:tc>
        <w:tc>
          <w:tcPr>
            <w:tcW w:w="30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1,014</w:t>
            </w:r>
          </w:p>
        </w:tc>
        <w:tc>
          <w:tcPr>
            <w:tcW w:w="240" w:type="dxa"/>
            <w:vAlign w:val="bottom"/>
            <w:tcBorders>
              <w:bottom w:val="single" w:sz="8" w:color="51555C"/>
            </w:tcBorders>
            <w:shd w:val="clear" w:color="auto" w:fill="EBFBFF"/>
          </w:tcPr>
          <w:p>
            <w:pPr>
              <w:spacing w:after="0"/>
              <w:rPr>
                <w:sz w:val="17"/>
                <w:szCs w:val="17"/>
                <w:color w:val="auto"/>
              </w:rPr>
            </w:pPr>
          </w:p>
        </w:tc>
        <w:tc>
          <w:tcPr>
            <w:tcW w:w="116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0" w:type="dxa"/>
            <w:vAlign w:val="bottom"/>
            <w:shd w:val="clear" w:color="auto" w:fill="EBFBFF"/>
          </w:tcPr>
          <w:p>
            <w:pPr>
              <w:spacing w:after="0"/>
              <w:rPr>
                <w:sz w:val="17"/>
                <w:szCs w:val="17"/>
                <w:color w:val="auto"/>
              </w:rPr>
            </w:pPr>
          </w:p>
        </w:tc>
        <w:tc>
          <w:tcPr>
            <w:tcW w:w="28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1,556</w:t>
            </w:r>
          </w:p>
        </w:tc>
        <w:tc>
          <w:tcPr>
            <w:tcW w:w="260" w:type="dxa"/>
            <w:vAlign w:val="bottom"/>
            <w:tcBorders>
              <w:bottom w:val="single" w:sz="8" w:color="51555C"/>
            </w:tcBorders>
            <w:shd w:val="clear" w:color="auto" w:fill="EBFBFF"/>
          </w:tcPr>
          <w:p>
            <w:pPr>
              <w:spacing w:after="0"/>
              <w:rPr>
                <w:sz w:val="17"/>
                <w:szCs w:val="17"/>
                <w:color w:val="auto"/>
              </w:rPr>
            </w:pPr>
          </w:p>
        </w:tc>
        <w:tc>
          <w:tcPr>
            <w:tcW w:w="114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7"/>
                <w:szCs w:val="17"/>
                <w:color w:val="auto"/>
              </w:rPr>
            </w:pPr>
          </w:p>
        </w:tc>
      </w:tr>
      <w:tr>
        <w:trPr>
          <w:trHeight w:val="192"/>
        </w:trPr>
        <w:tc>
          <w:tcPr>
            <w:tcW w:w="5560" w:type="dxa"/>
            <w:vAlign w:val="bottom"/>
            <w:tcBorders>
              <w:bottom w:val="single" w:sz="8" w:color="EBFBFF"/>
            </w:tcBorders>
          </w:tcPr>
          <w:p>
            <w:pPr>
              <w:ind w:left="360"/>
              <w:spacing w:after="0"/>
              <w:rPr>
                <w:sz w:val="20"/>
                <w:szCs w:val="20"/>
                <w:color w:val="auto"/>
              </w:rPr>
            </w:pPr>
            <w:r>
              <w:rPr>
                <w:rFonts w:ascii="Arial" w:cs="Arial" w:eastAsia="Arial" w:hAnsi="Arial"/>
                <w:sz w:val="14"/>
                <w:szCs w:val="14"/>
                <w:color w:val="51555C"/>
              </w:rPr>
              <w:t>Subtotal</w:t>
            </w:r>
          </w:p>
        </w:tc>
        <w:tc>
          <w:tcPr>
            <w:tcW w:w="300" w:type="dxa"/>
            <w:vAlign w:val="bottom"/>
            <w:tcBorders>
              <w:bottom w:val="single" w:sz="8" w:color="51555C"/>
            </w:tcBorders>
          </w:tcPr>
          <w:p>
            <w:pPr>
              <w:spacing w:after="0"/>
              <w:rPr>
                <w:sz w:val="16"/>
                <w:szCs w:val="16"/>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9,112</w:t>
            </w:r>
          </w:p>
        </w:tc>
        <w:tc>
          <w:tcPr>
            <w:tcW w:w="240" w:type="dxa"/>
            <w:vAlign w:val="bottom"/>
            <w:tcBorders>
              <w:bottom w:val="single" w:sz="8" w:color="51555C"/>
            </w:tcBorders>
          </w:tcPr>
          <w:p>
            <w:pPr>
              <w:spacing w:after="0"/>
              <w:rPr>
                <w:sz w:val="16"/>
                <w:szCs w:val="16"/>
                <w:color w:val="auto"/>
              </w:rPr>
            </w:pPr>
          </w:p>
        </w:tc>
        <w:tc>
          <w:tcPr>
            <w:tcW w:w="116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9,643</w:t>
            </w:r>
          </w:p>
        </w:tc>
        <w:tc>
          <w:tcPr>
            <w:tcW w:w="100" w:type="dxa"/>
            <w:vAlign w:val="bottom"/>
            <w:tcBorders>
              <w:bottom w:val="single" w:sz="8" w:color="EBFBFF"/>
            </w:tcBorders>
          </w:tcPr>
          <w:p>
            <w:pPr>
              <w:spacing w:after="0"/>
              <w:rPr>
                <w:sz w:val="16"/>
                <w:szCs w:val="16"/>
                <w:color w:val="auto"/>
              </w:rPr>
            </w:pPr>
          </w:p>
        </w:tc>
        <w:tc>
          <w:tcPr>
            <w:tcW w:w="280" w:type="dxa"/>
            <w:vAlign w:val="bottom"/>
            <w:tcBorders>
              <w:bottom w:val="single" w:sz="8" w:color="51555C"/>
            </w:tcBorders>
          </w:tcPr>
          <w:p>
            <w:pPr>
              <w:spacing w:after="0"/>
              <w:rPr>
                <w:sz w:val="16"/>
                <w:szCs w:val="16"/>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27,126</w:t>
            </w:r>
          </w:p>
        </w:tc>
        <w:tc>
          <w:tcPr>
            <w:tcW w:w="260" w:type="dxa"/>
            <w:vAlign w:val="bottom"/>
            <w:tcBorders>
              <w:bottom w:val="single" w:sz="8" w:color="51555C"/>
            </w:tcBorders>
          </w:tcPr>
          <w:p>
            <w:pPr>
              <w:spacing w:after="0"/>
              <w:rPr>
                <w:sz w:val="16"/>
                <w:szCs w:val="16"/>
                <w:color w:val="auto"/>
              </w:rPr>
            </w:pPr>
          </w:p>
        </w:tc>
        <w:tc>
          <w:tcPr>
            <w:tcW w:w="114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29,965</w:t>
            </w:r>
          </w:p>
        </w:tc>
        <w:tc>
          <w:tcPr>
            <w:tcW w:w="20" w:type="dxa"/>
            <w:vAlign w:val="bottom"/>
          </w:tcPr>
          <w:p>
            <w:pPr>
              <w:spacing w:after="0"/>
              <w:rPr>
                <w:sz w:val="16"/>
                <w:szCs w:val="16"/>
                <w:color w:val="auto"/>
              </w:rPr>
            </w:pPr>
          </w:p>
        </w:tc>
      </w:tr>
      <w:tr>
        <w:trPr>
          <w:trHeight w:val="200"/>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gross profit</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186,903</w:t>
            </w:r>
          </w:p>
        </w:tc>
        <w:tc>
          <w:tcPr>
            <w:tcW w:w="24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177,133</w:t>
            </w:r>
          </w:p>
        </w:tc>
        <w:tc>
          <w:tcPr>
            <w:tcW w:w="380" w:type="dxa"/>
            <w:vAlign w:val="bottom"/>
            <w:gridSpan w:val="2"/>
            <w:shd w:val="clear" w:color="auto" w:fill="EBFBFF"/>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549,639</w:t>
            </w:r>
          </w:p>
        </w:tc>
        <w:tc>
          <w:tcPr>
            <w:tcW w:w="2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520,973</w:t>
            </w:r>
          </w:p>
        </w:tc>
        <w:tc>
          <w:tcPr>
            <w:tcW w:w="20" w:type="dxa"/>
            <w:vAlign w:val="bottom"/>
          </w:tcPr>
          <w:p>
            <w:pPr>
              <w:spacing w:after="0"/>
              <w:rPr>
                <w:sz w:val="17"/>
                <w:szCs w:val="17"/>
                <w:color w:val="auto"/>
              </w:rPr>
            </w:pPr>
          </w:p>
        </w:tc>
      </w:tr>
      <w:tr>
        <w:trPr>
          <w:trHeight w:val="230"/>
        </w:trPr>
        <w:tc>
          <w:tcPr>
            <w:tcW w:w="5560" w:type="dxa"/>
            <w:vAlign w:val="bottom"/>
            <w:tcBorders>
              <w:bottom w:val="single" w:sz="8" w:color="EBFBFF"/>
            </w:tcBorders>
          </w:tcPr>
          <w:p>
            <w:pPr>
              <w:ind w:left="140"/>
              <w:spacing w:after="0"/>
              <w:rPr>
                <w:sz w:val="20"/>
                <w:szCs w:val="20"/>
                <w:color w:val="auto"/>
              </w:rPr>
            </w:pPr>
            <w:r>
              <w:rPr>
                <w:rFonts w:ascii="Arial" w:cs="Arial" w:eastAsia="Arial" w:hAnsi="Arial"/>
                <w:sz w:val="14"/>
                <w:szCs w:val="14"/>
                <w:b w:val="1"/>
                <w:bCs w:val="1"/>
                <w:color w:val="51555C"/>
              </w:rPr>
              <w:t>Non-GAAP gross margin</w:t>
            </w:r>
          </w:p>
        </w:tc>
        <w:tc>
          <w:tcPr>
            <w:tcW w:w="300" w:type="dxa"/>
            <w:vAlign w:val="bottom"/>
            <w:tcBorders>
              <w:top w:val="single" w:sz="8" w:color="51555C"/>
              <w:bottom w:val="single" w:sz="8" w:color="EBFBFF"/>
            </w:tcBorders>
          </w:tcPr>
          <w:p>
            <w:pPr>
              <w:spacing w:after="0"/>
              <w:rPr>
                <w:sz w:val="20"/>
                <w:szCs w:val="20"/>
                <w:color w:val="auto"/>
              </w:rPr>
            </w:pPr>
          </w:p>
        </w:tc>
        <w:tc>
          <w:tcPr>
            <w:tcW w:w="1100" w:type="dxa"/>
            <w:vAlign w:val="bottom"/>
            <w:tcBorders>
              <w:top w:val="single" w:sz="8" w:color="51555C"/>
              <w:bottom w:val="single" w:sz="8" w:color="EBFBFF"/>
            </w:tcBorders>
          </w:tcPr>
          <w:p>
            <w:pPr>
              <w:jc w:val="right"/>
              <w:spacing w:after="0"/>
              <w:rPr>
                <w:sz w:val="20"/>
                <w:szCs w:val="20"/>
                <w:color w:val="auto"/>
              </w:rPr>
            </w:pPr>
            <w:r>
              <w:rPr>
                <w:rFonts w:ascii="Arial" w:cs="Arial" w:eastAsia="Arial" w:hAnsi="Arial"/>
                <w:sz w:val="14"/>
                <w:szCs w:val="14"/>
                <w:color w:val="51555C"/>
              </w:rPr>
              <w:t>63.9 %</w:t>
            </w:r>
          </w:p>
        </w:tc>
        <w:tc>
          <w:tcPr>
            <w:tcW w:w="240" w:type="dxa"/>
            <w:vAlign w:val="bottom"/>
            <w:tcBorders>
              <w:top w:val="single" w:sz="8" w:color="51555C"/>
              <w:bottom w:val="single" w:sz="8" w:color="EBFBFF"/>
            </w:tcBorders>
          </w:tcPr>
          <w:p>
            <w:pPr>
              <w:spacing w:after="0"/>
              <w:rPr>
                <w:sz w:val="20"/>
                <w:szCs w:val="20"/>
                <w:color w:val="auto"/>
              </w:rPr>
            </w:pPr>
          </w:p>
        </w:tc>
        <w:tc>
          <w:tcPr>
            <w:tcW w:w="1160" w:type="dxa"/>
            <w:vAlign w:val="bottom"/>
            <w:tcBorders>
              <w:top w:val="single" w:sz="8" w:color="51555C"/>
              <w:bottom w:val="single" w:sz="8" w:color="EBFBFF"/>
            </w:tcBorders>
          </w:tcPr>
          <w:p>
            <w:pPr>
              <w:jc w:val="right"/>
              <w:spacing w:after="0"/>
              <w:rPr>
                <w:sz w:val="20"/>
                <w:szCs w:val="20"/>
                <w:color w:val="auto"/>
              </w:rPr>
            </w:pPr>
            <w:r>
              <w:rPr>
                <w:rFonts w:ascii="Arial" w:cs="Arial" w:eastAsia="Arial" w:hAnsi="Arial"/>
                <w:sz w:val="14"/>
                <w:szCs w:val="14"/>
                <w:color w:val="51555C"/>
              </w:rPr>
              <w:t>63.0 %</w:t>
            </w:r>
          </w:p>
        </w:tc>
        <w:tc>
          <w:tcPr>
            <w:tcW w:w="100" w:type="dxa"/>
            <w:vAlign w:val="bottom"/>
            <w:tcBorders>
              <w:bottom w:val="single" w:sz="8" w:color="EBFBFF"/>
            </w:tcBorders>
          </w:tcPr>
          <w:p>
            <w:pPr>
              <w:spacing w:after="0"/>
              <w:rPr>
                <w:sz w:val="20"/>
                <w:szCs w:val="20"/>
                <w:color w:val="auto"/>
              </w:rPr>
            </w:pPr>
          </w:p>
        </w:tc>
        <w:tc>
          <w:tcPr>
            <w:tcW w:w="280" w:type="dxa"/>
            <w:vAlign w:val="bottom"/>
            <w:tcBorders>
              <w:top w:val="single" w:sz="8" w:color="51555C"/>
              <w:bottom w:val="single" w:sz="8" w:color="EBFBFF"/>
            </w:tcBorders>
          </w:tcPr>
          <w:p>
            <w:pPr>
              <w:spacing w:after="0"/>
              <w:rPr>
                <w:sz w:val="20"/>
                <w:szCs w:val="20"/>
                <w:color w:val="auto"/>
              </w:rPr>
            </w:pPr>
          </w:p>
        </w:tc>
        <w:tc>
          <w:tcPr>
            <w:tcW w:w="1100" w:type="dxa"/>
            <w:vAlign w:val="bottom"/>
            <w:tcBorders>
              <w:top w:val="single" w:sz="8" w:color="51555C"/>
              <w:bottom w:val="single" w:sz="8" w:color="EBFBFF"/>
            </w:tcBorders>
          </w:tcPr>
          <w:p>
            <w:pPr>
              <w:jc w:val="right"/>
              <w:spacing w:after="0"/>
              <w:rPr>
                <w:sz w:val="20"/>
                <w:szCs w:val="20"/>
                <w:color w:val="auto"/>
              </w:rPr>
            </w:pPr>
            <w:r>
              <w:rPr>
                <w:rFonts w:ascii="Arial" w:cs="Arial" w:eastAsia="Arial" w:hAnsi="Arial"/>
                <w:sz w:val="14"/>
                <w:szCs w:val="14"/>
                <w:color w:val="51555C"/>
              </w:rPr>
              <w:t>63.6 %</w:t>
            </w:r>
          </w:p>
        </w:tc>
        <w:tc>
          <w:tcPr>
            <w:tcW w:w="260" w:type="dxa"/>
            <w:vAlign w:val="bottom"/>
            <w:tcBorders>
              <w:top w:val="single" w:sz="8" w:color="51555C"/>
              <w:bottom w:val="single" w:sz="8" w:color="EBFBFF"/>
            </w:tcBorders>
          </w:tcPr>
          <w:p>
            <w:pPr>
              <w:spacing w:after="0"/>
              <w:rPr>
                <w:sz w:val="20"/>
                <w:szCs w:val="20"/>
                <w:color w:val="auto"/>
              </w:rPr>
            </w:pPr>
          </w:p>
        </w:tc>
        <w:tc>
          <w:tcPr>
            <w:tcW w:w="1140" w:type="dxa"/>
            <w:vAlign w:val="bottom"/>
            <w:tcBorders>
              <w:top w:val="single" w:sz="8" w:color="51555C"/>
              <w:bottom w:val="single" w:sz="8" w:color="EBFBFF"/>
            </w:tcBorders>
          </w:tcPr>
          <w:p>
            <w:pPr>
              <w:jc w:val="right"/>
              <w:spacing w:after="0"/>
              <w:rPr>
                <w:sz w:val="20"/>
                <w:szCs w:val="20"/>
                <w:color w:val="auto"/>
              </w:rPr>
            </w:pPr>
            <w:r>
              <w:rPr>
                <w:rFonts w:ascii="Arial" w:cs="Arial" w:eastAsia="Arial" w:hAnsi="Arial"/>
                <w:sz w:val="14"/>
                <w:szCs w:val="14"/>
                <w:color w:val="51555C"/>
              </w:rPr>
              <w:t>62.5 %</w:t>
            </w:r>
          </w:p>
        </w:tc>
        <w:tc>
          <w:tcPr>
            <w:tcW w:w="20" w:type="dxa"/>
            <w:vAlign w:val="bottom"/>
          </w:tcPr>
          <w:p>
            <w:pPr>
              <w:spacing w:after="0"/>
              <w:rPr>
                <w:sz w:val="20"/>
                <w:szCs w:val="20"/>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4"/>
                <w:szCs w:val="14"/>
                <w:b w:val="1"/>
                <w:bCs w:val="1"/>
                <w:color w:val="51555C"/>
              </w:rPr>
              <w:t>GAAP income from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59,951</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51555C"/>
              </w:rPr>
              <w:t>54,573</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173,412</w:t>
            </w:r>
          </w:p>
        </w:tc>
        <w:tc>
          <w:tcPr>
            <w:tcW w:w="260" w:type="dxa"/>
            <w:vAlign w:val="bottom"/>
          </w:tcPr>
          <w:p>
            <w:pPr>
              <w:ind w:left="20"/>
              <w:spacing w:after="0"/>
              <w:rPr>
                <w:sz w:val="20"/>
                <w:szCs w:val="20"/>
                <w:color w:val="auto"/>
              </w:rPr>
            </w:pPr>
            <w:r>
              <w:rPr>
                <w:rFonts w:ascii="Arial" w:cs="Arial" w:eastAsia="Arial" w:hAnsi="Arial"/>
                <w:sz w:val="14"/>
                <w:szCs w:val="14"/>
                <w:color w:val="51555C"/>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51555C"/>
              </w:rPr>
              <w:t>131,612</w:t>
            </w:r>
          </w:p>
        </w:tc>
        <w:tc>
          <w:tcPr>
            <w:tcW w:w="20" w:type="dxa"/>
            <w:vAlign w:val="bottom"/>
          </w:tcPr>
          <w:p>
            <w:pPr>
              <w:spacing w:after="0"/>
              <w:rPr>
                <w:sz w:val="17"/>
                <w:szCs w:val="17"/>
                <w:color w:val="auto"/>
              </w:rPr>
            </w:pPr>
          </w:p>
        </w:tc>
      </w:tr>
      <w:tr>
        <w:trPr>
          <w:trHeight w:val="204"/>
        </w:trPr>
        <w:tc>
          <w:tcPr>
            <w:tcW w:w="556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GAAP operating margin</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20.5 %</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19.4 %</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20.1 %</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15.8 %</w:t>
            </w:r>
          </w:p>
        </w:tc>
        <w:tc>
          <w:tcPr>
            <w:tcW w:w="20" w:type="dxa"/>
            <w:vAlign w:val="bottom"/>
          </w:tcPr>
          <w:p>
            <w:pPr>
              <w:spacing w:after="0"/>
              <w:rPr>
                <w:sz w:val="17"/>
                <w:szCs w:val="17"/>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55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Stock-based compensation expense</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22,100</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21,657</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68,686</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71,079</w:t>
            </w:r>
          </w:p>
        </w:tc>
        <w:tc>
          <w:tcPr>
            <w:tcW w:w="20" w:type="dxa"/>
            <w:vAlign w:val="bottom"/>
          </w:tcPr>
          <w:p>
            <w:pPr>
              <w:spacing w:after="0"/>
              <w:rPr>
                <w:sz w:val="17"/>
                <w:szCs w:val="17"/>
                <w:color w:val="auto"/>
              </w:rPr>
            </w:pP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5,993</w:t>
            </w:r>
          </w:p>
        </w:tc>
        <w:tc>
          <w:tcPr>
            <w:tcW w:w="2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51555C"/>
              </w:rPr>
              <w:t>7,381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18,838</w:t>
            </w:r>
          </w:p>
        </w:tc>
        <w:tc>
          <w:tcPr>
            <w:tcW w:w="2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51555C"/>
              </w:rPr>
              <w:t>22,553</w:t>
            </w:r>
          </w:p>
        </w:tc>
        <w:tc>
          <w:tcPr>
            <w:tcW w:w="20" w:type="dxa"/>
            <w:vAlign w:val="bottom"/>
          </w:tcPr>
          <w:p>
            <w:pPr>
              <w:spacing w:after="0"/>
              <w:rPr>
                <w:sz w:val="17"/>
                <w:szCs w:val="17"/>
                <w:color w:val="auto"/>
              </w:rPr>
            </w:pPr>
          </w:p>
        </w:tc>
      </w:tr>
      <w:tr>
        <w:trPr>
          <w:trHeight w:val="207"/>
        </w:trPr>
        <w:tc>
          <w:tcPr>
            <w:tcW w:w="55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Employee severance</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(242)</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1,905</w:t>
            </w:r>
          </w:p>
        </w:tc>
        <w:tc>
          <w:tcPr>
            <w:tcW w:w="20" w:type="dxa"/>
            <w:vAlign w:val="bottom"/>
          </w:tcPr>
          <w:p>
            <w:pPr>
              <w:spacing w:after="0"/>
              <w:rPr>
                <w:sz w:val="17"/>
                <w:szCs w:val="17"/>
                <w:color w:val="auto"/>
              </w:rPr>
            </w:pPr>
          </w:p>
        </w:tc>
      </w:tr>
      <w:tr>
        <w:trPr>
          <w:trHeight w:val="203"/>
        </w:trPr>
        <w:tc>
          <w:tcPr>
            <w:tcW w:w="5560" w:type="dxa"/>
            <w:vAlign w:val="bottom"/>
          </w:tcPr>
          <w:p>
            <w:pPr>
              <w:ind w:left="140"/>
              <w:spacing w:after="0" w:line="202" w:lineRule="exact"/>
              <w:rPr>
                <w:sz w:val="20"/>
                <w:szCs w:val="20"/>
                <w:color w:val="auto"/>
              </w:rPr>
            </w:pPr>
            <w:r>
              <w:rPr>
                <w:rFonts w:ascii="Arial" w:cs="Arial" w:eastAsia="Arial" w:hAnsi="Arial"/>
                <w:sz w:val="14"/>
                <w:szCs w:val="14"/>
                <w:color w:val="51555C"/>
              </w:rPr>
              <w:t>Add: Global workforce transition costs</w:t>
            </w:r>
            <w:r>
              <w:rPr>
                <w:rFonts w:ascii="Arial" w:cs="Arial" w:eastAsia="Arial" w:hAnsi="Arial"/>
                <w:sz w:val="18"/>
                <w:szCs w:val="18"/>
                <w:color w:val="51555C"/>
                <w:vertAlign w:val="superscript"/>
              </w:rPr>
              <w:t>(1)</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5,439</w:t>
            </w:r>
          </w:p>
        </w:tc>
        <w:tc>
          <w:tcPr>
            <w:tcW w:w="2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8,439</w:t>
            </w:r>
          </w:p>
        </w:tc>
        <w:tc>
          <w:tcPr>
            <w:tcW w:w="2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7"/>
                <w:szCs w:val="17"/>
                <w:color w:val="auto"/>
              </w:rPr>
            </w:pPr>
          </w:p>
        </w:tc>
      </w:tr>
      <w:tr>
        <w:trPr>
          <w:trHeight w:val="203"/>
        </w:trPr>
        <w:tc>
          <w:tcPr>
            <w:tcW w:w="5560" w:type="dxa"/>
            <w:vAlign w:val="bottom"/>
            <w:shd w:val="clear" w:color="auto" w:fill="EBFBFF"/>
          </w:tcPr>
          <w:p>
            <w:pPr>
              <w:ind w:left="140"/>
              <w:spacing w:after="0" w:line="202" w:lineRule="exact"/>
              <w:rPr>
                <w:sz w:val="20"/>
                <w:szCs w:val="20"/>
                <w:color w:val="auto"/>
              </w:rPr>
            </w:pPr>
            <w:r>
              <w:rPr>
                <w:rFonts w:ascii="Arial" w:cs="Arial" w:eastAsia="Arial" w:hAnsi="Arial"/>
                <w:sz w:val="14"/>
                <w:szCs w:val="14"/>
                <w:color w:val="51555C"/>
              </w:rPr>
              <w:t>Add: Acquisition and disposition-related costs</w:t>
            </w:r>
            <w:r>
              <w:rPr>
                <w:rFonts w:ascii="Arial" w:cs="Arial" w:eastAsia="Arial" w:hAnsi="Arial"/>
                <w:sz w:val="18"/>
                <w:szCs w:val="18"/>
                <w:color w:val="51555C"/>
                <w:vertAlign w:val="superscript"/>
              </w:rPr>
              <w:t>(2)</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237</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383</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1,250</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25,779</w:t>
            </w:r>
          </w:p>
        </w:tc>
        <w:tc>
          <w:tcPr>
            <w:tcW w:w="20" w:type="dxa"/>
            <w:vAlign w:val="bottom"/>
          </w:tcPr>
          <w:p>
            <w:pPr>
              <w:spacing w:after="0"/>
              <w:rPr>
                <w:sz w:val="17"/>
                <w:szCs w:val="17"/>
                <w:color w:val="auto"/>
              </w:rPr>
            </w:pPr>
          </w:p>
        </w:tc>
      </w:tr>
      <w:tr>
        <w:trPr>
          <w:trHeight w:val="198"/>
        </w:trPr>
        <w:tc>
          <w:tcPr>
            <w:tcW w:w="5560" w:type="dxa"/>
            <w:vAlign w:val="bottom"/>
          </w:tcPr>
          <w:p>
            <w:pPr>
              <w:ind w:left="140"/>
              <w:spacing w:after="0"/>
              <w:rPr>
                <w:sz w:val="20"/>
                <w:szCs w:val="20"/>
                <w:color w:val="auto"/>
              </w:rPr>
            </w:pPr>
            <w:r>
              <w:rPr>
                <w:rFonts w:ascii="Arial" w:cs="Arial" w:eastAsia="Arial" w:hAnsi="Arial"/>
                <w:sz w:val="14"/>
                <w:szCs w:val="14"/>
                <w:color w:val="51555C"/>
              </w:rPr>
              <w:t>Add: Security Incident-related costs</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853</w:t>
            </w:r>
          </w:p>
        </w:tc>
        <w:tc>
          <w:tcPr>
            <w:tcW w:w="24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51555C"/>
              </w:rPr>
              <w:t>247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853</w:t>
            </w:r>
          </w:p>
        </w:tc>
        <w:tc>
          <w:tcPr>
            <w:tcW w:w="26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51555C"/>
              </w:rPr>
              <w:t>2,822</w:t>
            </w:r>
          </w:p>
        </w:tc>
        <w:tc>
          <w:tcPr>
            <w:tcW w:w="20" w:type="dxa"/>
            <w:vAlign w:val="bottom"/>
          </w:tcPr>
          <w:p>
            <w:pPr>
              <w:spacing w:after="0"/>
              <w:rPr>
                <w:sz w:val="17"/>
                <w:szCs w:val="17"/>
                <w:color w:val="auto"/>
              </w:rPr>
            </w:pPr>
          </w:p>
        </w:tc>
      </w:tr>
      <w:tr>
        <w:trPr>
          <w:trHeight w:val="207"/>
        </w:trPr>
        <w:tc>
          <w:tcPr>
            <w:tcW w:w="55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Impairment of capitalized software development costs</w:t>
            </w:r>
          </w:p>
        </w:tc>
        <w:tc>
          <w:tcPr>
            <w:tcW w:w="30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40" w:type="dxa"/>
            <w:vAlign w:val="bottom"/>
            <w:tcBorders>
              <w:bottom w:val="single" w:sz="8" w:color="51555C"/>
            </w:tcBorders>
            <w:shd w:val="clear" w:color="auto" w:fill="EBFBFF"/>
          </w:tcPr>
          <w:p>
            <w:pPr>
              <w:spacing w:after="0"/>
              <w:rPr>
                <w:sz w:val="17"/>
                <w:szCs w:val="17"/>
                <w:color w:val="auto"/>
              </w:rPr>
            </w:pPr>
          </w:p>
        </w:tc>
        <w:tc>
          <w:tcPr>
            <w:tcW w:w="116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0" w:type="dxa"/>
            <w:vAlign w:val="bottom"/>
            <w:shd w:val="clear" w:color="auto" w:fill="EBFBFF"/>
          </w:tcPr>
          <w:p>
            <w:pPr>
              <w:spacing w:after="0"/>
              <w:rPr>
                <w:sz w:val="17"/>
                <w:szCs w:val="17"/>
                <w:color w:val="auto"/>
              </w:rPr>
            </w:pPr>
          </w:p>
        </w:tc>
        <w:tc>
          <w:tcPr>
            <w:tcW w:w="28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1,056</w:t>
            </w:r>
          </w:p>
        </w:tc>
        <w:tc>
          <w:tcPr>
            <w:tcW w:w="260" w:type="dxa"/>
            <w:vAlign w:val="bottom"/>
            <w:tcBorders>
              <w:bottom w:val="single" w:sz="8" w:color="51555C"/>
            </w:tcBorders>
            <w:shd w:val="clear" w:color="auto" w:fill="EBFBFF"/>
          </w:tcPr>
          <w:p>
            <w:pPr>
              <w:spacing w:after="0"/>
              <w:rPr>
                <w:sz w:val="17"/>
                <w:szCs w:val="17"/>
                <w:color w:val="auto"/>
              </w:rPr>
            </w:pPr>
          </w:p>
        </w:tc>
        <w:tc>
          <w:tcPr>
            <w:tcW w:w="114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7"/>
                <w:szCs w:val="17"/>
                <w:color w:val="auto"/>
              </w:rPr>
            </w:pPr>
          </w:p>
        </w:tc>
      </w:tr>
      <w:tr>
        <w:trPr>
          <w:trHeight w:val="192"/>
        </w:trPr>
        <w:tc>
          <w:tcPr>
            <w:tcW w:w="5560" w:type="dxa"/>
            <w:vAlign w:val="bottom"/>
            <w:tcBorders>
              <w:bottom w:val="single" w:sz="8" w:color="EBFBFF"/>
            </w:tcBorders>
          </w:tcPr>
          <w:p>
            <w:pPr>
              <w:ind w:left="360"/>
              <w:spacing w:after="0"/>
              <w:rPr>
                <w:sz w:val="20"/>
                <w:szCs w:val="20"/>
                <w:color w:val="auto"/>
              </w:rPr>
            </w:pPr>
            <w:r>
              <w:rPr>
                <w:rFonts w:ascii="Arial" w:cs="Arial" w:eastAsia="Arial" w:hAnsi="Arial"/>
                <w:sz w:val="14"/>
                <w:szCs w:val="14"/>
                <w:color w:val="51555C"/>
              </w:rPr>
              <w:t>Subtotal</w:t>
            </w:r>
          </w:p>
        </w:tc>
        <w:tc>
          <w:tcPr>
            <w:tcW w:w="300" w:type="dxa"/>
            <w:vAlign w:val="bottom"/>
            <w:tcBorders>
              <w:bottom w:val="single" w:sz="8" w:color="51555C"/>
            </w:tcBorders>
          </w:tcPr>
          <w:p>
            <w:pPr>
              <w:spacing w:after="0"/>
              <w:rPr>
                <w:sz w:val="16"/>
                <w:szCs w:val="16"/>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34,622</w:t>
            </w:r>
          </w:p>
        </w:tc>
        <w:tc>
          <w:tcPr>
            <w:tcW w:w="240" w:type="dxa"/>
            <w:vAlign w:val="bottom"/>
            <w:tcBorders>
              <w:bottom w:val="single" w:sz="8" w:color="51555C"/>
            </w:tcBorders>
          </w:tcPr>
          <w:p>
            <w:pPr>
              <w:spacing w:after="0"/>
              <w:rPr>
                <w:sz w:val="16"/>
                <w:szCs w:val="16"/>
                <w:color w:val="auto"/>
              </w:rPr>
            </w:pPr>
          </w:p>
        </w:tc>
        <w:tc>
          <w:tcPr>
            <w:tcW w:w="116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29,426</w:t>
            </w:r>
          </w:p>
        </w:tc>
        <w:tc>
          <w:tcPr>
            <w:tcW w:w="100" w:type="dxa"/>
            <w:vAlign w:val="bottom"/>
            <w:tcBorders>
              <w:bottom w:val="single" w:sz="8" w:color="EBFBFF"/>
            </w:tcBorders>
          </w:tcPr>
          <w:p>
            <w:pPr>
              <w:spacing w:after="0"/>
              <w:rPr>
                <w:sz w:val="16"/>
                <w:szCs w:val="16"/>
                <w:color w:val="auto"/>
              </w:rPr>
            </w:pPr>
          </w:p>
        </w:tc>
        <w:tc>
          <w:tcPr>
            <w:tcW w:w="280" w:type="dxa"/>
            <w:vAlign w:val="bottom"/>
            <w:tcBorders>
              <w:bottom w:val="single" w:sz="8" w:color="51555C"/>
            </w:tcBorders>
          </w:tcPr>
          <w:p>
            <w:pPr>
              <w:spacing w:after="0"/>
              <w:rPr>
                <w:sz w:val="16"/>
                <w:szCs w:val="16"/>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99,122</w:t>
            </w:r>
          </w:p>
        </w:tc>
        <w:tc>
          <w:tcPr>
            <w:tcW w:w="260" w:type="dxa"/>
            <w:vAlign w:val="bottom"/>
            <w:tcBorders>
              <w:bottom w:val="single" w:sz="8" w:color="51555C"/>
            </w:tcBorders>
          </w:tcPr>
          <w:p>
            <w:pPr>
              <w:spacing w:after="0"/>
              <w:rPr>
                <w:sz w:val="16"/>
                <w:szCs w:val="16"/>
                <w:color w:val="auto"/>
              </w:rPr>
            </w:pPr>
          </w:p>
        </w:tc>
        <w:tc>
          <w:tcPr>
            <w:tcW w:w="114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124,138</w:t>
            </w:r>
          </w:p>
        </w:tc>
        <w:tc>
          <w:tcPr>
            <w:tcW w:w="20" w:type="dxa"/>
            <w:vAlign w:val="bottom"/>
          </w:tcPr>
          <w:p>
            <w:pPr>
              <w:spacing w:after="0"/>
              <w:rPr>
                <w:sz w:val="16"/>
                <w:szCs w:val="16"/>
                <w:color w:val="auto"/>
              </w:rPr>
            </w:pPr>
          </w:p>
        </w:tc>
      </w:tr>
      <w:tr>
        <w:trPr>
          <w:trHeight w:val="200"/>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income from operations</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94,573</w:t>
            </w:r>
          </w:p>
        </w:tc>
        <w:tc>
          <w:tcPr>
            <w:tcW w:w="24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83,999</w:t>
            </w:r>
          </w:p>
        </w:tc>
        <w:tc>
          <w:tcPr>
            <w:tcW w:w="380" w:type="dxa"/>
            <w:vAlign w:val="bottom"/>
            <w:gridSpan w:val="2"/>
            <w:shd w:val="clear" w:color="auto" w:fill="EBFBFF"/>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272,534</w:t>
            </w:r>
          </w:p>
        </w:tc>
        <w:tc>
          <w:tcPr>
            <w:tcW w:w="2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255,750</w:t>
            </w:r>
          </w:p>
        </w:tc>
        <w:tc>
          <w:tcPr>
            <w:tcW w:w="20" w:type="dxa"/>
            <w:vAlign w:val="bottom"/>
          </w:tcPr>
          <w:p>
            <w:pPr>
              <w:spacing w:after="0"/>
              <w:rPr>
                <w:sz w:val="17"/>
                <w:szCs w:val="17"/>
                <w:color w:val="auto"/>
              </w:rPr>
            </w:pPr>
          </w:p>
        </w:tc>
      </w:tr>
      <w:tr>
        <w:trPr>
          <w:trHeight w:val="230"/>
        </w:trPr>
        <w:tc>
          <w:tcPr>
            <w:tcW w:w="5560" w:type="dxa"/>
            <w:vAlign w:val="bottom"/>
            <w:tcBorders>
              <w:bottom w:val="single" w:sz="8" w:color="EBFBFF"/>
            </w:tcBorders>
          </w:tcPr>
          <w:p>
            <w:pPr>
              <w:ind w:left="140"/>
              <w:spacing w:after="0"/>
              <w:rPr>
                <w:sz w:val="20"/>
                <w:szCs w:val="20"/>
                <w:color w:val="auto"/>
              </w:rPr>
            </w:pPr>
            <w:r>
              <w:rPr>
                <w:rFonts w:ascii="Arial" w:cs="Arial" w:eastAsia="Arial" w:hAnsi="Arial"/>
                <w:sz w:val="14"/>
                <w:szCs w:val="14"/>
                <w:b w:val="1"/>
                <w:bCs w:val="1"/>
                <w:color w:val="51555C"/>
              </w:rPr>
              <w:t>Non-GAAP operating margin</w:t>
            </w:r>
          </w:p>
        </w:tc>
        <w:tc>
          <w:tcPr>
            <w:tcW w:w="300" w:type="dxa"/>
            <w:vAlign w:val="bottom"/>
            <w:tcBorders>
              <w:top w:val="single" w:sz="8" w:color="51555C"/>
              <w:bottom w:val="single" w:sz="8" w:color="EBFBFF"/>
            </w:tcBorders>
          </w:tcPr>
          <w:p>
            <w:pPr>
              <w:spacing w:after="0"/>
              <w:rPr>
                <w:sz w:val="20"/>
                <w:szCs w:val="20"/>
                <w:color w:val="auto"/>
              </w:rPr>
            </w:pPr>
          </w:p>
        </w:tc>
        <w:tc>
          <w:tcPr>
            <w:tcW w:w="1100" w:type="dxa"/>
            <w:vAlign w:val="bottom"/>
            <w:tcBorders>
              <w:top w:val="single" w:sz="8" w:color="51555C"/>
              <w:bottom w:val="single" w:sz="8" w:color="EBFBFF"/>
            </w:tcBorders>
          </w:tcPr>
          <w:p>
            <w:pPr>
              <w:jc w:val="right"/>
              <w:spacing w:after="0"/>
              <w:rPr>
                <w:sz w:val="20"/>
                <w:szCs w:val="20"/>
                <w:color w:val="auto"/>
              </w:rPr>
            </w:pPr>
            <w:r>
              <w:rPr>
                <w:rFonts w:ascii="Arial" w:cs="Arial" w:eastAsia="Arial" w:hAnsi="Arial"/>
                <w:sz w:val="14"/>
                <w:szCs w:val="14"/>
                <w:color w:val="51555C"/>
              </w:rPr>
              <w:t>32.3 %</w:t>
            </w:r>
          </w:p>
        </w:tc>
        <w:tc>
          <w:tcPr>
            <w:tcW w:w="240" w:type="dxa"/>
            <w:vAlign w:val="bottom"/>
            <w:tcBorders>
              <w:top w:val="single" w:sz="8" w:color="51555C"/>
              <w:bottom w:val="single" w:sz="8" w:color="EBFBFF"/>
            </w:tcBorders>
          </w:tcPr>
          <w:p>
            <w:pPr>
              <w:spacing w:after="0"/>
              <w:rPr>
                <w:sz w:val="20"/>
                <w:szCs w:val="20"/>
                <w:color w:val="auto"/>
              </w:rPr>
            </w:pPr>
          </w:p>
        </w:tc>
        <w:tc>
          <w:tcPr>
            <w:tcW w:w="1160" w:type="dxa"/>
            <w:vAlign w:val="bottom"/>
            <w:tcBorders>
              <w:top w:val="single" w:sz="8" w:color="51555C"/>
              <w:bottom w:val="single" w:sz="8" w:color="EBFBFF"/>
            </w:tcBorders>
          </w:tcPr>
          <w:p>
            <w:pPr>
              <w:jc w:val="right"/>
              <w:spacing w:after="0"/>
              <w:rPr>
                <w:sz w:val="20"/>
                <w:szCs w:val="20"/>
                <w:color w:val="auto"/>
              </w:rPr>
            </w:pPr>
            <w:r>
              <w:rPr>
                <w:rFonts w:ascii="Arial" w:cs="Arial" w:eastAsia="Arial" w:hAnsi="Arial"/>
                <w:sz w:val="14"/>
                <w:szCs w:val="14"/>
                <w:color w:val="51555C"/>
              </w:rPr>
              <w:t>29.9 %</w:t>
            </w:r>
          </w:p>
        </w:tc>
        <w:tc>
          <w:tcPr>
            <w:tcW w:w="100" w:type="dxa"/>
            <w:vAlign w:val="bottom"/>
            <w:tcBorders>
              <w:bottom w:val="single" w:sz="8" w:color="EBFBFF"/>
            </w:tcBorders>
          </w:tcPr>
          <w:p>
            <w:pPr>
              <w:spacing w:after="0"/>
              <w:rPr>
                <w:sz w:val="20"/>
                <w:szCs w:val="20"/>
                <w:color w:val="auto"/>
              </w:rPr>
            </w:pPr>
          </w:p>
        </w:tc>
        <w:tc>
          <w:tcPr>
            <w:tcW w:w="280" w:type="dxa"/>
            <w:vAlign w:val="bottom"/>
            <w:tcBorders>
              <w:top w:val="single" w:sz="8" w:color="51555C"/>
              <w:bottom w:val="single" w:sz="8" w:color="EBFBFF"/>
            </w:tcBorders>
          </w:tcPr>
          <w:p>
            <w:pPr>
              <w:spacing w:after="0"/>
              <w:rPr>
                <w:sz w:val="20"/>
                <w:szCs w:val="20"/>
                <w:color w:val="auto"/>
              </w:rPr>
            </w:pPr>
          </w:p>
        </w:tc>
        <w:tc>
          <w:tcPr>
            <w:tcW w:w="1100" w:type="dxa"/>
            <w:vAlign w:val="bottom"/>
            <w:tcBorders>
              <w:top w:val="single" w:sz="8" w:color="51555C"/>
              <w:bottom w:val="single" w:sz="8" w:color="EBFBFF"/>
            </w:tcBorders>
          </w:tcPr>
          <w:p>
            <w:pPr>
              <w:jc w:val="right"/>
              <w:spacing w:after="0"/>
              <w:rPr>
                <w:sz w:val="20"/>
                <w:szCs w:val="20"/>
                <w:color w:val="auto"/>
              </w:rPr>
            </w:pPr>
            <w:r>
              <w:rPr>
                <w:rFonts w:ascii="Arial" w:cs="Arial" w:eastAsia="Arial" w:hAnsi="Arial"/>
                <w:sz w:val="14"/>
                <w:szCs w:val="14"/>
                <w:color w:val="51555C"/>
              </w:rPr>
              <w:t>31.5 %</w:t>
            </w:r>
          </w:p>
        </w:tc>
        <w:tc>
          <w:tcPr>
            <w:tcW w:w="260" w:type="dxa"/>
            <w:vAlign w:val="bottom"/>
            <w:tcBorders>
              <w:top w:val="single" w:sz="8" w:color="51555C"/>
              <w:bottom w:val="single" w:sz="8" w:color="EBFBFF"/>
            </w:tcBorders>
          </w:tcPr>
          <w:p>
            <w:pPr>
              <w:spacing w:after="0"/>
              <w:rPr>
                <w:sz w:val="20"/>
                <w:szCs w:val="20"/>
                <w:color w:val="auto"/>
              </w:rPr>
            </w:pPr>
          </w:p>
        </w:tc>
        <w:tc>
          <w:tcPr>
            <w:tcW w:w="1140" w:type="dxa"/>
            <w:vAlign w:val="bottom"/>
            <w:tcBorders>
              <w:top w:val="single" w:sz="8" w:color="51555C"/>
              <w:bottom w:val="single" w:sz="8" w:color="EBFBFF"/>
            </w:tcBorders>
          </w:tcPr>
          <w:p>
            <w:pPr>
              <w:jc w:val="right"/>
              <w:spacing w:after="0"/>
              <w:rPr>
                <w:sz w:val="20"/>
                <w:szCs w:val="20"/>
                <w:color w:val="auto"/>
              </w:rPr>
            </w:pPr>
            <w:r>
              <w:rPr>
                <w:rFonts w:ascii="Arial" w:cs="Arial" w:eastAsia="Arial" w:hAnsi="Arial"/>
                <w:sz w:val="14"/>
                <w:szCs w:val="14"/>
                <w:color w:val="51555C"/>
              </w:rPr>
              <w:t>30.7 %</w:t>
            </w:r>
          </w:p>
        </w:tc>
        <w:tc>
          <w:tcPr>
            <w:tcW w:w="20" w:type="dxa"/>
            <w:vAlign w:val="bottom"/>
          </w:tcPr>
          <w:p>
            <w:pPr>
              <w:spacing w:after="0"/>
              <w:rPr>
                <w:sz w:val="20"/>
                <w:szCs w:val="20"/>
                <w:color w:val="auto"/>
              </w:rPr>
            </w:pPr>
          </w:p>
        </w:tc>
      </w:tr>
      <w:tr>
        <w:trPr>
          <w:trHeight w:val="202"/>
        </w:trPr>
        <w:tc>
          <w:tcPr>
            <w:tcW w:w="5560" w:type="dxa"/>
            <w:vAlign w:val="bottom"/>
          </w:tcPr>
          <w:p>
            <w:pPr>
              <w:ind w:left="20"/>
              <w:spacing w:after="0"/>
              <w:rPr>
                <w:sz w:val="20"/>
                <w:szCs w:val="20"/>
                <w:color w:val="auto"/>
              </w:rPr>
            </w:pPr>
            <w:r>
              <w:rPr>
                <w:rFonts w:ascii="Arial" w:cs="Arial" w:eastAsia="Arial" w:hAnsi="Arial"/>
                <w:sz w:val="14"/>
                <w:szCs w:val="14"/>
                <w:b w:val="1"/>
                <w:bCs w:val="1"/>
                <w:color w:val="51555C"/>
              </w:rPr>
              <w:t>GAAP income before provision (benefit) for income taxes</w:t>
            </w:r>
          </w:p>
        </w:tc>
        <w:tc>
          <w:tcPr>
            <w:tcW w:w="30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46,439</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51555C"/>
              </w:rPr>
              <w:t>41,044</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51555C"/>
              </w:rPr>
              <w:t>130,665</w:t>
            </w:r>
          </w:p>
        </w:tc>
        <w:tc>
          <w:tcPr>
            <w:tcW w:w="260" w:type="dxa"/>
            <w:vAlign w:val="bottom"/>
          </w:tcPr>
          <w:p>
            <w:pPr>
              <w:ind w:left="20"/>
              <w:spacing w:after="0"/>
              <w:rPr>
                <w:sz w:val="20"/>
                <w:szCs w:val="20"/>
                <w:color w:val="auto"/>
              </w:rPr>
            </w:pPr>
            <w:r>
              <w:rPr>
                <w:rFonts w:ascii="Arial" w:cs="Arial" w:eastAsia="Arial" w:hAnsi="Arial"/>
                <w:sz w:val="14"/>
                <w:szCs w:val="14"/>
                <w:color w:val="51555C"/>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51555C"/>
              </w:rPr>
              <w:t>85,950</w:t>
            </w:r>
          </w:p>
        </w:tc>
        <w:tc>
          <w:tcPr>
            <w:tcW w:w="20" w:type="dxa"/>
            <w:vAlign w:val="bottom"/>
          </w:tcPr>
          <w:p>
            <w:pPr>
              <w:spacing w:after="0"/>
              <w:rPr>
                <w:sz w:val="17"/>
                <w:szCs w:val="17"/>
                <w:color w:val="auto"/>
              </w:rPr>
            </w:pPr>
          </w:p>
        </w:tc>
      </w:tr>
      <w:tr>
        <w:trPr>
          <w:trHeight w:val="203"/>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net income</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46,068</w:t>
            </w:r>
          </w:p>
        </w:tc>
        <w:tc>
          <w:tcPr>
            <w:tcW w:w="24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47,492</w:t>
            </w:r>
          </w:p>
        </w:tc>
        <w:tc>
          <w:tcPr>
            <w:tcW w:w="380" w:type="dxa"/>
            <w:vAlign w:val="bottom"/>
            <w:gridSpan w:val="2"/>
            <w:shd w:val="clear" w:color="auto" w:fill="EBFBFF"/>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112,565</w:t>
            </w:r>
          </w:p>
        </w:tc>
        <w:tc>
          <w:tcPr>
            <w:tcW w:w="2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78,281</w:t>
            </w:r>
          </w:p>
        </w:tc>
        <w:tc>
          <w:tcPr>
            <w:tcW w:w="20" w:type="dxa"/>
            <w:vAlign w:val="bottom"/>
          </w:tcPr>
          <w:p>
            <w:pPr>
              <w:spacing w:after="0"/>
              <w:rPr>
                <w:sz w:val="17"/>
                <w:szCs w:val="17"/>
                <w:color w:val="auto"/>
              </w:rPr>
            </w:pPr>
          </w:p>
        </w:tc>
      </w:tr>
      <w:tr>
        <w:trPr>
          <w:trHeight w:val="54"/>
        </w:trPr>
        <w:tc>
          <w:tcPr>
            <w:tcW w:w="5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Shares used in computing GAAP diluted earnings per share</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44,961,588</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48,498,285</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45,245,216</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48,634,027</w:t>
            </w:r>
          </w:p>
        </w:tc>
        <w:tc>
          <w:tcPr>
            <w:tcW w:w="20" w:type="dxa"/>
            <w:vAlign w:val="bottom"/>
          </w:tcPr>
          <w:p>
            <w:pPr>
              <w:spacing w:after="0"/>
              <w:rPr>
                <w:sz w:val="17"/>
                <w:szCs w:val="17"/>
                <w:color w:val="auto"/>
              </w:rPr>
            </w:pPr>
          </w:p>
        </w:tc>
      </w:tr>
      <w:tr>
        <w:trPr>
          <w:trHeight w:val="237"/>
        </w:trPr>
        <w:tc>
          <w:tcPr>
            <w:tcW w:w="5560" w:type="dxa"/>
            <w:vAlign w:val="bottom"/>
            <w:tcBorders>
              <w:bottom w:val="single" w:sz="8" w:color="EBFBFF"/>
            </w:tcBorders>
          </w:tcPr>
          <w:p>
            <w:pPr>
              <w:ind w:left="140"/>
              <w:spacing w:after="0"/>
              <w:rPr>
                <w:sz w:val="20"/>
                <w:szCs w:val="20"/>
                <w:color w:val="auto"/>
              </w:rPr>
            </w:pPr>
            <w:r>
              <w:rPr>
                <w:rFonts w:ascii="Arial" w:cs="Arial" w:eastAsia="Arial" w:hAnsi="Arial"/>
                <w:sz w:val="14"/>
                <w:szCs w:val="14"/>
                <w:b w:val="1"/>
                <w:bCs w:val="1"/>
                <w:color w:val="51555C"/>
              </w:rPr>
              <w:t>GAAP diluted earnings per share</w:t>
            </w:r>
          </w:p>
        </w:tc>
        <w:tc>
          <w:tcPr>
            <w:tcW w:w="300" w:type="dxa"/>
            <w:vAlign w:val="bottom"/>
            <w:tcBorders>
              <w:bottom w:val="single" w:sz="8" w:color="EBFBFF"/>
            </w:tcBorders>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EBFBFF"/>
            </w:tcBorders>
          </w:tcPr>
          <w:p>
            <w:pPr>
              <w:jc w:val="right"/>
              <w:ind w:right="108"/>
              <w:spacing w:after="0"/>
              <w:rPr>
                <w:sz w:val="20"/>
                <w:szCs w:val="20"/>
                <w:color w:val="auto"/>
              </w:rPr>
            </w:pPr>
            <w:r>
              <w:rPr>
                <w:rFonts w:ascii="Arial" w:cs="Arial" w:eastAsia="Arial" w:hAnsi="Arial"/>
                <w:sz w:val="14"/>
                <w:szCs w:val="14"/>
                <w:color w:val="51555C"/>
              </w:rPr>
              <w:t>1.02</w:t>
            </w:r>
          </w:p>
        </w:tc>
        <w:tc>
          <w:tcPr>
            <w:tcW w:w="240" w:type="dxa"/>
            <w:vAlign w:val="bottom"/>
            <w:tcBorders>
              <w:bottom w:val="single" w:sz="8" w:color="EBFBFF"/>
            </w:tcBorders>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tcBorders>
              <w:bottom w:val="single" w:sz="8" w:color="EBFBFF"/>
            </w:tcBorders>
          </w:tcPr>
          <w:p>
            <w:pPr>
              <w:jc w:val="right"/>
              <w:ind w:right="128"/>
              <w:spacing w:after="0"/>
              <w:rPr>
                <w:sz w:val="20"/>
                <w:szCs w:val="20"/>
                <w:color w:val="auto"/>
              </w:rPr>
            </w:pPr>
            <w:r>
              <w:rPr>
                <w:rFonts w:ascii="Arial" w:cs="Arial" w:eastAsia="Arial" w:hAnsi="Arial"/>
                <w:sz w:val="14"/>
                <w:szCs w:val="14"/>
                <w:color w:val="51555C"/>
              </w:rPr>
              <w:t>0.98</w:t>
            </w:r>
          </w:p>
        </w:tc>
        <w:tc>
          <w:tcPr>
            <w:tcW w:w="380" w:type="dxa"/>
            <w:vAlign w:val="bottom"/>
            <w:tcBorders>
              <w:bottom w:val="single" w:sz="8" w:color="EBFBFF"/>
            </w:tcBorders>
            <w:gridSpan w:val="2"/>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EBFBFF"/>
            </w:tcBorders>
          </w:tcPr>
          <w:p>
            <w:pPr>
              <w:jc w:val="right"/>
              <w:ind w:right="108"/>
              <w:spacing w:after="0"/>
              <w:rPr>
                <w:sz w:val="20"/>
                <w:szCs w:val="20"/>
                <w:color w:val="auto"/>
              </w:rPr>
            </w:pPr>
            <w:r>
              <w:rPr>
                <w:rFonts w:ascii="Arial" w:cs="Arial" w:eastAsia="Arial" w:hAnsi="Arial"/>
                <w:sz w:val="14"/>
                <w:szCs w:val="14"/>
                <w:color w:val="51555C"/>
              </w:rPr>
              <w:t>2.49</w:t>
            </w:r>
          </w:p>
        </w:tc>
        <w:tc>
          <w:tcPr>
            <w:tcW w:w="26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w:t>
            </w:r>
          </w:p>
        </w:tc>
        <w:tc>
          <w:tcPr>
            <w:tcW w:w="1140" w:type="dxa"/>
            <w:vAlign w:val="bottom"/>
            <w:tcBorders>
              <w:bottom w:val="single" w:sz="8" w:color="EBFBFF"/>
            </w:tcBorders>
          </w:tcPr>
          <w:p>
            <w:pPr>
              <w:jc w:val="right"/>
              <w:ind w:right="108"/>
              <w:spacing w:after="0"/>
              <w:rPr>
                <w:sz w:val="20"/>
                <w:szCs w:val="20"/>
                <w:color w:val="auto"/>
              </w:rPr>
            </w:pPr>
            <w:r>
              <w:rPr>
                <w:rFonts w:ascii="Arial" w:cs="Arial" w:eastAsia="Arial" w:hAnsi="Arial"/>
                <w:sz w:val="14"/>
                <w:szCs w:val="14"/>
                <w:color w:val="51555C"/>
              </w:rPr>
              <w:t>1.61</w:t>
            </w:r>
          </w:p>
        </w:tc>
        <w:tc>
          <w:tcPr>
            <w:tcW w:w="20" w:type="dxa"/>
            <w:vAlign w:val="bottom"/>
          </w:tcPr>
          <w:p>
            <w:pPr>
              <w:spacing w:after="0"/>
              <w:rPr>
                <w:sz w:val="20"/>
                <w:szCs w:val="20"/>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55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GAAP income tax provision (benefit)</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371</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(6,448)</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18,100</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7,669</w:t>
            </w:r>
          </w:p>
        </w:tc>
        <w:tc>
          <w:tcPr>
            <w:tcW w:w="20" w:type="dxa"/>
            <w:vAlign w:val="bottom"/>
          </w:tcPr>
          <w:p>
            <w:pPr>
              <w:spacing w:after="0"/>
              <w:rPr>
                <w:sz w:val="17"/>
                <w:szCs w:val="17"/>
                <w:color w:val="auto"/>
              </w:rPr>
            </w:pPr>
          </w:p>
        </w:tc>
      </w:tr>
      <w:tr>
        <w:trPr>
          <w:trHeight w:val="198"/>
        </w:trPr>
        <w:tc>
          <w:tcPr>
            <w:tcW w:w="556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Add: Total non-GAAP adjustments affecting income from operations</w:t>
            </w:r>
          </w:p>
        </w:tc>
        <w:tc>
          <w:tcPr>
            <w:tcW w:w="30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34,622</w:t>
            </w:r>
          </w:p>
        </w:tc>
        <w:tc>
          <w:tcPr>
            <w:tcW w:w="240" w:type="dxa"/>
            <w:vAlign w:val="bottom"/>
            <w:tcBorders>
              <w:bottom w:val="single" w:sz="8" w:color="51555C"/>
            </w:tcBorders>
          </w:tcPr>
          <w:p>
            <w:pPr>
              <w:spacing w:after="0"/>
              <w:rPr>
                <w:sz w:val="17"/>
                <w:szCs w:val="17"/>
                <w:color w:val="auto"/>
              </w:rPr>
            </w:pPr>
          </w:p>
        </w:tc>
        <w:tc>
          <w:tcPr>
            <w:tcW w:w="116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29,426</w:t>
            </w:r>
          </w:p>
        </w:tc>
        <w:tc>
          <w:tcPr>
            <w:tcW w:w="100" w:type="dxa"/>
            <w:vAlign w:val="bottom"/>
            <w:tcBorders>
              <w:bottom w:val="single" w:sz="8" w:color="EBFBFF"/>
            </w:tcBorders>
          </w:tcPr>
          <w:p>
            <w:pPr>
              <w:spacing w:after="0"/>
              <w:rPr>
                <w:sz w:val="17"/>
                <w:szCs w:val="17"/>
                <w:color w:val="auto"/>
              </w:rPr>
            </w:pPr>
          </w:p>
        </w:tc>
        <w:tc>
          <w:tcPr>
            <w:tcW w:w="28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99,122</w:t>
            </w:r>
          </w:p>
        </w:tc>
        <w:tc>
          <w:tcPr>
            <w:tcW w:w="260" w:type="dxa"/>
            <w:vAlign w:val="bottom"/>
            <w:tcBorders>
              <w:bottom w:val="single" w:sz="8" w:color="51555C"/>
            </w:tcBorders>
          </w:tcPr>
          <w:p>
            <w:pPr>
              <w:spacing w:after="0"/>
              <w:rPr>
                <w:sz w:val="17"/>
                <w:szCs w:val="17"/>
                <w:color w:val="auto"/>
              </w:rPr>
            </w:pPr>
          </w:p>
        </w:tc>
        <w:tc>
          <w:tcPr>
            <w:tcW w:w="114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124,138</w:t>
            </w:r>
          </w:p>
        </w:tc>
        <w:tc>
          <w:tcPr>
            <w:tcW w:w="20" w:type="dxa"/>
            <w:vAlign w:val="bottom"/>
          </w:tcPr>
          <w:p>
            <w:pPr>
              <w:spacing w:after="0"/>
              <w:rPr>
                <w:sz w:val="17"/>
                <w:szCs w:val="17"/>
                <w:color w:val="auto"/>
              </w:rPr>
            </w:pPr>
          </w:p>
        </w:tc>
      </w:tr>
      <w:tr>
        <w:trPr>
          <w:trHeight w:val="200"/>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income before provision for income taxes</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81,061</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70,470</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229,787</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210,088</w:t>
            </w:r>
          </w:p>
        </w:tc>
        <w:tc>
          <w:tcPr>
            <w:tcW w:w="20" w:type="dxa"/>
            <w:vAlign w:val="bottom"/>
          </w:tcPr>
          <w:p>
            <w:pPr>
              <w:spacing w:after="0"/>
              <w:rPr>
                <w:sz w:val="17"/>
                <w:szCs w:val="17"/>
                <w:color w:val="auto"/>
              </w:rPr>
            </w:pPr>
          </w:p>
        </w:tc>
      </w:tr>
      <w:tr>
        <w:trPr>
          <w:trHeight w:val="203"/>
        </w:trPr>
        <w:tc>
          <w:tcPr>
            <w:tcW w:w="5560" w:type="dxa"/>
            <w:vAlign w:val="bottom"/>
            <w:tcBorders>
              <w:bottom w:val="single" w:sz="8" w:color="EBFBFF"/>
            </w:tcBorders>
          </w:tcPr>
          <w:p>
            <w:pPr>
              <w:ind w:left="140"/>
              <w:spacing w:after="0" w:line="202" w:lineRule="exact"/>
              <w:rPr>
                <w:sz w:val="20"/>
                <w:szCs w:val="20"/>
                <w:color w:val="auto"/>
              </w:rPr>
            </w:pPr>
            <w:r>
              <w:rPr>
                <w:rFonts w:ascii="Arial" w:cs="Arial" w:eastAsia="Arial" w:hAnsi="Arial"/>
                <w:sz w:val="14"/>
                <w:szCs w:val="14"/>
                <w:color w:val="51555C"/>
              </w:rPr>
              <w:t>Assumed non-GAAP income tax provision</w:t>
            </w:r>
            <w:r>
              <w:rPr>
                <w:rFonts w:ascii="Arial" w:cs="Arial" w:eastAsia="Arial" w:hAnsi="Arial"/>
                <w:sz w:val="18"/>
                <w:szCs w:val="18"/>
                <w:color w:val="51555C"/>
                <w:vertAlign w:val="superscript"/>
              </w:rPr>
              <w:t>(3)</w:t>
            </w:r>
          </w:p>
        </w:tc>
        <w:tc>
          <w:tcPr>
            <w:tcW w:w="30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19,860</w:t>
            </w:r>
          </w:p>
        </w:tc>
        <w:tc>
          <w:tcPr>
            <w:tcW w:w="240" w:type="dxa"/>
            <w:vAlign w:val="bottom"/>
            <w:tcBorders>
              <w:bottom w:val="single" w:sz="8" w:color="51555C"/>
            </w:tcBorders>
          </w:tcPr>
          <w:p>
            <w:pPr>
              <w:spacing w:after="0"/>
              <w:rPr>
                <w:sz w:val="17"/>
                <w:szCs w:val="17"/>
                <w:color w:val="auto"/>
              </w:rPr>
            </w:pPr>
          </w:p>
        </w:tc>
        <w:tc>
          <w:tcPr>
            <w:tcW w:w="116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17,265</w:t>
            </w:r>
          </w:p>
        </w:tc>
        <w:tc>
          <w:tcPr>
            <w:tcW w:w="100" w:type="dxa"/>
            <w:vAlign w:val="bottom"/>
            <w:tcBorders>
              <w:bottom w:val="single" w:sz="8" w:color="EBFBFF"/>
            </w:tcBorders>
          </w:tcPr>
          <w:p>
            <w:pPr>
              <w:spacing w:after="0"/>
              <w:rPr>
                <w:sz w:val="17"/>
                <w:szCs w:val="17"/>
                <w:color w:val="auto"/>
              </w:rPr>
            </w:pPr>
          </w:p>
        </w:tc>
        <w:tc>
          <w:tcPr>
            <w:tcW w:w="28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56,298</w:t>
            </w:r>
          </w:p>
        </w:tc>
        <w:tc>
          <w:tcPr>
            <w:tcW w:w="260" w:type="dxa"/>
            <w:vAlign w:val="bottom"/>
            <w:tcBorders>
              <w:bottom w:val="single" w:sz="8" w:color="51555C"/>
            </w:tcBorders>
          </w:tcPr>
          <w:p>
            <w:pPr>
              <w:spacing w:after="0"/>
              <w:rPr>
                <w:sz w:val="17"/>
                <w:szCs w:val="17"/>
                <w:color w:val="auto"/>
              </w:rPr>
            </w:pPr>
          </w:p>
        </w:tc>
        <w:tc>
          <w:tcPr>
            <w:tcW w:w="114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51,472</w:t>
            </w:r>
          </w:p>
        </w:tc>
        <w:tc>
          <w:tcPr>
            <w:tcW w:w="20" w:type="dxa"/>
            <w:vAlign w:val="bottom"/>
          </w:tcPr>
          <w:p>
            <w:pPr>
              <w:spacing w:after="0"/>
              <w:rPr>
                <w:sz w:val="17"/>
                <w:szCs w:val="17"/>
                <w:color w:val="auto"/>
              </w:rPr>
            </w:pPr>
          </w:p>
        </w:tc>
      </w:tr>
      <w:tr>
        <w:trPr>
          <w:trHeight w:val="196"/>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net income</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61,201</w:t>
            </w:r>
          </w:p>
        </w:tc>
        <w:tc>
          <w:tcPr>
            <w:tcW w:w="24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53,205</w:t>
            </w:r>
          </w:p>
        </w:tc>
        <w:tc>
          <w:tcPr>
            <w:tcW w:w="380" w:type="dxa"/>
            <w:vAlign w:val="bottom"/>
            <w:gridSpan w:val="2"/>
            <w:shd w:val="clear" w:color="auto" w:fill="EBFBFF"/>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173,489</w:t>
            </w:r>
          </w:p>
        </w:tc>
        <w:tc>
          <w:tcPr>
            <w:tcW w:w="2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158,616</w:t>
            </w:r>
          </w:p>
        </w:tc>
        <w:tc>
          <w:tcPr>
            <w:tcW w:w="20" w:type="dxa"/>
            <w:vAlign w:val="bottom"/>
          </w:tcPr>
          <w:p>
            <w:pPr>
              <w:spacing w:after="0"/>
              <w:rPr>
                <w:sz w:val="17"/>
                <w:szCs w:val="17"/>
                <w:color w:val="auto"/>
              </w:rPr>
            </w:pPr>
          </w:p>
        </w:tc>
      </w:tr>
      <w:tr>
        <w:trPr>
          <w:trHeight w:val="34"/>
        </w:trPr>
        <w:tc>
          <w:tcPr>
            <w:tcW w:w="5560" w:type="dxa"/>
            <w:vAlign w:val="bottom"/>
          </w:tcPr>
          <w:p>
            <w:pPr>
              <w:spacing w:after="0"/>
              <w:rPr>
                <w:sz w:val="2"/>
                <w:szCs w:val="2"/>
                <w:color w:val="auto"/>
              </w:rPr>
            </w:pPr>
          </w:p>
        </w:tc>
        <w:tc>
          <w:tcPr>
            <w:tcW w:w="300" w:type="dxa"/>
            <w:vAlign w:val="bottom"/>
            <w:tcBorders>
              <w:top w:val="single" w:sz="8" w:color="51555C"/>
            </w:tcBorders>
          </w:tcPr>
          <w:p>
            <w:pPr>
              <w:spacing w:after="0"/>
              <w:rPr>
                <w:sz w:val="2"/>
                <w:szCs w:val="2"/>
                <w:color w:val="auto"/>
              </w:rPr>
            </w:pPr>
          </w:p>
        </w:tc>
        <w:tc>
          <w:tcPr>
            <w:tcW w:w="1100" w:type="dxa"/>
            <w:vAlign w:val="bottom"/>
            <w:tcBorders>
              <w:top w:val="single" w:sz="8" w:color="51555C"/>
            </w:tcBorders>
          </w:tcPr>
          <w:p>
            <w:pPr>
              <w:spacing w:after="0"/>
              <w:rPr>
                <w:sz w:val="2"/>
                <w:szCs w:val="2"/>
                <w:color w:val="auto"/>
              </w:rPr>
            </w:pPr>
          </w:p>
        </w:tc>
        <w:tc>
          <w:tcPr>
            <w:tcW w:w="240" w:type="dxa"/>
            <w:vAlign w:val="bottom"/>
            <w:tcBorders>
              <w:top w:val="single" w:sz="8" w:color="51555C"/>
            </w:tcBorders>
          </w:tcPr>
          <w:p>
            <w:pPr>
              <w:spacing w:after="0"/>
              <w:rPr>
                <w:sz w:val="2"/>
                <w:szCs w:val="2"/>
                <w:color w:val="auto"/>
              </w:rPr>
            </w:pPr>
          </w:p>
        </w:tc>
        <w:tc>
          <w:tcPr>
            <w:tcW w:w="1160" w:type="dxa"/>
            <w:vAlign w:val="bottom"/>
            <w:tcBorders>
              <w:top w:val="single" w:sz="8" w:color="51555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51555C"/>
            </w:tcBorders>
          </w:tcPr>
          <w:p>
            <w:pPr>
              <w:spacing w:after="0"/>
              <w:rPr>
                <w:sz w:val="2"/>
                <w:szCs w:val="2"/>
                <w:color w:val="auto"/>
              </w:rPr>
            </w:pPr>
          </w:p>
        </w:tc>
        <w:tc>
          <w:tcPr>
            <w:tcW w:w="1100" w:type="dxa"/>
            <w:vAlign w:val="bottom"/>
            <w:tcBorders>
              <w:top w:val="single" w:sz="8" w:color="51555C"/>
            </w:tcBorders>
          </w:tcPr>
          <w:p>
            <w:pPr>
              <w:spacing w:after="0"/>
              <w:rPr>
                <w:sz w:val="2"/>
                <w:szCs w:val="2"/>
                <w:color w:val="auto"/>
              </w:rPr>
            </w:pPr>
          </w:p>
        </w:tc>
        <w:tc>
          <w:tcPr>
            <w:tcW w:w="260" w:type="dxa"/>
            <w:vAlign w:val="bottom"/>
            <w:tcBorders>
              <w:top w:val="single" w:sz="8" w:color="51555C"/>
            </w:tcBorders>
          </w:tcPr>
          <w:p>
            <w:pPr>
              <w:spacing w:after="0"/>
              <w:rPr>
                <w:sz w:val="2"/>
                <w:szCs w:val="2"/>
                <w:color w:val="auto"/>
              </w:rPr>
            </w:pPr>
          </w:p>
        </w:tc>
        <w:tc>
          <w:tcPr>
            <w:tcW w:w="1140" w:type="dxa"/>
            <w:vAlign w:val="bottom"/>
            <w:tcBorders>
              <w:top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5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Shares used in computing non-GAAP diluted earnings per share</w:t>
            </w:r>
          </w:p>
        </w:tc>
        <w:tc>
          <w:tcPr>
            <w:tcW w:w="30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44,961,588</w:t>
            </w:r>
          </w:p>
        </w:tc>
        <w:tc>
          <w:tcPr>
            <w:tcW w:w="240" w:type="dxa"/>
            <w:vAlign w:val="bottom"/>
            <w:shd w:val="clear" w:color="auto" w:fill="EBFBFF"/>
          </w:tcPr>
          <w:p>
            <w:pPr>
              <w:spacing w:after="0"/>
              <w:rPr>
                <w:sz w:val="17"/>
                <w:szCs w:val="17"/>
                <w:color w:val="auto"/>
              </w:rPr>
            </w:pPr>
          </w:p>
        </w:tc>
        <w:tc>
          <w:tcPr>
            <w:tcW w:w="116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48,498,285</w:t>
            </w:r>
          </w:p>
        </w:tc>
        <w:tc>
          <w:tcPr>
            <w:tcW w:w="1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1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45,245,216</w:t>
            </w:r>
          </w:p>
        </w:tc>
        <w:tc>
          <w:tcPr>
            <w:tcW w:w="260" w:type="dxa"/>
            <w:vAlign w:val="bottom"/>
            <w:shd w:val="clear" w:color="auto" w:fill="EBFBFF"/>
          </w:tcPr>
          <w:p>
            <w:pPr>
              <w:spacing w:after="0"/>
              <w:rPr>
                <w:sz w:val="17"/>
                <w:szCs w:val="17"/>
                <w:color w:val="auto"/>
              </w:rPr>
            </w:pP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48,634,027</w:t>
            </w:r>
          </w:p>
        </w:tc>
        <w:tc>
          <w:tcPr>
            <w:tcW w:w="20" w:type="dxa"/>
            <w:vAlign w:val="bottom"/>
          </w:tcPr>
          <w:p>
            <w:pPr>
              <w:spacing w:after="0"/>
              <w:rPr>
                <w:sz w:val="17"/>
                <w:szCs w:val="17"/>
                <w:color w:val="auto"/>
              </w:rPr>
            </w:pPr>
          </w:p>
        </w:tc>
      </w:tr>
      <w:tr>
        <w:trPr>
          <w:trHeight w:val="201"/>
        </w:trPr>
        <w:tc>
          <w:tcPr>
            <w:tcW w:w="5560" w:type="dxa"/>
            <w:vAlign w:val="bottom"/>
            <w:tcBorders>
              <w:bottom w:val="single" w:sz="8" w:color="0CD973"/>
            </w:tcBorders>
          </w:tcPr>
          <w:p>
            <w:pPr>
              <w:ind w:left="140"/>
              <w:spacing w:after="0"/>
              <w:rPr>
                <w:sz w:val="20"/>
                <w:szCs w:val="20"/>
                <w:color w:val="auto"/>
              </w:rPr>
            </w:pPr>
            <w:r>
              <w:rPr>
                <w:rFonts w:ascii="Arial" w:cs="Arial" w:eastAsia="Arial" w:hAnsi="Arial"/>
                <w:sz w:val="14"/>
                <w:szCs w:val="14"/>
                <w:b w:val="1"/>
                <w:bCs w:val="1"/>
                <w:color w:val="51555C"/>
              </w:rPr>
              <w:t>Non-GAAP diluted earnings per share</w:t>
            </w:r>
          </w:p>
        </w:tc>
        <w:tc>
          <w:tcPr>
            <w:tcW w:w="300" w:type="dxa"/>
            <w:vAlign w:val="bottom"/>
            <w:tcBorders>
              <w:bottom w:val="single" w:sz="8" w:color="0CD973"/>
            </w:tcBorders>
          </w:tcPr>
          <w:p>
            <w:pPr>
              <w:jc w:val="right"/>
              <w:ind w:right="128"/>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0CD973"/>
            </w:tcBorders>
          </w:tcPr>
          <w:p>
            <w:pPr>
              <w:jc w:val="right"/>
              <w:ind w:right="108"/>
              <w:spacing w:after="0"/>
              <w:rPr>
                <w:sz w:val="20"/>
                <w:szCs w:val="20"/>
                <w:color w:val="auto"/>
              </w:rPr>
            </w:pPr>
            <w:r>
              <w:rPr>
                <w:rFonts w:ascii="Arial" w:cs="Arial" w:eastAsia="Arial" w:hAnsi="Arial"/>
                <w:sz w:val="14"/>
                <w:szCs w:val="14"/>
                <w:color w:val="51555C"/>
              </w:rPr>
              <w:t>1.36</w:t>
            </w:r>
          </w:p>
        </w:tc>
        <w:tc>
          <w:tcPr>
            <w:tcW w:w="240" w:type="dxa"/>
            <w:vAlign w:val="bottom"/>
            <w:tcBorders>
              <w:bottom w:val="single" w:sz="8" w:color="0CD973"/>
            </w:tcBorders>
          </w:tcPr>
          <w:p>
            <w:pPr>
              <w:jc w:val="right"/>
              <w:ind w:right="68"/>
              <w:spacing w:after="0"/>
              <w:rPr>
                <w:sz w:val="20"/>
                <w:szCs w:val="20"/>
                <w:color w:val="auto"/>
              </w:rPr>
            </w:pPr>
            <w:r>
              <w:rPr>
                <w:rFonts w:ascii="Arial" w:cs="Arial" w:eastAsia="Arial" w:hAnsi="Arial"/>
                <w:sz w:val="14"/>
                <w:szCs w:val="14"/>
                <w:color w:val="51555C"/>
              </w:rPr>
              <w:t>$</w:t>
            </w:r>
          </w:p>
        </w:tc>
        <w:tc>
          <w:tcPr>
            <w:tcW w:w="1160" w:type="dxa"/>
            <w:vAlign w:val="bottom"/>
            <w:tcBorders>
              <w:bottom w:val="single" w:sz="8" w:color="0CD973"/>
            </w:tcBorders>
          </w:tcPr>
          <w:p>
            <w:pPr>
              <w:jc w:val="right"/>
              <w:ind w:right="128"/>
              <w:spacing w:after="0"/>
              <w:rPr>
                <w:sz w:val="20"/>
                <w:szCs w:val="20"/>
                <w:color w:val="auto"/>
              </w:rPr>
            </w:pPr>
            <w:r>
              <w:rPr>
                <w:rFonts w:ascii="Arial" w:cs="Arial" w:eastAsia="Arial" w:hAnsi="Arial"/>
                <w:sz w:val="14"/>
                <w:szCs w:val="14"/>
                <w:color w:val="51555C"/>
              </w:rPr>
              <w:t>1.10</w:t>
            </w:r>
          </w:p>
        </w:tc>
        <w:tc>
          <w:tcPr>
            <w:tcW w:w="380" w:type="dxa"/>
            <w:vAlign w:val="bottom"/>
            <w:tcBorders>
              <w:bottom w:val="single" w:sz="8" w:color="0CD973"/>
            </w:tcBorders>
            <w:gridSpan w:val="2"/>
          </w:tcPr>
          <w:p>
            <w:pPr>
              <w:jc w:val="right"/>
              <w:ind w:right="180"/>
              <w:spacing w:after="0"/>
              <w:rPr>
                <w:sz w:val="20"/>
                <w:szCs w:val="20"/>
                <w:color w:val="auto"/>
              </w:rPr>
            </w:pPr>
            <w:r>
              <w:rPr>
                <w:rFonts w:ascii="Arial" w:cs="Arial" w:eastAsia="Arial" w:hAnsi="Arial"/>
                <w:sz w:val="14"/>
                <w:szCs w:val="14"/>
                <w:color w:val="51555C"/>
              </w:rPr>
              <w:t>$</w:t>
            </w:r>
          </w:p>
        </w:tc>
        <w:tc>
          <w:tcPr>
            <w:tcW w:w="1100" w:type="dxa"/>
            <w:vAlign w:val="bottom"/>
            <w:tcBorders>
              <w:bottom w:val="single" w:sz="8" w:color="0CD973"/>
            </w:tcBorders>
          </w:tcPr>
          <w:p>
            <w:pPr>
              <w:jc w:val="right"/>
              <w:ind w:right="108"/>
              <w:spacing w:after="0"/>
              <w:rPr>
                <w:sz w:val="20"/>
                <w:szCs w:val="20"/>
                <w:color w:val="auto"/>
              </w:rPr>
            </w:pPr>
            <w:r>
              <w:rPr>
                <w:rFonts w:ascii="Arial" w:cs="Arial" w:eastAsia="Arial" w:hAnsi="Arial"/>
                <w:sz w:val="14"/>
                <w:szCs w:val="14"/>
                <w:color w:val="51555C"/>
              </w:rPr>
              <w:t>3.83</w:t>
            </w:r>
          </w:p>
        </w:tc>
        <w:tc>
          <w:tcPr>
            <w:tcW w:w="260" w:type="dxa"/>
            <w:vAlign w:val="bottom"/>
            <w:tcBorders>
              <w:bottom w:val="single" w:sz="8" w:color="0CD973"/>
            </w:tcBorders>
          </w:tcPr>
          <w:p>
            <w:pPr>
              <w:ind w:left="20"/>
              <w:spacing w:after="0"/>
              <w:rPr>
                <w:sz w:val="20"/>
                <w:szCs w:val="20"/>
                <w:color w:val="auto"/>
              </w:rPr>
            </w:pPr>
            <w:r>
              <w:rPr>
                <w:rFonts w:ascii="Arial" w:cs="Arial" w:eastAsia="Arial" w:hAnsi="Arial"/>
                <w:sz w:val="14"/>
                <w:szCs w:val="14"/>
                <w:color w:val="51555C"/>
              </w:rPr>
              <w:t>$</w:t>
            </w:r>
          </w:p>
        </w:tc>
        <w:tc>
          <w:tcPr>
            <w:tcW w:w="1140" w:type="dxa"/>
            <w:vAlign w:val="bottom"/>
            <w:tcBorders>
              <w:bottom w:val="single" w:sz="8" w:color="0CD973"/>
            </w:tcBorders>
          </w:tcPr>
          <w:p>
            <w:pPr>
              <w:jc w:val="right"/>
              <w:ind w:right="108"/>
              <w:spacing w:after="0"/>
              <w:rPr>
                <w:sz w:val="20"/>
                <w:szCs w:val="20"/>
                <w:color w:val="auto"/>
              </w:rPr>
            </w:pPr>
            <w:r>
              <w:rPr>
                <w:rFonts w:ascii="Arial" w:cs="Arial" w:eastAsia="Arial" w:hAnsi="Arial"/>
                <w:sz w:val="14"/>
                <w:szCs w:val="14"/>
                <w:color w:val="51555C"/>
              </w:rPr>
              <w:t>3.26</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-5091430</wp:posOffset>
            </wp:positionV>
            <wp:extent cx="3608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6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51555C"/>
        </w:rPr>
      </w:pPr>
      <w:r>
        <w:rPr>
          <w:rFonts w:ascii="Arial" w:cs="Arial" w:eastAsia="Arial" w:hAnsi="Arial"/>
          <w:sz w:val="14"/>
          <w:szCs w:val="14"/>
          <w:color w:val="51555C"/>
        </w:rPr>
        <w:t>Global workforce transition costs represent severance and other costs incurred in connection with actions under our global workforce strategy.</w:t>
      </w:r>
    </w:p>
    <w:p>
      <w:pPr>
        <w:spacing w:after="0" w:line="29" w:lineRule="exact"/>
        <w:rPr>
          <w:rFonts w:ascii="Arial" w:cs="Arial" w:eastAsia="Arial" w:hAnsi="Arial"/>
          <w:sz w:val="14"/>
          <w:szCs w:val="14"/>
          <w:color w:val="51555C"/>
        </w:rPr>
      </w:pPr>
    </w:p>
    <w:p>
      <w:pPr>
        <w:ind w:left="320" w:hanging="312"/>
        <w:spacing w:after="0"/>
        <w:tabs>
          <w:tab w:leader="none" w:pos="320" w:val="left"/>
        </w:tabs>
        <w:numPr>
          <w:ilvl w:val="0"/>
          <w:numId w:val="7"/>
        </w:numPr>
        <w:rPr>
          <w:rFonts w:ascii="Arial" w:cs="Arial" w:eastAsia="Arial" w:hAnsi="Arial"/>
          <w:sz w:val="14"/>
          <w:szCs w:val="14"/>
          <w:color w:val="51555C"/>
        </w:rPr>
      </w:pPr>
      <w:r>
        <w:rPr>
          <w:rFonts w:ascii="Arial" w:cs="Arial" w:eastAsia="Arial" w:hAnsi="Arial"/>
          <w:sz w:val="14"/>
          <w:szCs w:val="14"/>
          <w:color w:val="51555C"/>
        </w:rPr>
        <w:t>Includes charges of $24.3 million incurred during the nine months ended September 30, 2025 related to the release from our lease for office space in Washington, DC.</w:t>
      </w:r>
    </w:p>
    <w:p>
      <w:pPr>
        <w:spacing w:after="0" w:line="28" w:lineRule="exact"/>
        <w:rPr>
          <w:rFonts w:ascii="Arial" w:cs="Arial" w:eastAsia="Arial" w:hAnsi="Arial"/>
          <w:sz w:val="14"/>
          <w:szCs w:val="14"/>
          <w:color w:val="51555C"/>
        </w:rPr>
      </w:pPr>
    </w:p>
    <w:p>
      <w:pPr>
        <w:jc w:val="both"/>
        <w:ind w:left="340" w:right="20" w:hanging="332"/>
        <w:spacing w:after="0" w:line="265" w:lineRule="auto"/>
        <w:tabs>
          <w:tab w:leader="none" w:pos="327" w:val="left"/>
        </w:tabs>
        <w:numPr>
          <w:ilvl w:val="0"/>
          <w:numId w:val="7"/>
        </w:numPr>
        <w:rPr>
          <w:rFonts w:ascii="Arial" w:cs="Arial" w:eastAsia="Arial" w:hAnsi="Arial"/>
          <w:sz w:val="14"/>
          <w:szCs w:val="14"/>
          <w:color w:val="51555C"/>
        </w:rPr>
      </w:pPr>
      <w:r>
        <w:rPr>
          <w:rFonts w:ascii="Arial" w:cs="Arial" w:eastAsia="Arial" w:hAnsi="Arial"/>
          <w:sz w:val="14"/>
          <w:szCs w:val="14"/>
          <w:color w:val="51555C"/>
        </w:rPr>
        <w:t>We use a non-GAAP effective tax rate of 24.5% when calculating non-GAAP net income and non-GAAP diluted earnings per share. We base this rate on our estimated annual GAAP income tax rate, adjusted for items excluded from GAAP income when calculating non-GAAP income and for significant nonrecurring tax adjustments. We review this non-GAAP tax rate annually to determine whether it remains appropriate for evaluating our financial performance. In conducting this review, we consider our GAAP annual effective tax rate, changes in tax legislation, non-GAAP adjustments, and shifts in the geographic mix of revenues and expenses. We also evaluate other factors that we deem significant. Because the tax treatment of non-GAAP adjustments differs from GAAP and because of our methodology for estimating the annual tax rate, the non-GAAP tax rate may differ from the GAAP tax rate and from our actual tax liabilities.</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51555C"/>
        </w:rPr>
        <w:t>9</w:t>
      </w:r>
    </w:p>
    <w:p>
      <w:pPr>
        <w:sectPr>
          <w:pgSz w:w="11900" w:h="16838" w:orient="portrait"/>
          <w:cols w:equalWidth="0" w:num="1">
            <w:col w:w="11260"/>
          </w:cols>
          <w:pgMar w:left="320" w:top="122"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Reconciliation of GAAP to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40" w:type="dxa"/>
            <w:vAlign w:val="bottom"/>
            <w:shd w:val="clear" w:color="auto" w:fill="004054"/>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234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23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5"/>
                <w:szCs w:val="15"/>
                <w:color w:val="auto"/>
              </w:rPr>
            </w:pPr>
          </w:p>
        </w:tc>
      </w:tr>
      <w:tr>
        <w:trPr>
          <w:trHeight w:val="185"/>
        </w:trPr>
        <w:tc>
          <w:tcPr>
            <w:tcW w:w="574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1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04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15"/>
        </w:trPr>
        <w:tc>
          <w:tcPr>
            <w:tcW w:w="57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004054"/>
            </w:tcBorders>
            <w:shd w:val="clear" w:color="auto" w:fill="004054"/>
          </w:tcPr>
          <w:p>
            <w:pPr>
              <w:spacing w:after="0"/>
              <w:rPr>
                <w:sz w:val="18"/>
                <w:szCs w:val="18"/>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00" w:type="dxa"/>
            <w:vAlign w:val="bottom"/>
            <w:tcBorders>
              <w:bottom w:val="single" w:sz="8" w:color="004054"/>
            </w:tcBorders>
            <w:shd w:val="clear" w:color="auto" w:fill="004054"/>
          </w:tcPr>
          <w:p>
            <w:pPr>
              <w:spacing w:after="0"/>
              <w:rPr>
                <w:sz w:val="18"/>
                <w:szCs w:val="18"/>
                <w:color w:val="auto"/>
              </w:rPr>
            </w:pPr>
          </w:p>
        </w:tc>
        <w:tc>
          <w:tcPr>
            <w:tcW w:w="112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80" w:type="dxa"/>
            <w:vAlign w:val="bottom"/>
            <w:tcBorders>
              <w:bottom w:val="single" w:sz="8" w:color="EBFBFF"/>
            </w:tcBorders>
          </w:tcPr>
          <w:p>
            <w:pPr>
              <w:spacing w:after="0"/>
              <w:rPr>
                <w:sz w:val="18"/>
                <w:szCs w:val="18"/>
                <w:color w:val="auto"/>
              </w:rPr>
            </w:pPr>
          </w:p>
        </w:tc>
        <w:tc>
          <w:tcPr>
            <w:tcW w:w="380" w:type="dxa"/>
            <w:vAlign w:val="bottom"/>
            <w:tcBorders>
              <w:bottom w:val="single" w:sz="8" w:color="004054"/>
            </w:tcBorders>
            <w:shd w:val="clear" w:color="auto" w:fill="004054"/>
          </w:tcPr>
          <w:p>
            <w:pPr>
              <w:spacing w:after="0"/>
              <w:rPr>
                <w:sz w:val="18"/>
                <w:szCs w:val="18"/>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80" w:type="dxa"/>
            <w:vAlign w:val="bottom"/>
            <w:tcBorders>
              <w:bottom w:val="single" w:sz="8" w:color="004054"/>
            </w:tcBorders>
            <w:shd w:val="clear" w:color="auto" w:fill="004054"/>
          </w:tcPr>
          <w:p>
            <w:pPr>
              <w:spacing w:after="0"/>
              <w:rPr>
                <w:sz w:val="18"/>
                <w:szCs w:val="18"/>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18"/>
                <w:szCs w:val="18"/>
                <w:color w:val="auto"/>
              </w:rPr>
            </w:pPr>
          </w:p>
        </w:tc>
      </w:tr>
      <w:tr>
        <w:trPr>
          <w:trHeight w:val="197"/>
        </w:trPr>
        <w:tc>
          <w:tcPr>
            <w:tcW w:w="5740" w:type="dxa"/>
            <w:vAlign w:val="bottom"/>
            <w:shd w:val="clear" w:color="auto" w:fill="EBFBFF"/>
          </w:tcPr>
          <w:p>
            <w:pPr>
              <w:ind w:left="20"/>
              <w:spacing w:after="0"/>
              <w:rPr>
                <w:sz w:val="20"/>
                <w:szCs w:val="20"/>
                <w:color w:val="auto"/>
              </w:rPr>
            </w:pPr>
            <w:r>
              <w:rPr>
                <w:rFonts w:ascii="Arial" w:cs="Arial" w:eastAsia="Arial" w:hAnsi="Arial"/>
                <w:sz w:val="15"/>
                <w:szCs w:val="15"/>
                <w:color w:val="51555C"/>
              </w:rPr>
              <w:t>GAAP revenue</w:t>
            </w:r>
          </w:p>
        </w:tc>
        <w:tc>
          <w:tcPr>
            <w:tcW w:w="380" w:type="dxa"/>
            <w:vAlign w:val="bottom"/>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2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292,641</w:t>
            </w:r>
          </w:p>
        </w:tc>
        <w:tc>
          <w:tcPr>
            <w:tcW w:w="20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rPr>
              <w:t>$</w:t>
            </w:r>
          </w:p>
        </w:tc>
        <w:tc>
          <w:tcPr>
            <w:tcW w:w="1120" w:type="dxa"/>
            <w:vAlign w:val="bottom"/>
            <w:tcBorders>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281,143</w:t>
            </w: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864,378</w:t>
            </w:r>
          </w:p>
        </w:tc>
        <w:tc>
          <w:tcPr>
            <w:tcW w:w="1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833,109</w:t>
            </w:r>
          </w:p>
        </w:tc>
        <w:tc>
          <w:tcPr>
            <w:tcW w:w="20" w:type="dxa"/>
            <w:vAlign w:val="bottom"/>
          </w:tcPr>
          <w:p>
            <w:pPr>
              <w:spacing w:after="0"/>
              <w:rPr>
                <w:sz w:val="17"/>
                <w:szCs w:val="17"/>
                <w:color w:val="auto"/>
              </w:rPr>
            </w:pPr>
          </w:p>
        </w:tc>
      </w:tr>
      <w:tr>
        <w:trPr>
          <w:trHeight w:val="203"/>
        </w:trPr>
        <w:tc>
          <w:tcPr>
            <w:tcW w:w="5740" w:type="dxa"/>
            <w:vAlign w:val="bottom"/>
          </w:tcPr>
          <w:p>
            <w:pPr>
              <w:ind w:left="20"/>
              <w:spacing w:after="0"/>
              <w:rPr>
                <w:sz w:val="20"/>
                <w:szCs w:val="20"/>
                <w:color w:val="auto"/>
              </w:rPr>
            </w:pPr>
            <w:r>
              <w:rPr>
                <w:rFonts w:ascii="Arial" w:cs="Arial" w:eastAsia="Arial" w:hAnsi="Arial"/>
                <w:sz w:val="15"/>
                <w:szCs w:val="15"/>
                <w:b w:val="1"/>
                <w:bCs w:val="1"/>
                <w:color w:val="51555C"/>
              </w:rPr>
              <w:t>GAAP revenue growth</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51555C"/>
              </w:rPr>
              <w:t>4.1 %</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51555C"/>
              </w:rPr>
              <w:t>3.8 %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40" w:type="dxa"/>
            <w:vAlign w:val="bottom"/>
            <w:shd w:val="clear" w:color="auto" w:fill="EBFBFF"/>
          </w:tcPr>
          <w:p>
            <w:pPr>
              <w:ind w:left="140"/>
              <w:spacing w:after="0" w:line="203" w:lineRule="exact"/>
              <w:rPr>
                <w:sz w:val="20"/>
                <w:szCs w:val="20"/>
                <w:color w:val="auto"/>
              </w:rPr>
            </w:pPr>
            <w:r>
              <w:rPr>
                <w:rFonts w:ascii="Arial" w:cs="Arial" w:eastAsia="Arial" w:hAnsi="Arial"/>
                <w:sz w:val="15"/>
                <w:szCs w:val="15"/>
                <w:color w:val="51555C"/>
              </w:rPr>
              <w:t>Less: Non-GAAP revenue from divested businesses</w:t>
            </w:r>
            <w:r>
              <w:rPr>
                <w:rFonts w:ascii="Arial" w:cs="Arial" w:eastAsia="Arial" w:hAnsi="Arial"/>
                <w:sz w:val="19"/>
                <w:szCs w:val="19"/>
                <w:color w:val="51555C"/>
                <w:vertAlign w:val="superscript"/>
              </w:rPr>
              <w:t>(1)</w:t>
            </w:r>
          </w:p>
        </w:tc>
        <w:tc>
          <w:tcPr>
            <w:tcW w:w="380" w:type="dxa"/>
            <w:vAlign w:val="bottom"/>
            <w:tcBorders>
              <w:bottom w:val="single" w:sz="8" w:color="51555C"/>
            </w:tcBorders>
            <w:shd w:val="clear" w:color="auto" w:fill="EBFBFF"/>
          </w:tcPr>
          <w:p>
            <w:pPr>
              <w:spacing w:after="0"/>
              <w:rPr>
                <w:sz w:val="17"/>
                <w:szCs w:val="17"/>
                <w:color w:val="auto"/>
              </w:rPr>
            </w:pPr>
          </w:p>
        </w:tc>
        <w:tc>
          <w:tcPr>
            <w:tcW w:w="102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w:t>
            </w:r>
          </w:p>
        </w:tc>
        <w:tc>
          <w:tcPr>
            <w:tcW w:w="20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w:t>
            </w:r>
          </w:p>
        </w:tc>
        <w:tc>
          <w:tcPr>
            <w:tcW w:w="80" w:type="dxa"/>
            <w:vAlign w:val="bottom"/>
            <w:shd w:val="clear" w:color="auto" w:fill="EBFBFF"/>
          </w:tcPr>
          <w:p>
            <w:pPr>
              <w:spacing w:after="0"/>
              <w:rPr>
                <w:sz w:val="17"/>
                <w:szCs w:val="17"/>
                <w:color w:val="auto"/>
              </w:rPr>
            </w:pPr>
          </w:p>
        </w:tc>
        <w:tc>
          <w:tcPr>
            <w:tcW w:w="380" w:type="dxa"/>
            <w:vAlign w:val="bottom"/>
            <w:tcBorders>
              <w:bottom w:val="single" w:sz="8" w:color="51555C"/>
            </w:tcBorders>
            <w:shd w:val="clear" w:color="auto" w:fill="EBFBFF"/>
          </w:tcPr>
          <w:p>
            <w:pPr>
              <w:spacing w:after="0"/>
              <w:rPr>
                <w:sz w:val="17"/>
                <w:szCs w:val="17"/>
                <w:color w:val="auto"/>
              </w:rPr>
            </w:pP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w:t>
            </w:r>
          </w:p>
        </w:tc>
        <w:tc>
          <w:tcPr>
            <w:tcW w:w="18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6"/>
        </w:trPr>
        <w:tc>
          <w:tcPr>
            <w:tcW w:w="5740" w:type="dxa"/>
            <w:vAlign w:val="bottom"/>
            <w:tcBorders>
              <w:bottom w:val="single" w:sz="8" w:color="EBFBFF"/>
            </w:tcBorders>
          </w:tcPr>
          <w:p>
            <w:pPr>
              <w:ind w:left="20"/>
              <w:spacing w:after="0" w:line="196" w:lineRule="exact"/>
              <w:rPr>
                <w:sz w:val="20"/>
                <w:szCs w:val="20"/>
                <w:color w:val="auto"/>
              </w:rPr>
            </w:pPr>
            <w:r>
              <w:rPr>
                <w:rFonts w:ascii="Arial" w:cs="Arial" w:eastAsia="Arial" w:hAnsi="Arial"/>
                <w:sz w:val="15"/>
                <w:szCs w:val="15"/>
                <w:color w:val="51555C"/>
              </w:rPr>
              <w:t>Non-GAAP organic revenue</w:t>
            </w:r>
            <w:r>
              <w:rPr>
                <w:rFonts w:ascii="Arial" w:cs="Arial" w:eastAsia="Arial" w:hAnsi="Arial"/>
                <w:sz w:val="19"/>
                <w:szCs w:val="19"/>
                <w:color w:val="51555C"/>
                <w:vertAlign w:val="superscript"/>
              </w:rPr>
              <w:t>(2)</w:t>
            </w:r>
          </w:p>
        </w:tc>
        <w:tc>
          <w:tcPr>
            <w:tcW w:w="380" w:type="dxa"/>
            <w:vAlign w:val="bottom"/>
            <w:tcBorders>
              <w:bottom w:val="single" w:sz="8" w:color="51555C"/>
            </w:tcBorders>
          </w:tcPr>
          <w:p>
            <w:pPr>
              <w:jc w:val="right"/>
              <w:ind w:right="20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292,641</w:t>
            </w:r>
          </w:p>
        </w:tc>
        <w:tc>
          <w:tcPr>
            <w:tcW w:w="20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rPr>
              <w:t>$</w:t>
            </w:r>
          </w:p>
        </w:tc>
        <w:tc>
          <w:tcPr>
            <w:tcW w:w="1120" w:type="dxa"/>
            <w:vAlign w:val="bottom"/>
            <w:tcBorders>
              <w:bottom w:val="single" w:sz="8" w:color="51555C"/>
            </w:tcBorders>
          </w:tcPr>
          <w:p>
            <w:pPr>
              <w:jc w:val="right"/>
              <w:ind w:right="24"/>
              <w:spacing w:after="0"/>
              <w:rPr>
                <w:sz w:val="20"/>
                <w:szCs w:val="20"/>
                <w:color w:val="auto"/>
              </w:rPr>
            </w:pPr>
            <w:r>
              <w:rPr>
                <w:rFonts w:ascii="Arial" w:cs="Arial" w:eastAsia="Arial" w:hAnsi="Arial"/>
                <w:sz w:val="15"/>
                <w:szCs w:val="15"/>
                <w:color w:val="51555C"/>
              </w:rPr>
              <w:t>281,143</w:t>
            </w:r>
          </w:p>
        </w:tc>
        <w:tc>
          <w:tcPr>
            <w:tcW w:w="80" w:type="dxa"/>
            <w:vAlign w:val="bottom"/>
            <w:tcBorders>
              <w:bottom w:val="single" w:sz="8" w:color="EBFBFF"/>
            </w:tcBorders>
          </w:tcPr>
          <w:p>
            <w:pPr>
              <w:spacing w:after="0"/>
              <w:rPr>
                <w:sz w:val="17"/>
                <w:szCs w:val="17"/>
                <w:color w:val="auto"/>
              </w:rPr>
            </w:pPr>
          </w:p>
        </w:tc>
        <w:tc>
          <w:tcPr>
            <w:tcW w:w="380" w:type="dxa"/>
            <w:vAlign w:val="bottom"/>
            <w:tcBorders>
              <w:bottom w:val="single" w:sz="8" w:color="51555C"/>
            </w:tcBorders>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864,378</w:t>
            </w:r>
          </w:p>
        </w:tc>
        <w:tc>
          <w:tcPr>
            <w:tcW w:w="18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833,109</w:t>
            </w:r>
          </w:p>
        </w:tc>
        <w:tc>
          <w:tcPr>
            <w:tcW w:w="20" w:type="dxa"/>
            <w:vAlign w:val="bottom"/>
          </w:tcPr>
          <w:p>
            <w:pPr>
              <w:spacing w:after="0"/>
              <w:rPr>
                <w:sz w:val="17"/>
                <w:szCs w:val="17"/>
                <w:color w:val="auto"/>
              </w:rPr>
            </w:pPr>
          </w:p>
        </w:tc>
      </w:tr>
      <w:tr>
        <w:trPr>
          <w:trHeight w:val="196"/>
        </w:trPr>
        <w:tc>
          <w:tcPr>
            <w:tcW w:w="574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Non-GAAP organic revenue growth</w:t>
            </w:r>
          </w:p>
        </w:tc>
        <w:tc>
          <w:tcPr>
            <w:tcW w:w="38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4.1 %</w:t>
            </w:r>
          </w:p>
        </w:tc>
        <w:tc>
          <w:tcPr>
            <w:tcW w:w="20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3.8 %</w:t>
            </w:r>
          </w:p>
        </w:tc>
        <w:tc>
          <w:tcPr>
            <w:tcW w:w="180" w:type="dxa"/>
            <w:vAlign w:val="bottom"/>
            <w:shd w:val="clear" w:color="auto" w:fill="EBFBFF"/>
          </w:tcPr>
          <w:p>
            <w:pPr>
              <w:spacing w:after="0"/>
              <w:rPr>
                <w:sz w:val="17"/>
                <w:szCs w:val="17"/>
                <w:color w:val="auto"/>
              </w:rPr>
            </w:pPr>
          </w:p>
        </w:tc>
        <w:tc>
          <w:tcPr>
            <w:tcW w:w="11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5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5740" w:type="dxa"/>
            <w:vAlign w:val="bottom"/>
            <w:shd w:val="clear" w:color="auto" w:fill="EBFBFF"/>
          </w:tcPr>
          <w:p>
            <w:pPr>
              <w:ind w:left="20"/>
              <w:spacing w:after="0" w:line="203" w:lineRule="exact"/>
              <w:rPr>
                <w:sz w:val="20"/>
                <w:szCs w:val="20"/>
                <w:color w:val="auto"/>
              </w:rPr>
            </w:pPr>
            <w:r>
              <w:rPr>
                <w:rFonts w:ascii="Arial" w:cs="Arial" w:eastAsia="Arial" w:hAnsi="Arial"/>
                <w:sz w:val="15"/>
                <w:szCs w:val="15"/>
                <w:color w:val="51555C"/>
              </w:rPr>
              <w:t>Non-GAAP organic revenue</w:t>
            </w:r>
            <w:r>
              <w:rPr>
                <w:rFonts w:ascii="Arial" w:cs="Arial" w:eastAsia="Arial" w:hAnsi="Arial"/>
                <w:sz w:val="19"/>
                <w:szCs w:val="19"/>
                <w:color w:val="51555C"/>
                <w:vertAlign w:val="superscript"/>
              </w:rPr>
              <w:t>(2)</w:t>
            </w:r>
          </w:p>
        </w:tc>
        <w:tc>
          <w:tcPr>
            <w:tcW w:w="380" w:type="dxa"/>
            <w:vAlign w:val="bottom"/>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2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292,641</w:t>
            </w:r>
          </w:p>
        </w:tc>
        <w:tc>
          <w:tcPr>
            <w:tcW w:w="20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rPr>
              <w:t>$</w:t>
            </w:r>
          </w:p>
        </w:tc>
        <w:tc>
          <w:tcPr>
            <w:tcW w:w="1120" w:type="dxa"/>
            <w:vAlign w:val="bottom"/>
            <w:tcBorders>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281,143</w:t>
            </w:r>
          </w:p>
        </w:tc>
        <w:tc>
          <w:tcPr>
            <w:tcW w:w="460" w:type="dxa"/>
            <w:vAlign w:val="bottom"/>
            <w:gridSpan w:val="2"/>
            <w:shd w:val="clear" w:color="auto" w:fill="EBFBFF"/>
          </w:tcPr>
          <w:p>
            <w:pPr>
              <w:jc w:val="right"/>
              <w:ind w:right="204"/>
              <w:spacing w:after="0"/>
              <w:rPr>
                <w:sz w:val="20"/>
                <w:szCs w:val="20"/>
                <w:color w:val="auto"/>
              </w:rPr>
            </w:pPr>
            <w:r>
              <w:rPr>
                <w:rFonts w:ascii="Arial" w:cs="Arial" w:eastAsia="Arial" w:hAnsi="Arial"/>
                <w:sz w:val="15"/>
                <w:szCs w:val="15"/>
                <w:color w:val="51555C"/>
              </w:rPr>
              <w:t>$</w:t>
            </w: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864,378</w:t>
            </w:r>
          </w:p>
        </w:tc>
        <w:tc>
          <w:tcPr>
            <w:tcW w:w="1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833,109</w:t>
            </w:r>
          </w:p>
        </w:tc>
        <w:tc>
          <w:tcPr>
            <w:tcW w:w="20" w:type="dxa"/>
            <w:vAlign w:val="bottom"/>
          </w:tcPr>
          <w:p>
            <w:pPr>
              <w:spacing w:after="0"/>
              <w:rPr>
                <w:sz w:val="17"/>
                <w:szCs w:val="17"/>
                <w:color w:val="auto"/>
              </w:rPr>
            </w:pPr>
          </w:p>
        </w:tc>
      </w:tr>
      <w:tr>
        <w:trPr>
          <w:trHeight w:val="203"/>
        </w:trPr>
        <w:tc>
          <w:tcPr>
            <w:tcW w:w="5740" w:type="dxa"/>
            <w:vAlign w:val="bottom"/>
            <w:tcBorders>
              <w:bottom w:val="single" w:sz="8" w:color="EBFBFF"/>
            </w:tcBorders>
          </w:tcPr>
          <w:p>
            <w:pPr>
              <w:ind w:left="20"/>
              <w:spacing w:after="0" w:line="203" w:lineRule="exact"/>
              <w:rPr>
                <w:sz w:val="20"/>
                <w:szCs w:val="20"/>
                <w:color w:val="auto"/>
              </w:rPr>
            </w:pPr>
            <w:r>
              <w:rPr>
                <w:rFonts w:ascii="Arial" w:cs="Arial" w:eastAsia="Arial" w:hAnsi="Arial"/>
                <w:sz w:val="15"/>
                <w:szCs w:val="15"/>
                <w:color w:val="51555C"/>
              </w:rPr>
              <w:t>Foreign currency impact on non-GAAP organic revenue</w:t>
            </w:r>
            <w:r>
              <w:rPr>
                <w:rFonts w:ascii="Arial" w:cs="Arial" w:eastAsia="Arial" w:hAnsi="Arial"/>
                <w:sz w:val="19"/>
                <w:szCs w:val="19"/>
                <w:color w:val="51555C"/>
                <w:vertAlign w:val="superscript"/>
              </w:rPr>
              <w:t>(3)</w:t>
            </w:r>
          </w:p>
        </w:tc>
        <w:tc>
          <w:tcPr>
            <w:tcW w:w="38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ind w:right="84"/>
              <w:spacing w:after="0"/>
              <w:rPr>
                <w:sz w:val="20"/>
                <w:szCs w:val="20"/>
                <w:color w:val="auto"/>
              </w:rPr>
            </w:pPr>
            <w:r>
              <w:rPr>
                <w:rFonts w:ascii="Arial" w:cs="Arial" w:eastAsia="Arial" w:hAnsi="Arial"/>
                <w:sz w:val="15"/>
                <w:szCs w:val="15"/>
                <w:color w:val="51555C"/>
              </w:rPr>
              <w:t>(237)</w:t>
            </w:r>
          </w:p>
        </w:tc>
        <w:tc>
          <w:tcPr>
            <w:tcW w:w="20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24"/>
              <w:spacing w:after="0"/>
              <w:rPr>
                <w:sz w:val="20"/>
                <w:szCs w:val="20"/>
                <w:color w:val="auto"/>
              </w:rPr>
            </w:pPr>
            <w:r>
              <w:rPr>
                <w:rFonts w:ascii="Arial" w:cs="Arial" w:eastAsia="Arial" w:hAnsi="Arial"/>
                <w:sz w:val="15"/>
                <w:szCs w:val="15"/>
                <w:color w:val="51555C"/>
              </w:rPr>
              <w:t>—</w:t>
            </w:r>
          </w:p>
        </w:tc>
        <w:tc>
          <w:tcPr>
            <w:tcW w:w="80" w:type="dxa"/>
            <w:vAlign w:val="bottom"/>
            <w:tcBorders>
              <w:bottom w:val="single" w:sz="8" w:color="EBFBFF"/>
            </w:tcBorders>
          </w:tcPr>
          <w:p>
            <w:pPr>
              <w:spacing w:after="0"/>
              <w:rPr>
                <w:sz w:val="17"/>
                <w:szCs w:val="17"/>
                <w:color w:val="auto"/>
              </w:rPr>
            </w:pPr>
          </w:p>
        </w:tc>
        <w:tc>
          <w:tcPr>
            <w:tcW w:w="380" w:type="dxa"/>
            <w:vAlign w:val="bottom"/>
            <w:tcBorders>
              <w:bottom w:val="single" w:sz="8" w:color="51555C"/>
            </w:tcBorders>
          </w:tcPr>
          <w:p>
            <w:pPr>
              <w:spacing w:after="0"/>
              <w:rPr>
                <w:sz w:val="17"/>
                <w:szCs w:val="17"/>
                <w:color w:val="auto"/>
              </w:rPr>
            </w:pPr>
          </w:p>
        </w:tc>
        <w:tc>
          <w:tcPr>
            <w:tcW w:w="1040" w:type="dxa"/>
            <w:vAlign w:val="bottom"/>
            <w:tcBorders>
              <w:bottom w:val="single" w:sz="8" w:color="51555C"/>
            </w:tcBorders>
          </w:tcPr>
          <w:p>
            <w:pPr>
              <w:jc w:val="right"/>
              <w:ind w:right="84"/>
              <w:spacing w:after="0"/>
              <w:rPr>
                <w:sz w:val="20"/>
                <w:szCs w:val="20"/>
                <w:color w:val="auto"/>
              </w:rPr>
            </w:pPr>
            <w:r>
              <w:rPr>
                <w:rFonts w:ascii="Arial" w:cs="Arial" w:eastAsia="Arial" w:hAnsi="Arial"/>
                <w:sz w:val="15"/>
                <w:szCs w:val="15"/>
                <w:color w:val="51555C"/>
              </w:rPr>
              <w:t>(3,167)</w:t>
            </w:r>
          </w:p>
        </w:tc>
        <w:tc>
          <w:tcPr>
            <w:tcW w:w="18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6"/>
        </w:trPr>
        <w:tc>
          <w:tcPr>
            <w:tcW w:w="5740" w:type="dxa"/>
            <w:vAlign w:val="bottom"/>
            <w:shd w:val="clear" w:color="auto" w:fill="EBFBFF"/>
          </w:tcPr>
          <w:p>
            <w:pPr>
              <w:ind w:left="20"/>
              <w:spacing w:after="0" w:line="196" w:lineRule="exact"/>
              <w:rPr>
                <w:sz w:val="20"/>
                <w:szCs w:val="20"/>
                <w:color w:val="auto"/>
              </w:rPr>
            </w:pPr>
            <w:r>
              <w:rPr>
                <w:rFonts w:ascii="Arial" w:cs="Arial" w:eastAsia="Arial" w:hAnsi="Arial"/>
                <w:sz w:val="15"/>
                <w:szCs w:val="15"/>
                <w:color w:val="51555C"/>
              </w:rPr>
              <w:t>Non-GAAP organic revenue on constant currency basis</w:t>
            </w:r>
            <w:r>
              <w:rPr>
                <w:rFonts w:ascii="Arial" w:cs="Arial" w:eastAsia="Arial" w:hAnsi="Arial"/>
                <w:sz w:val="19"/>
                <w:szCs w:val="19"/>
                <w:color w:val="51555C"/>
                <w:vertAlign w:val="superscript"/>
              </w:rPr>
              <w:t>(3)</w:t>
            </w:r>
          </w:p>
        </w:tc>
        <w:tc>
          <w:tcPr>
            <w:tcW w:w="380" w:type="dxa"/>
            <w:vAlign w:val="bottom"/>
            <w:tcBorders>
              <w:bottom w:val="single" w:sz="8" w:color="51555C"/>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292,404</w:t>
            </w:r>
          </w:p>
        </w:tc>
        <w:tc>
          <w:tcPr>
            <w:tcW w:w="20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rPr>
              <w:t>$</w:t>
            </w:r>
          </w:p>
        </w:tc>
        <w:tc>
          <w:tcPr>
            <w:tcW w:w="1120" w:type="dxa"/>
            <w:vAlign w:val="bottom"/>
            <w:tcBorders>
              <w:bottom w:val="single" w:sz="8" w:color="51555C"/>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281,143</w:t>
            </w:r>
          </w:p>
        </w:tc>
        <w:tc>
          <w:tcPr>
            <w:tcW w:w="80" w:type="dxa"/>
            <w:vAlign w:val="bottom"/>
            <w:shd w:val="clear" w:color="auto" w:fill="EBFBFF"/>
          </w:tcPr>
          <w:p>
            <w:pPr>
              <w:spacing w:after="0"/>
              <w:rPr>
                <w:sz w:val="17"/>
                <w:szCs w:val="17"/>
                <w:color w:val="auto"/>
              </w:rPr>
            </w:pPr>
          </w:p>
        </w:tc>
        <w:tc>
          <w:tcPr>
            <w:tcW w:w="380" w:type="dxa"/>
            <w:vAlign w:val="bottom"/>
            <w:tcBorders>
              <w:bottom w:val="single" w:sz="8" w:color="51555C"/>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861,211</w:t>
            </w:r>
          </w:p>
        </w:tc>
        <w:tc>
          <w:tcPr>
            <w:tcW w:w="18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833,109</w:t>
            </w:r>
          </w:p>
        </w:tc>
        <w:tc>
          <w:tcPr>
            <w:tcW w:w="20" w:type="dxa"/>
            <w:vAlign w:val="bottom"/>
          </w:tcPr>
          <w:p>
            <w:pPr>
              <w:spacing w:after="0"/>
              <w:rPr>
                <w:sz w:val="17"/>
                <w:szCs w:val="17"/>
                <w:color w:val="auto"/>
              </w:rPr>
            </w:pPr>
          </w:p>
        </w:tc>
      </w:tr>
      <w:tr>
        <w:trPr>
          <w:trHeight w:val="196"/>
        </w:trPr>
        <w:tc>
          <w:tcPr>
            <w:tcW w:w="5740" w:type="dxa"/>
            <w:vAlign w:val="bottom"/>
          </w:tcPr>
          <w:p>
            <w:pPr>
              <w:ind w:left="20"/>
              <w:spacing w:after="0"/>
              <w:rPr>
                <w:sz w:val="20"/>
                <w:szCs w:val="20"/>
                <w:color w:val="auto"/>
              </w:rPr>
            </w:pPr>
            <w:r>
              <w:rPr>
                <w:rFonts w:ascii="Arial" w:cs="Arial" w:eastAsia="Arial" w:hAnsi="Arial"/>
                <w:sz w:val="15"/>
                <w:szCs w:val="15"/>
                <w:b w:val="1"/>
                <w:bCs w:val="1"/>
                <w:color w:val="51555C"/>
              </w:rPr>
              <w:t>Non-GAAP organic revenue growth on constant currency basis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51555C"/>
              </w:rPr>
              <w:t>4.0 %</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51555C"/>
              </w:rPr>
              <w:t>3.4 %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574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00" w:type="dxa"/>
            <w:vAlign w:val="bottom"/>
            <w:shd w:val="clear" w:color="auto" w:fill="EBFBFF"/>
          </w:tcPr>
          <w:p>
            <w:pPr>
              <w:spacing w:after="0"/>
              <w:rPr>
                <w:sz w:val="23"/>
                <w:szCs w:val="23"/>
                <w:color w:val="auto"/>
              </w:rPr>
            </w:pPr>
          </w:p>
        </w:tc>
        <w:tc>
          <w:tcPr>
            <w:tcW w:w="1120" w:type="dxa"/>
            <w:vAlign w:val="bottom"/>
            <w:tcBorders>
              <w:right w:val="single" w:sz="8" w:color="EBFBFF"/>
            </w:tcBorders>
            <w:shd w:val="clear" w:color="auto" w:fill="EBFBFF"/>
          </w:tcPr>
          <w:p>
            <w:pPr>
              <w:spacing w:after="0"/>
              <w:rPr>
                <w:sz w:val="23"/>
                <w:szCs w:val="23"/>
                <w:color w:val="auto"/>
              </w:rPr>
            </w:pPr>
          </w:p>
        </w:tc>
        <w:tc>
          <w:tcPr>
            <w:tcW w:w="8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10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5"/>
                <w:szCs w:val="15"/>
                <w:color w:val="51555C"/>
              </w:rPr>
              <w:t>GAAP recurring revenue</w:t>
            </w:r>
          </w:p>
        </w:tc>
        <w:tc>
          <w:tcPr>
            <w:tcW w:w="380" w:type="dxa"/>
            <w:vAlign w:val="bottom"/>
          </w:tcPr>
          <w:p>
            <w:pPr>
              <w:jc w:val="right"/>
              <w:ind w:right="204"/>
              <w:spacing w:after="0"/>
              <w:rPr>
                <w:sz w:val="20"/>
                <w:szCs w:val="20"/>
                <w:color w:val="auto"/>
              </w:rPr>
            </w:pPr>
            <w:r>
              <w:rPr>
                <w:rFonts w:ascii="Arial" w:cs="Arial" w:eastAsia="Arial" w:hAnsi="Arial"/>
                <w:sz w:val="15"/>
                <w:szCs w:val="15"/>
                <w:color w:val="51555C"/>
                <w:w w:val="95"/>
              </w:rPr>
              <w:t>$</w:t>
            </w:r>
          </w:p>
        </w:tc>
        <w:tc>
          <w:tcPr>
            <w:tcW w:w="1020" w:type="dxa"/>
            <w:vAlign w:val="bottom"/>
          </w:tcPr>
          <w:p>
            <w:pPr>
              <w:jc w:val="right"/>
              <w:ind w:right="124"/>
              <w:spacing w:after="0"/>
              <w:rPr>
                <w:sz w:val="20"/>
                <w:szCs w:val="20"/>
                <w:color w:val="auto"/>
              </w:rPr>
            </w:pPr>
            <w:r>
              <w:rPr>
                <w:rFonts w:ascii="Arial" w:cs="Arial" w:eastAsia="Arial" w:hAnsi="Arial"/>
                <w:sz w:val="15"/>
                <w:szCs w:val="15"/>
                <w:color w:val="51555C"/>
              </w:rPr>
              <w:t>287,030</w:t>
            </w:r>
          </w:p>
        </w:tc>
        <w:tc>
          <w:tcPr>
            <w:tcW w:w="200" w:type="dxa"/>
            <w:vAlign w:val="bottom"/>
          </w:tcPr>
          <w:p>
            <w:pPr>
              <w:jc w:val="right"/>
              <w:ind w:right="4"/>
              <w:spacing w:after="0"/>
              <w:rPr>
                <w:sz w:val="20"/>
                <w:szCs w:val="20"/>
                <w:color w:val="auto"/>
              </w:rPr>
            </w:pPr>
            <w:r>
              <w:rPr>
                <w:rFonts w:ascii="Arial" w:cs="Arial" w:eastAsia="Arial" w:hAnsi="Arial"/>
                <w:sz w:val="15"/>
                <w:szCs w:val="15"/>
                <w:color w:val="51555C"/>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51555C"/>
              </w:rPr>
              <w:t>275,802</w:t>
            </w:r>
          </w:p>
        </w:tc>
        <w:tc>
          <w:tcPr>
            <w:tcW w:w="460" w:type="dxa"/>
            <w:vAlign w:val="bottom"/>
            <w:gridSpan w:val="2"/>
          </w:tcPr>
          <w:p>
            <w:pPr>
              <w:jc w:val="right"/>
              <w:ind w:right="204"/>
              <w:spacing w:after="0"/>
              <w:rPr>
                <w:sz w:val="20"/>
                <w:szCs w:val="20"/>
                <w:color w:val="auto"/>
              </w:rPr>
            </w:pPr>
            <w:r>
              <w:rPr>
                <w:rFonts w:ascii="Arial" w:cs="Arial" w:eastAsia="Arial" w:hAnsi="Arial"/>
                <w:sz w:val="15"/>
                <w:szCs w:val="15"/>
                <w:color w:val="51555C"/>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51555C"/>
              </w:rPr>
              <w:t>848,806</w:t>
            </w:r>
          </w:p>
        </w:tc>
        <w:tc>
          <w:tcPr>
            <w:tcW w:w="180" w:type="dxa"/>
            <w:vAlign w:val="bottom"/>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51555C"/>
              </w:rPr>
              <w:t>815,406</w:t>
            </w:r>
          </w:p>
        </w:tc>
        <w:tc>
          <w:tcPr>
            <w:tcW w:w="20" w:type="dxa"/>
            <w:vAlign w:val="bottom"/>
          </w:tcPr>
          <w:p>
            <w:pPr>
              <w:spacing w:after="0"/>
              <w:rPr>
                <w:sz w:val="17"/>
                <w:szCs w:val="17"/>
                <w:color w:val="auto"/>
              </w:rPr>
            </w:pPr>
          </w:p>
        </w:tc>
      </w:tr>
      <w:tr>
        <w:trPr>
          <w:trHeight w:val="204"/>
        </w:trPr>
        <w:tc>
          <w:tcPr>
            <w:tcW w:w="574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GAAP recurring revenue growth</w:t>
            </w:r>
          </w:p>
        </w:tc>
        <w:tc>
          <w:tcPr>
            <w:tcW w:w="38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4.1 %</w:t>
            </w:r>
          </w:p>
        </w:tc>
        <w:tc>
          <w:tcPr>
            <w:tcW w:w="20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4.1 %</w:t>
            </w:r>
          </w:p>
        </w:tc>
        <w:tc>
          <w:tcPr>
            <w:tcW w:w="180" w:type="dxa"/>
            <w:vAlign w:val="bottom"/>
            <w:shd w:val="clear" w:color="auto" w:fill="EBFBFF"/>
          </w:tcPr>
          <w:p>
            <w:pPr>
              <w:spacing w:after="0"/>
              <w:rPr>
                <w:sz w:val="17"/>
                <w:szCs w:val="17"/>
                <w:color w:val="auto"/>
              </w:rPr>
            </w:pPr>
          </w:p>
        </w:tc>
        <w:tc>
          <w:tcPr>
            <w:tcW w:w="11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40" w:type="dxa"/>
            <w:vAlign w:val="bottom"/>
            <w:tcBorders>
              <w:bottom w:val="single" w:sz="8" w:color="EBFBFF"/>
            </w:tcBorders>
          </w:tcPr>
          <w:p>
            <w:pPr>
              <w:ind w:left="140"/>
              <w:spacing w:after="0" w:line="203" w:lineRule="exact"/>
              <w:rPr>
                <w:sz w:val="20"/>
                <w:szCs w:val="20"/>
                <w:color w:val="auto"/>
              </w:rPr>
            </w:pPr>
            <w:r>
              <w:rPr>
                <w:rFonts w:ascii="Arial" w:cs="Arial" w:eastAsia="Arial" w:hAnsi="Arial"/>
                <w:sz w:val="15"/>
                <w:szCs w:val="15"/>
                <w:color w:val="51555C"/>
              </w:rPr>
              <w:t>Less: Non-GAAP recurring revenue from divested businesses</w:t>
            </w:r>
            <w:r>
              <w:rPr>
                <w:rFonts w:ascii="Arial" w:cs="Arial" w:eastAsia="Arial" w:hAnsi="Arial"/>
                <w:sz w:val="19"/>
                <w:szCs w:val="19"/>
                <w:color w:val="51555C"/>
                <w:vertAlign w:val="superscript"/>
              </w:rPr>
              <w:t>(1)</w:t>
            </w:r>
          </w:p>
        </w:tc>
        <w:tc>
          <w:tcPr>
            <w:tcW w:w="38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w:t>
            </w:r>
          </w:p>
        </w:tc>
        <w:tc>
          <w:tcPr>
            <w:tcW w:w="20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24"/>
              <w:spacing w:after="0"/>
              <w:rPr>
                <w:sz w:val="20"/>
                <w:szCs w:val="20"/>
                <w:color w:val="auto"/>
              </w:rPr>
            </w:pPr>
            <w:r>
              <w:rPr>
                <w:rFonts w:ascii="Arial" w:cs="Arial" w:eastAsia="Arial" w:hAnsi="Arial"/>
                <w:sz w:val="15"/>
                <w:szCs w:val="15"/>
                <w:color w:val="51555C"/>
              </w:rPr>
              <w:t>—</w:t>
            </w:r>
          </w:p>
        </w:tc>
        <w:tc>
          <w:tcPr>
            <w:tcW w:w="80" w:type="dxa"/>
            <w:vAlign w:val="bottom"/>
            <w:tcBorders>
              <w:bottom w:val="single" w:sz="8" w:color="EBFBFF"/>
            </w:tcBorders>
          </w:tcPr>
          <w:p>
            <w:pPr>
              <w:spacing w:after="0"/>
              <w:rPr>
                <w:sz w:val="17"/>
                <w:szCs w:val="17"/>
                <w:color w:val="auto"/>
              </w:rPr>
            </w:pPr>
          </w:p>
        </w:tc>
        <w:tc>
          <w:tcPr>
            <w:tcW w:w="380" w:type="dxa"/>
            <w:vAlign w:val="bottom"/>
            <w:tcBorders>
              <w:bottom w:val="single" w:sz="8" w:color="51555C"/>
            </w:tcBorders>
          </w:tcPr>
          <w:p>
            <w:pPr>
              <w:spacing w:after="0"/>
              <w:rPr>
                <w:sz w:val="17"/>
                <w:szCs w:val="17"/>
                <w:color w:val="auto"/>
              </w:rPr>
            </w:pP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w:t>
            </w:r>
          </w:p>
        </w:tc>
        <w:tc>
          <w:tcPr>
            <w:tcW w:w="18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6"/>
        </w:trPr>
        <w:tc>
          <w:tcPr>
            <w:tcW w:w="5740" w:type="dxa"/>
            <w:vAlign w:val="bottom"/>
            <w:shd w:val="clear" w:color="auto" w:fill="EBFBFF"/>
          </w:tcPr>
          <w:p>
            <w:pPr>
              <w:ind w:left="20"/>
              <w:spacing w:after="0" w:line="196" w:lineRule="exact"/>
              <w:rPr>
                <w:sz w:val="20"/>
                <w:szCs w:val="20"/>
                <w:color w:val="auto"/>
              </w:rPr>
            </w:pPr>
            <w:r>
              <w:rPr>
                <w:rFonts w:ascii="Arial" w:cs="Arial" w:eastAsia="Arial" w:hAnsi="Arial"/>
                <w:sz w:val="15"/>
                <w:szCs w:val="15"/>
                <w:color w:val="51555C"/>
              </w:rPr>
              <w:t>Non-GAAP organic recurring revenue</w:t>
            </w:r>
            <w:r>
              <w:rPr>
                <w:rFonts w:ascii="Arial" w:cs="Arial" w:eastAsia="Arial" w:hAnsi="Arial"/>
                <w:sz w:val="19"/>
                <w:szCs w:val="19"/>
                <w:color w:val="51555C"/>
                <w:vertAlign w:val="superscript"/>
              </w:rPr>
              <w:t>(2)</w:t>
            </w:r>
          </w:p>
        </w:tc>
        <w:tc>
          <w:tcPr>
            <w:tcW w:w="380" w:type="dxa"/>
            <w:vAlign w:val="bottom"/>
            <w:tcBorders>
              <w:bottom w:val="single" w:sz="8" w:color="51555C"/>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287,030</w:t>
            </w:r>
          </w:p>
        </w:tc>
        <w:tc>
          <w:tcPr>
            <w:tcW w:w="20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rPr>
              <w:t>$</w:t>
            </w:r>
          </w:p>
        </w:tc>
        <w:tc>
          <w:tcPr>
            <w:tcW w:w="1120" w:type="dxa"/>
            <w:vAlign w:val="bottom"/>
            <w:tcBorders>
              <w:bottom w:val="single" w:sz="8" w:color="51555C"/>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275,802</w:t>
            </w:r>
          </w:p>
        </w:tc>
        <w:tc>
          <w:tcPr>
            <w:tcW w:w="80" w:type="dxa"/>
            <w:vAlign w:val="bottom"/>
            <w:shd w:val="clear" w:color="auto" w:fill="EBFBFF"/>
          </w:tcPr>
          <w:p>
            <w:pPr>
              <w:spacing w:after="0"/>
              <w:rPr>
                <w:sz w:val="17"/>
                <w:szCs w:val="17"/>
                <w:color w:val="auto"/>
              </w:rPr>
            </w:pPr>
          </w:p>
        </w:tc>
        <w:tc>
          <w:tcPr>
            <w:tcW w:w="380" w:type="dxa"/>
            <w:vAlign w:val="bottom"/>
            <w:tcBorders>
              <w:bottom w:val="single" w:sz="8" w:color="51555C"/>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848,806</w:t>
            </w:r>
          </w:p>
        </w:tc>
        <w:tc>
          <w:tcPr>
            <w:tcW w:w="18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815,406</w:t>
            </w:r>
          </w:p>
        </w:tc>
        <w:tc>
          <w:tcPr>
            <w:tcW w:w="20" w:type="dxa"/>
            <w:vAlign w:val="bottom"/>
          </w:tcPr>
          <w:p>
            <w:pPr>
              <w:spacing w:after="0"/>
              <w:rPr>
                <w:sz w:val="17"/>
                <w:szCs w:val="17"/>
                <w:color w:val="auto"/>
              </w:rPr>
            </w:pPr>
          </w:p>
        </w:tc>
      </w:tr>
      <w:tr>
        <w:trPr>
          <w:trHeight w:val="196"/>
        </w:trPr>
        <w:tc>
          <w:tcPr>
            <w:tcW w:w="5740" w:type="dxa"/>
            <w:vAlign w:val="bottom"/>
          </w:tcPr>
          <w:p>
            <w:pPr>
              <w:ind w:left="20"/>
              <w:spacing w:after="0"/>
              <w:rPr>
                <w:sz w:val="20"/>
                <w:szCs w:val="20"/>
                <w:color w:val="auto"/>
              </w:rPr>
            </w:pPr>
            <w:r>
              <w:rPr>
                <w:rFonts w:ascii="Arial" w:cs="Arial" w:eastAsia="Arial" w:hAnsi="Arial"/>
                <w:sz w:val="15"/>
                <w:szCs w:val="15"/>
                <w:b w:val="1"/>
                <w:bCs w:val="1"/>
                <w:color w:val="51555C"/>
              </w:rPr>
              <w:t>Non-GAAP organic recurring revenue growth</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51555C"/>
              </w:rPr>
              <w:t>4.1 %</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51555C"/>
              </w:rPr>
              <w:t>4.1 %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574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00" w:type="dxa"/>
            <w:vAlign w:val="bottom"/>
            <w:shd w:val="clear" w:color="auto" w:fill="EBFBFF"/>
          </w:tcPr>
          <w:p>
            <w:pPr>
              <w:spacing w:after="0"/>
              <w:rPr>
                <w:sz w:val="23"/>
                <w:szCs w:val="23"/>
                <w:color w:val="auto"/>
              </w:rPr>
            </w:pPr>
          </w:p>
        </w:tc>
        <w:tc>
          <w:tcPr>
            <w:tcW w:w="1120" w:type="dxa"/>
            <w:vAlign w:val="bottom"/>
            <w:tcBorders>
              <w:right w:val="single" w:sz="8" w:color="EBFBFF"/>
            </w:tcBorders>
            <w:shd w:val="clear" w:color="auto" w:fill="EBFBFF"/>
          </w:tcPr>
          <w:p>
            <w:pPr>
              <w:spacing w:after="0"/>
              <w:rPr>
                <w:sz w:val="23"/>
                <w:szCs w:val="23"/>
                <w:color w:val="auto"/>
              </w:rPr>
            </w:pPr>
          </w:p>
        </w:tc>
        <w:tc>
          <w:tcPr>
            <w:tcW w:w="8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10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5"/>
                <w:szCs w:val="15"/>
                <w:color w:val="51555C"/>
              </w:rPr>
              <w:t>Non-GAAP organic recurring revenue</w:t>
            </w:r>
            <w:r>
              <w:rPr>
                <w:rFonts w:ascii="Arial" w:cs="Arial" w:eastAsia="Arial" w:hAnsi="Arial"/>
                <w:sz w:val="19"/>
                <w:szCs w:val="19"/>
                <w:color w:val="51555C"/>
                <w:vertAlign w:val="superscript"/>
              </w:rPr>
              <w:t>(2)</w:t>
            </w:r>
          </w:p>
        </w:tc>
        <w:tc>
          <w:tcPr>
            <w:tcW w:w="380" w:type="dxa"/>
            <w:vAlign w:val="bottom"/>
          </w:tcPr>
          <w:p>
            <w:pPr>
              <w:jc w:val="right"/>
              <w:ind w:right="204"/>
              <w:spacing w:after="0"/>
              <w:rPr>
                <w:sz w:val="20"/>
                <w:szCs w:val="20"/>
                <w:color w:val="auto"/>
              </w:rPr>
            </w:pPr>
            <w:r>
              <w:rPr>
                <w:rFonts w:ascii="Arial" w:cs="Arial" w:eastAsia="Arial" w:hAnsi="Arial"/>
                <w:sz w:val="15"/>
                <w:szCs w:val="15"/>
                <w:color w:val="51555C"/>
                <w:w w:val="95"/>
              </w:rPr>
              <w:t>$</w:t>
            </w:r>
          </w:p>
        </w:tc>
        <w:tc>
          <w:tcPr>
            <w:tcW w:w="1020" w:type="dxa"/>
            <w:vAlign w:val="bottom"/>
          </w:tcPr>
          <w:p>
            <w:pPr>
              <w:jc w:val="right"/>
              <w:ind w:right="124"/>
              <w:spacing w:after="0"/>
              <w:rPr>
                <w:sz w:val="20"/>
                <w:szCs w:val="20"/>
                <w:color w:val="auto"/>
              </w:rPr>
            </w:pPr>
            <w:r>
              <w:rPr>
                <w:rFonts w:ascii="Arial" w:cs="Arial" w:eastAsia="Arial" w:hAnsi="Arial"/>
                <w:sz w:val="15"/>
                <w:szCs w:val="15"/>
                <w:color w:val="51555C"/>
              </w:rPr>
              <w:t>287,030</w:t>
            </w:r>
          </w:p>
        </w:tc>
        <w:tc>
          <w:tcPr>
            <w:tcW w:w="200" w:type="dxa"/>
            <w:vAlign w:val="bottom"/>
          </w:tcPr>
          <w:p>
            <w:pPr>
              <w:jc w:val="right"/>
              <w:ind w:right="4"/>
              <w:spacing w:after="0"/>
              <w:rPr>
                <w:sz w:val="20"/>
                <w:szCs w:val="20"/>
                <w:color w:val="auto"/>
              </w:rPr>
            </w:pPr>
            <w:r>
              <w:rPr>
                <w:rFonts w:ascii="Arial" w:cs="Arial" w:eastAsia="Arial" w:hAnsi="Arial"/>
                <w:sz w:val="15"/>
                <w:szCs w:val="15"/>
                <w:color w:val="51555C"/>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51555C"/>
              </w:rPr>
              <w:t>275,802</w:t>
            </w:r>
          </w:p>
        </w:tc>
        <w:tc>
          <w:tcPr>
            <w:tcW w:w="460" w:type="dxa"/>
            <w:vAlign w:val="bottom"/>
            <w:gridSpan w:val="2"/>
          </w:tcPr>
          <w:p>
            <w:pPr>
              <w:jc w:val="right"/>
              <w:ind w:right="204"/>
              <w:spacing w:after="0"/>
              <w:rPr>
                <w:sz w:val="20"/>
                <w:szCs w:val="20"/>
                <w:color w:val="auto"/>
              </w:rPr>
            </w:pPr>
            <w:r>
              <w:rPr>
                <w:rFonts w:ascii="Arial" w:cs="Arial" w:eastAsia="Arial" w:hAnsi="Arial"/>
                <w:sz w:val="15"/>
                <w:szCs w:val="15"/>
                <w:color w:val="51555C"/>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51555C"/>
              </w:rPr>
              <w:t>848,806</w:t>
            </w:r>
          </w:p>
        </w:tc>
        <w:tc>
          <w:tcPr>
            <w:tcW w:w="180" w:type="dxa"/>
            <w:vAlign w:val="bottom"/>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51555C"/>
              </w:rPr>
              <w:t>815,406</w:t>
            </w:r>
          </w:p>
        </w:tc>
        <w:tc>
          <w:tcPr>
            <w:tcW w:w="20" w:type="dxa"/>
            <w:vAlign w:val="bottom"/>
          </w:tcPr>
          <w:p>
            <w:pPr>
              <w:spacing w:after="0"/>
              <w:rPr>
                <w:sz w:val="17"/>
                <w:szCs w:val="17"/>
                <w:color w:val="auto"/>
              </w:rPr>
            </w:pPr>
          </w:p>
        </w:tc>
      </w:tr>
      <w:tr>
        <w:trPr>
          <w:trHeight w:val="203"/>
        </w:trPr>
        <w:tc>
          <w:tcPr>
            <w:tcW w:w="5740" w:type="dxa"/>
            <w:vAlign w:val="bottom"/>
            <w:shd w:val="clear" w:color="auto" w:fill="EBFBFF"/>
          </w:tcPr>
          <w:p>
            <w:pPr>
              <w:ind w:left="20"/>
              <w:spacing w:after="0" w:line="203" w:lineRule="exact"/>
              <w:rPr>
                <w:sz w:val="20"/>
                <w:szCs w:val="20"/>
                <w:color w:val="auto"/>
              </w:rPr>
            </w:pPr>
            <w:r>
              <w:rPr>
                <w:rFonts w:ascii="Arial" w:cs="Arial" w:eastAsia="Arial" w:hAnsi="Arial"/>
                <w:sz w:val="15"/>
                <w:szCs w:val="15"/>
                <w:color w:val="51555C"/>
              </w:rPr>
              <w:t>Foreign currency impact on non-GAAP organic recurring revenue</w:t>
            </w:r>
            <w:r>
              <w:rPr>
                <w:rFonts w:ascii="Arial" w:cs="Arial" w:eastAsia="Arial" w:hAnsi="Arial"/>
                <w:sz w:val="19"/>
                <w:szCs w:val="19"/>
                <w:color w:val="51555C"/>
                <w:vertAlign w:val="superscript"/>
              </w:rPr>
              <w:t>(3)</w:t>
            </w:r>
          </w:p>
        </w:tc>
        <w:tc>
          <w:tcPr>
            <w:tcW w:w="380" w:type="dxa"/>
            <w:vAlign w:val="bottom"/>
            <w:tcBorders>
              <w:bottom w:val="single" w:sz="8" w:color="51555C"/>
            </w:tcBorders>
            <w:shd w:val="clear" w:color="auto" w:fill="EBFBFF"/>
          </w:tcPr>
          <w:p>
            <w:pPr>
              <w:spacing w:after="0"/>
              <w:rPr>
                <w:sz w:val="17"/>
                <w:szCs w:val="17"/>
                <w:color w:val="auto"/>
              </w:rPr>
            </w:pPr>
          </w:p>
        </w:tc>
        <w:tc>
          <w:tcPr>
            <w:tcW w:w="1020" w:type="dxa"/>
            <w:vAlign w:val="bottom"/>
            <w:tcBorders>
              <w:bottom w:val="single" w:sz="8" w:color="51555C"/>
            </w:tcBorders>
            <w:shd w:val="clear" w:color="auto" w:fill="EBFBFF"/>
          </w:tcPr>
          <w:p>
            <w:pPr>
              <w:jc w:val="right"/>
              <w:ind w:right="84"/>
              <w:spacing w:after="0"/>
              <w:rPr>
                <w:sz w:val="20"/>
                <w:szCs w:val="20"/>
                <w:color w:val="auto"/>
              </w:rPr>
            </w:pPr>
            <w:r>
              <w:rPr>
                <w:rFonts w:ascii="Arial" w:cs="Arial" w:eastAsia="Arial" w:hAnsi="Arial"/>
                <w:sz w:val="15"/>
                <w:szCs w:val="15"/>
                <w:color w:val="51555C"/>
              </w:rPr>
              <w:t>(227)</w:t>
            </w:r>
          </w:p>
        </w:tc>
        <w:tc>
          <w:tcPr>
            <w:tcW w:w="20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w:t>
            </w:r>
          </w:p>
        </w:tc>
        <w:tc>
          <w:tcPr>
            <w:tcW w:w="80" w:type="dxa"/>
            <w:vAlign w:val="bottom"/>
            <w:shd w:val="clear" w:color="auto" w:fill="EBFBFF"/>
          </w:tcPr>
          <w:p>
            <w:pPr>
              <w:spacing w:after="0"/>
              <w:rPr>
                <w:sz w:val="17"/>
                <w:szCs w:val="17"/>
                <w:color w:val="auto"/>
              </w:rPr>
            </w:pPr>
          </w:p>
        </w:tc>
        <w:tc>
          <w:tcPr>
            <w:tcW w:w="380" w:type="dxa"/>
            <w:vAlign w:val="bottom"/>
            <w:tcBorders>
              <w:bottom w:val="single" w:sz="8" w:color="51555C"/>
            </w:tcBorders>
            <w:shd w:val="clear" w:color="auto" w:fill="EBFBFF"/>
          </w:tcPr>
          <w:p>
            <w:pPr>
              <w:spacing w:after="0"/>
              <w:rPr>
                <w:sz w:val="17"/>
                <w:szCs w:val="17"/>
                <w:color w:val="auto"/>
              </w:rPr>
            </w:pPr>
          </w:p>
        </w:tc>
        <w:tc>
          <w:tcPr>
            <w:tcW w:w="1040" w:type="dxa"/>
            <w:vAlign w:val="bottom"/>
            <w:tcBorders>
              <w:bottom w:val="single" w:sz="8" w:color="51555C"/>
            </w:tcBorders>
            <w:shd w:val="clear" w:color="auto" w:fill="EBFBFF"/>
          </w:tcPr>
          <w:p>
            <w:pPr>
              <w:jc w:val="right"/>
              <w:ind w:right="84"/>
              <w:spacing w:after="0"/>
              <w:rPr>
                <w:sz w:val="20"/>
                <w:szCs w:val="20"/>
                <w:color w:val="auto"/>
              </w:rPr>
            </w:pPr>
            <w:r>
              <w:rPr>
                <w:rFonts w:ascii="Arial" w:cs="Arial" w:eastAsia="Arial" w:hAnsi="Arial"/>
                <w:sz w:val="15"/>
                <w:szCs w:val="15"/>
                <w:color w:val="51555C"/>
              </w:rPr>
              <w:t>(3,095)</w:t>
            </w:r>
          </w:p>
        </w:tc>
        <w:tc>
          <w:tcPr>
            <w:tcW w:w="18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6"/>
        </w:trPr>
        <w:tc>
          <w:tcPr>
            <w:tcW w:w="5740" w:type="dxa"/>
            <w:vAlign w:val="bottom"/>
            <w:tcBorders>
              <w:bottom w:val="single" w:sz="8" w:color="EBFBFF"/>
            </w:tcBorders>
          </w:tcPr>
          <w:p>
            <w:pPr>
              <w:ind w:left="20"/>
              <w:spacing w:after="0" w:line="196" w:lineRule="exact"/>
              <w:rPr>
                <w:sz w:val="20"/>
                <w:szCs w:val="20"/>
                <w:color w:val="auto"/>
              </w:rPr>
            </w:pPr>
            <w:r>
              <w:rPr>
                <w:rFonts w:ascii="Arial" w:cs="Arial" w:eastAsia="Arial" w:hAnsi="Arial"/>
                <w:sz w:val="15"/>
                <w:szCs w:val="15"/>
                <w:color w:val="51555C"/>
              </w:rPr>
              <w:t>Non-GAAP organic recurring revenue on constant currency basis</w:t>
            </w:r>
            <w:r>
              <w:rPr>
                <w:rFonts w:ascii="Arial" w:cs="Arial" w:eastAsia="Arial" w:hAnsi="Arial"/>
                <w:sz w:val="19"/>
                <w:szCs w:val="19"/>
                <w:color w:val="51555C"/>
                <w:vertAlign w:val="superscript"/>
              </w:rPr>
              <w:t>(3)</w:t>
            </w:r>
          </w:p>
        </w:tc>
        <w:tc>
          <w:tcPr>
            <w:tcW w:w="380" w:type="dxa"/>
            <w:vAlign w:val="bottom"/>
            <w:tcBorders>
              <w:bottom w:val="single" w:sz="8" w:color="51555C"/>
            </w:tcBorders>
          </w:tcPr>
          <w:p>
            <w:pPr>
              <w:jc w:val="right"/>
              <w:ind w:right="20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286,803</w:t>
            </w:r>
          </w:p>
        </w:tc>
        <w:tc>
          <w:tcPr>
            <w:tcW w:w="20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rPr>
              <w:t>$</w:t>
            </w:r>
          </w:p>
        </w:tc>
        <w:tc>
          <w:tcPr>
            <w:tcW w:w="1120" w:type="dxa"/>
            <w:vAlign w:val="bottom"/>
            <w:tcBorders>
              <w:bottom w:val="single" w:sz="8" w:color="51555C"/>
            </w:tcBorders>
          </w:tcPr>
          <w:p>
            <w:pPr>
              <w:jc w:val="right"/>
              <w:ind w:right="24"/>
              <w:spacing w:after="0"/>
              <w:rPr>
                <w:sz w:val="20"/>
                <w:szCs w:val="20"/>
                <w:color w:val="auto"/>
              </w:rPr>
            </w:pPr>
            <w:r>
              <w:rPr>
                <w:rFonts w:ascii="Arial" w:cs="Arial" w:eastAsia="Arial" w:hAnsi="Arial"/>
                <w:sz w:val="15"/>
                <w:szCs w:val="15"/>
                <w:color w:val="51555C"/>
              </w:rPr>
              <w:t>275,802</w:t>
            </w:r>
          </w:p>
        </w:tc>
        <w:tc>
          <w:tcPr>
            <w:tcW w:w="80" w:type="dxa"/>
            <w:vAlign w:val="bottom"/>
            <w:tcBorders>
              <w:bottom w:val="single" w:sz="8" w:color="EBFBFF"/>
            </w:tcBorders>
          </w:tcPr>
          <w:p>
            <w:pPr>
              <w:spacing w:after="0"/>
              <w:rPr>
                <w:sz w:val="17"/>
                <w:szCs w:val="17"/>
                <w:color w:val="auto"/>
              </w:rPr>
            </w:pPr>
          </w:p>
        </w:tc>
        <w:tc>
          <w:tcPr>
            <w:tcW w:w="380" w:type="dxa"/>
            <w:vAlign w:val="bottom"/>
            <w:tcBorders>
              <w:bottom w:val="single" w:sz="8" w:color="51555C"/>
            </w:tcBorders>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845,711</w:t>
            </w:r>
          </w:p>
        </w:tc>
        <w:tc>
          <w:tcPr>
            <w:tcW w:w="18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815,406</w:t>
            </w:r>
          </w:p>
        </w:tc>
        <w:tc>
          <w:tcPr>
            <w:tcW w:w="20" w:type="dxa"/>
            <w:vAlign w:val="bottom"/>
          </w:tcPr>
          <w:p>
            <w:pPr>
              <w:spacing w:after="0"/>
              <w:rPr>
                <w:sz w:val="17"/>
                <w:szCs w:val="17"/>
                <w:color w:val="auto"/>
              </w:rPr>
            </w:pPr>
          </w:p>
        </w:tc>
      </w:tr>
      <w:tr>
        <w:trPr>
          <w:trHeight w:val="196"/>
        </w:trPr>
        <w:tc>
          <w:tcPr>
            <w:tcW w:w="574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5"/>
                <w:szCs w:val="15"/>
                <w:b w:val="1"/>
                <w:bCs w:val="1"/>
                <w:color w:val="51555C"/>
              </w:rPr>
              <w:t>Non-GAAP organic recurring revenue growth on constant currency basis</w:t>
            </w:r>
          </w:p>
        </w:tc>
        <w:tc>
          <w:tcPr>
            <w:tcW w:w="380" w:type="dxa"/>
            <w:vAlign w:val="bottom"/>
            <w:tcBorders>
              <w:bottom w:val="single" w:sz="8" w:color="0CD973"/>
            </w:tcBorders>
            <w:shd w:val="clear" w:color="auto" w:fill="EBFBFF"/>
          </w:tcPr>
          <w:p>
            <w:pPr>
              <w:spacing w:after="0"/>
              <w:rPr>
                <w:sz w:val="17"/>
                <w:szCs w:val="17"/>
                <w:color w:val="auto"/>
              </w:rPr>
            </w:pPr>
          </w:p>
        </w:tc>
        <w:tc>
          <w:tcPr>
            <w:tcW w:w="10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b w:val="1"/>
                <w:bCs w:val="1"/>
                <w:color w:val="51555C"/>
              </w:rPr>
              <w:t>4.0 %</w:t>
            </w:r>
          </w:p>
        </w:tc>
        <w:tc>
          <w:tcPr>
            <w:tcW w:w="200" w:type="dxa"/>
            <w:vAlign w:val="bottom"/>
            <w:tcBorders>
              <w:bottom w:val="single" w:sz="8" w:color="0CD973"/>
            </w:tcBorders>
            <w:shd w:val="clear" w:color="auto" w:fill="EBFBFF"/>
          </w:tcPr>
          <w:p>
            <w:pPr>
              <w:spacing w:after="0"/>
              <w:rPr>
                <w:sz w:val="17"/>
                <w:szCs w:val="17"/>
                <w:color w:val="auto"/>
              </w:rPr>
            </w:pPr>
          </w:p>
        </w:tc>
        <w:tc>
          <w:tcPr>
            <w:tcW w:w="1120" w:type="dxa"/>
            <w:vAlign w:val="bottom"/>
            <w:tcBorders>
              <w:bottom w:val="single" w:sz="8" w:color="0CD973"/>
              <w:right w:val="single" w:sz="8" w:color="EBFBFF"/>
            </w:tcBorders>
            <w:shd w:val="clear" w:color="auto" w:fill="EBFBFF"/>
          </w:tcPr>
          <w:p>
            <w:pPr>
              <w:spacing w:after="0"/>
              <w:rPr>
                <w:sz w:val="17"/>
                <w:szCs w:val="17"/>
                <w:color w:val="auto"/>
              </w:rPr>
            </w:pPr>
          </w:p>
        </w:tc>
        <w:tc>
          <w:tcPr>
            <w:tcW w:w="80" w:type="dxa"/>
            <w:vAlign w:val="bottom"/>
            <w:tcBorders>
              <w:bottom w:val="single" w:sz="8" w:color="0CD973"/>
            </w:tcBorders>
            <w:shd w:val="clear" w:color="auto" w:fill="EBFBFF"/>
          </w:tcPr>
          <w:p>
            <w:pPr>
              <w:spacing w:after="0"/>
              <w:rPr>
                <w:sz w:val="17"/>
                <w:szCs w:val="17"/>
                <w:color w:val="auto"/>
              </w:rPr>
            </w:pPr>
          </w:p>
        </w:tc>
        <w:tc>
          <w:tcPr>
            <w:tcW w:w="380" w:type="dxa"/>
            <w:vAlign w:val="bottom"/>
            <w:tcBorders>
              <w:bottom w:val="single" w:sz="8" w:color="0CD973"/>
            </w:tcBorders>
            <w:shd w:val="clear" w:color="auto" w:fill="EBFBFF"/>
          </w:tcPr>
          <w:p>
            <w:pPr>
              <w:spacing w:after="0"/>
              <w:rPr>
                <w:sz w:val="17"/>
                <w:szCs w:val="17"/>
                <w:color w:val="auto"/>
              </w:rPr>
            </w:pP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b w:val="1"/>
                <w:bCs w:val="1"/>
                <w:color w:val="51555C"/>
              </w:rPr>
              <w:t>3.7 %</w:t>
            </w:r>
          </w:p>
        </w:tc>
        <w:tc>
          <w:tcPr>
            <w:tcW w:w="180" w:type="dxa"/>
            <w:vAlign w:val="bottom"/>
            <w:tcBorders>
              <w:bottom w:val="single" w:sz="8" w:color="0CD973"/>
            </w:tcBorders>
            <w:shd w:val="clear" w:color="auto" w:fill="EBFBFF"/>
          </w:tcPr>
          <w:p>
            <w:pPr>
              <w:spacing w:after="0"/>
              <w:rPr>
                <w:sz w:val="17"/>
                <w:szCs w:val="17"/>
                <w:color w:val="auto"/>
              </w:rPr>
            </w:pPr>
          </w:p>
        </w:tc>
        <w:tc>
          <w:tcPr>
            <w:tcW w:w="1100" w:type="dxa"/>
            <w:vAlign w:val="bottom"/>
            <w:tcBorders>
              <w:bottom w:val="single" w:sz="8" w:color="0CD973"/>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-3051175</wp:posOffset>
            </wp:positionV>
            <wp:extent cx="3505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65" w:lineRule="exact"/>
        <w:rPr>
          <w:sz w:val="20"/>
          <w:szCs w:val="20"/>
          <w:color w:val="auto"/>
        </w:rPr>
      </w:pPr>
    </w:p>
    <w:p>
      <w:pPr>
        <w:ind w:left="340" w:right="20" w:hanging="332"/>
        <w:spacing w:after="0" w:line="261" w:lineRule="auto"/>
        <w:tabs>
          <w:tab w:leader="none" w:pos="327"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Non-GAAP revenue from divested businesses excludes revenue associated with divested businesses in the prior period. The exclusion of the prior period revenue is to present the results of the divested business with the results of the combined company for the same period of time in both the prior and current periods.</w:t>
      </w:r>
    </w:p>
    <w:p>
      <w:pPr>
        <w:spacing w:after="0" w:line="1" w:lineRule="exact"/>
        <w:rPr>
          <w:rFonts w:ascii="Arial" w:cs="Arial" w:eastAsia="Arial" w:hAnsi="Arial"/>
          <w:sz w:val="14"/>
          <w:szCs w:val="14"/>
          <w:color w:val="51555C"/>
        </w:rPr>
      </w:pPr>
    </w:p>
    <w:p>
      <w:pPr>
        <w:jc w:val="both"/>
        <w:ind w:left="340" w:right="20" w:hanging="332"/>
        <w:spacing w:after="0" w:line="261" w:lineRule="auto"/>
        <w:tabs>
          <w:tab w:leader="none" w:pos="327"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spacing w:after="0" w:line="1" w:lineRule="exact"/>
        <w:rPr>
          <w:rFonts w:ascii="Arial" w:cs="Arial" w:eastAsia="Arial" w:hAnsi="Arial"/>
          <w:sz w:val="14"/>
          <w:szCs w:val="14"/>
          <w:color w:val="51555C"/>
        </w:rPr>
      </w:pPr>
    </w:p>
    <w:p>
      <w:pPr>
        <w:jc w:val="both"/>
        <w:ind w:left="340" w:right="20" w:hanging="332"/>
        <w:spacing w:after="0" w:line="262" w:lineRule="auto"/>
        <w:tabs>
          <w:tab w:leader="none" w:pos="327"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51555C"/>
        </w:rPr>
        <w:t>10</w:t>
      </w:r>
    </w:p>
    <w:p>
      <w:pPr>
        <w:sectPr>
          <w:pgSz w:w="11900" w:h="16838" w:orient="portrait"/>
          <w:cols w:equalWidth="0" w:num="1">
            <w:col w:w="11260"/>
          </w:cols>
          <w:pgMar w:left="320" w:top="122"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Reconciliation of GAAP to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232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23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5"/>
                <w:szCs w:val="15"/>
                <w:color w:val="auto"/>
              </w:rPr>
            </w:pPr>
          </w:p>
        </w:tc>
      </w:tr>
      <w:tr>
        <w:trPr>
          <w:trHeight w:val="189"/>
        </w:trPr>
        <w:tc>
          <w:tcPr>
            <w:tcW w:w="574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1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04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35"/>
        </w:trPr>
        <w:tc>
          <w:tcPr>
            <w:tcW w:w="57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00" w:type="dxa"/>
            <w:vAlign w:val="bottom"/>
            <w:tcBorders>
              <w:bottom w:val="single" w:sz="8" w:color="004054"/>
            </w:tcBorders>
            <w:shd w:val="clear" w:color="auto" w:fill="004054"/>
          </w:tcPr>
          <w:p>
            <w:pPr>
              <w:spacing w:after="0"/>
              <w:rPr>
                <w:sz w:val="20"/>
                <w:szCs w:val="20"/>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80" w:type="dxa"/>
            <w:vAlign w:val="bottom"/>
            <w:tcBorders>
              <w:bottom w:val="single" w:sz="8" w:color="004054"/>
            </w:tcBorders>
            <w:shd w:val="clear" w:color="auto" w:fill="004054"/>
          </w:tcPr>
          <w:p>
            <w:pPr>
              <w:spacing w:after="0"/>
              <w:rPr>
                <w:sz w:val="20"/>
                <w:szCs w:val="20"/>
                <w:color w:val="auto"/>
              </w:rPr>
            </w:pPr>
          </w:p>
        </w:tc>
        <w:tc>
          <w:tcPr>
            <w:tcW w:w="112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80" w:type="dxa"/>
            <w:vAlign w:val="bottom"/>
            <w:tcBorders>
              <w:bottom w:val="single" w:sz="8" w:color="EBFBFF"/>
            </w:tcBorders>
          </w:tcPr>
          <w:p>
            <w:pPr>
              <w:spacing w:after="0"/>
              <w:rPr>
                <w:sz w:val="20"/>
                <w:szCs w:val="20"/>
                <w:color w:val="auto"/>
              </w:rPr>
            </w:pPr>
          </w:p>
        </w:tc>
        <w:tc>
          <w:tcPr>
            <w:tcW w:w="380" w:type="dxa"/>
            <w:vAlign w:val="bottom"/>
            <w:tcBorders>
              <w:bottom w:val="single" w:sz="8" w:color="004054"/>
            </w:tcBorders>
            <w:shd w:val="clear" w:color="auto" w:fill="004054"/>
          </w:tcPr>
          <w:p>
            <w:pPr>
              <w:spacing w:after="0"/>
              <w:rPr>
                <w:sz w:val="20"/>
                <w:szCs w:val="20"/>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80" w:type="dxa"/>
            <w:vAlign w:val="bottom"/>
            <w:tcBorders>
              <w:bottom w:val="single" w:sz="8" w:color="004054"/>
            </w:tcBorders>
            <w:shd w:val="clear" w:color="auto" w:fill="004054"/>
          </w:tcPr>
          <w:p>
            <w:pPr>
              <w:spacing w:after="0"/>
              <w:rPr>
                <w:sz w:val="20"/>
                <w:szCs w:val="20"/>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0"/>
                <w:szCs w:val="20"/>
                <w:color w:val="auto"/>
              </w:rPr>
            </w:pPr>
          </w:p>
        </w:tc>
      </w:tr>
      <w:tr>
        <w:trPr>
          <w:trHeight w:val="177"/>
        </w:trPr>
        <w:tc>
          <w:tcPr>
            <w:tcW w:w="5740" w:type="dxa"/>
            <w:vAlign w:val="bottom"/>
            <w:tcBorders>
              <w:top w:val="single" w:sz="8" w:color="004054"/>
            </w:tcBorders>
            <w:shd w:val="clear" w:color="auto" w:fill="EBFBFF"/>
          </w:tcPr>
          <w:p>
            <w:pPr>
              <w:ind w:left="20"/>
              <w:spacing w:after="0"/>
              <w:rPr>
                <w:sz w:val="20"/>
                <w:szCs w:val="20"/>
                <w:color w:val="auto"/>
              </w:rPr>
            </w:pPr>
            <w:r>
              <w:rPr>
                <w:rFonts w:ascii="Arial" w:cs="Arial" w:eastAsia="Arial" w:hAnsi="Arial"/>
                <w:sz w:val="15"/>
                <w:szCs w:val="15"/>
                <w:b w:val="1"/>
                <w:bCs w:val="1"/>
                <w:color w:val="51555C"/>
              </w:rPr>
              <w:t>GAAP net income</w:t>
            </w:r>
          </w:p>
        </w:tc>
        <w:tc>
          <w:tcPr>
            <w:tcW w:w="400" w:type="dxa"/>
            <w:vAlign w:val="bottom"/>
            <w:tcBorders>
              <w:top w:val="single" w:sz="8" w:color="004054"/>
            </w:tcBorders>
            <w:shd w:val="clear" w:color="auto" w:fill="EBFBFF"/>
          </w:tcPr>
          <w:p>
            <w:pPr>
              <w:jc w:val="right"/>
              <w:ind w:right="224"/>
              <w:spacing w:after="0"/>
              <w:rPr>
                <w:sz w:val="20"/>
                <w:szCs w:val="20"/>
                <w:color w:val="auto"/>
              </w:rPr>
            </w:pPr>
            <w:r>
              <w:rPr>
                <w:rFonts w:ascii="Arial" w:cs="Arial" w:eastAsia="Arial" w:hAnsi="Arial"/>
                <w:sz w:val="15"/>
                <w:szCs w:val="15"/>
                <w:color w:val="51555C"/>
                <w:w w:val="95"/>
              </w:rPr>
              <w:t>$</w:t>
            </w:r>
          </w:p>
        </w:tc>
        <w:tc>
          <w:tcPr>
            <w:tcW w:w="1020" w:type="dxa"/>
            <w:vAlign w:val="bottom"/>
            <w:tcBorders>
              <w:top w:val="single" w:sz="8" w:color="004054"/>
            </w:tcBorders>
            <w:shd w:val="clear" w:color="auto" w:fill="EBFBFF"/>
          </w:tcPr>
          <w:p>
            <w:pPr>
              <w:jc w:val="right"/>
              <w:ind w:right="124"/>
              <w:spacing w:after="0"/>
              <w:rPr>
                <w:sz w:val="20"/>
                <w:szCs w:val="20"/>
                <w:color w:val="auto"/>
              </w:rPr>
            </w:pPr>
            <w:r>
              <w:rPr>
                <w:rFonts w:ascii="Arial" w:cs="Arial" w:eastAsia="Arial" w:hAnsi="Arial"/>
                <w:sz w:val="15"/>
                <w:szCs w:val="15"/>
                <w:color w:val="51555C"/>
              </w:rPr>
              <w:t>46,068</w:t>
            </w:r>
          </w:p>
        </w:tc>
        <w:tc>
          <w:tcPr>
            <w:tcW w:w="180" w:type="dxa"/>
            <w:vAlign w:val="bottom"/>
            <w:tcBorders>
              <w:top w:val="single" w:sz="8" w:color="004054"/>
            </w:tcBorders>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20" w:type="dxa"/>
            <w:vAlign w:val="bottom"/>
            <w:tcBorders>
              <w:top w:val="single" w:sz="8" w:color="004054"/>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47,492</w:t>
            </w:r>
          </w:p>
        </w:tc>
        <w:tc>
          <w:tcPr>
            <w:tcW w:w="80" w:type="dxa"/>
            <w:vAlign w:val="bottom"/>
            <w:tcBorders>
              <w:top w:val="single" w:sz="8" w:color="EBFBFF"/>
            </w:tcBorders>
            <w:shd w:val="clear" w:color="auto" w:fill="EBFBFF"/>
          </w:tcPr>
          <w:p>
            <w:pPr>
              <w:spacing w:after="0"/>
              <w:rPr>
                <w:sz w:val="15"/>
                <w:szCs w:val="15"/>
                <w:color w:val="auto"/>
              </w:rPr>
            </w:pPr>
          </w:p>
        </w:tc>
        <w:tc>
          <w:tcPr>
            <w:tcW w:w="380" w:type="dxa"/>
            <w:vAlign w:val="bottom"/>
            <w:tcBorders>
              <w:top w:val="single" w:sz="8" w:color="EBFBFF"/>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top w:val="single" w:sz="8" w:color="EBFBFF"/>
            </w:tcBorders>
            <w:shd w:val="clear" w:color="auto" w:fill="EBFBFF"/>
          </w:tcPr>
          <w:p>
            <w:pPr>
              <w:jc w:val="right"/>
              <w:ind w:right="124"/>
              <w:spacing w:after="0"/>
              <w:rPr>
                <w:sz w:val="20"/>
                <w:szCs w:val="20"/>
                <w:color w:val="auto"/>
              </w:rPr>
            </w:pPr>
            <w:r>
              <w:rPr>
                <w:rFonts w:ascii="Arial" w:cs="Arial" w:eastAsia="Arial" w:hAnsi="Arial"/>
                <w:sz w:val="15"/>
                <w:szCs w:val="15"/>
                <w:color w:val="51555C"/>
              </w:rPr>
              <w:t>112,565</w:t>
            </w:r>
          </w:p>
        </w:tc>
        <w:tc>
          <w:tcPr>
            <w:tcW w:w="180" w:type="dxa"/>
            <w:vAlign w:val="bottom"/>
            <w:tcBorders>
              <w:top w:val="single" w:sz="8" w:color="EBFBFF"/>
            </w:tcBorders>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Borders>
              <w:top w:val="single" w:sz="8" w:color="EBFBFF"/>
            </w:tcBorders>
            <w:shd w:val="clear" w:color="auto" w:fill="EBFBFF"/>
          </w:tcPr>
          <w:p>
            <w:pPr>
              <w:jc w:val="right"/>
              <w:spacing w:after="0"/>
              <w:rPr>
                <w:sz w:val="20"/>
                <w:szCs w:val="20"/>
                <w:color w:val="auto"/>
              </w:rPr>
            </w:pPr>
            <w:r>
              <w:rPr>
                <w:rFonts w:ascii="Arial" w:cs="Arial" w:eastAsia="Arial" w:hAnsi="Arial"/>
                <w:sz w:val="15"/>
                <w:szCs w:val="15"/>
                <w:color w:val="51555C"/>
              </w:rPr>
              <w:t>78,281</w:t>
            </w:r>
          </w:p>
        </w:tc>
        <w:tc>
          <w:tcPr>
            <w:tcW w:w="20" w:type="dxa"/>
            <w:vAlign w:val="bottom"/>
          </w:tcPr>
          <w:p>
            <w:pPr>
              <w:spacing w:after="0"/>
              <w:rPr>
                <w:sz w:val="15"/>
                <w:szCs w:val="15"/>
                <w:color w:val="auto"/>
              </w:rPr>
            </w:pPr>
          </w:p>
        </w:tc>
      </w:tr>
      <w:tr>
        <w:trPr>
          <w:trHeight w:val="203"/>
        </w:trPr>
        <w:tc>
          <w:tcPr>
            <w:tcW w:w="5740" w:type="dxa"/>
            <w:vAlign w:val="bottom"/>
          </w:tcPr>
          <w:p>
            <w:pPr>
              <w:ind w:left="20"/>
              <w:spacing w:after="0"/>
              <w:rPr>
                <w:sz w:val="20"/>
                <w:szCs w:val="20"/>
                <w:color w:val="auto"/>
              </w:rPr>
            </w:pPr>
            <w:r>
              <w:rPr>
                <w:rFonts w:ascii="Arial" w:cs="Arial" w:eastAsia="Arial" w:hAnsi="Arial"/>
                <w:sz w:val="15"/>
                <w:szCs w:val="15"/>
                <w:b w:val="1"/>
                <w:bCs w:val="1"/>
                <w:color w:val="51555C"/>
              </w:rPr>
              <w:t>Non-GAAP adjustments:</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4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Add: Interest, net</w:t>
            </w:r>
          </w:p>
        </w:tc>
        <w:tc>
          <w:tcPr>
            <w:tcW w:w="400" w:type="dxa"/>
            <w:vAlign w:val="bottom"/>
            <w:shd w:val="clear" w:color="auto" w:fill="EBFBFF"/>
          </w:tcPr>
          <w:p>
            <w:pPr>
              <w:spacing w:after="0"/>
              <w:rPr>
                <w:sz w:val="17"/>
                <w:szCs w:val="17"/>
                <w:color w:val="auto"/>
              </w:rPr>
            </w:pPr>
          </w:p>
        </w:tc>
        <w:tc>
          <w:tcPr>
            <w:tcW w:w="102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13,865</w:t>
            </w:r>
          </w:p>
        </w:tc>
        <w:tc>
          <w:tcPr>
            <w:tcW w:w="18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14,403</w:t>
            </w: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43,874</w:t>
            </w:r>
          </w:p>
        </w:tc>
        <w:tc>
          <w:tcPr>
            <w:tcW w:w="18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46,136</w:t>
            </w:r>
          </w:p>
        </w:tc>
        <w:tc>
          <w:tcPr>
            <w:tcW w:w="20" w:type="dxa"/>
            <w:vAlign w:val="bottom"/>
          </w:tcPr>
          <w:p>
            <w:pPr>
              <w:spacing w:after="0"/>
              <w:rPr>
                <w:sz w:val="17"/>
                <w:szCs w:val="17"/>
                <w:color w:val="auto"/>
              </w:rPr>
            </w:pPr>
          </w:p>
        </w:tc>
      </w:tr>
      <w:tr>
        <w:trPr>
          <w:trHeight w:val="201"/>
        </w:trPr>
        <w:tc>
          <w:tcPr>
            <w:tcW w:w="5740" w:type="dxa"/>
            <w:vAlign w:val="bottom"/>
          </w:tcPr>
          <w:p>
            <w:pPr>
              <w:ind w:left="140"/>
              <w:spacing w:after="0"/>
              <w:rPr>
                <w:sz w:val="20"/>
                <w:szCs w:val="20"/>
                <w:color w:val="auto"/>
              </w:rPr>
            </w:pPr>
            <w:r>
              <w:rPr>
                <w:rFonts w:ascii="Arial" w:cs="Arial" w:eastAsia="Arial" w:hAnsi="Arial"/>
                <w:sz w:val="15"/>
                <w:szCs w:val="15"/>
                <w:color w:val="51555C"/>
              </w:rPr>
              <w:t>Add: GAAP income tax provision (benefit)</w:t>
            </w:r>
          </w:p>
        </w:tc>
        <w:tc>
          <w:tcPr>
            <w:tcW w:w="400" w:type="dxa"/>
            <w:vAlign w:val="bottom"/>
          </w:tcPr>
          <w:p>
            <w:pPr>
              <w:spacing w:after="0"/>
              <w:rPr>
                <w:sz w:val="17"/>
                <w:szCs w:val="17"/>
                <w:color w:val="auto"/>
              </w:rPr>
            </w:pPr>
          </w:p>
        </w:tc>
        <w:tc>
          <w:tcPr>
            <w:tcW w:w="1020" w:type="dxa"/>
            <w:vAlign w:val="bottom"/>
          </w:tcPr>
          <w:p>
            <w:pPr>
              <w:jc w:val="right"/>
              <w:ind w:right="124"/>
              <w:spacing w:after="0"/>
              <w:rPr>
                <w:sz w:val="20"/>
                <w:szCs w:val="20"/>
                <w:color w:val="auto"/>
              </w:rPr>
            </w:pPr>
            <w:r>
              <w:rPr>
                <w:rFonts w:ascii="Arial" w:cs="Arial" w:eastAsia="Arial" w:hAnsi="Arial"/>
                <w:sz w:val="15"/>
                <w:szCs w:val="15"/>
                <w:color w:val="51555C"/>
              </w:rPr>
              <w:t>371</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51555C"/>
              </w:rPr>
              <w:t>(6,448)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51555C"/>
              </w:rPr>
              <w:t>18,100</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51555C"/>
              </w:rPr>
              <w:t>7,669</w:t>
            </w:r>
          </w:p>
        </w:tc>
        <w:tc>
          <w:tcPr>
            <w:tcW w:w="20" w:type="dxa"/>
            <w:vAlign w:val="bottom"/>
          </w:tcPr>
          <w:p>
            <w:pPr>
              <w:spacing w:after="0"/>
              <w:rPr>
                <w:sz w:val="17"/>
                <w:szCs w:val="17"/>
                <w:color w:val="auto"/>
              </w:rPr>
            </w:pPr>
          </w:p>
        </w:tc>
      </w:tr>
      <w:tr>
        <w:trPr>
          <w:trHeight w:val="204"/>
        </w:trPr>
        <w:tc>
          <w:tcPr>
            <w:tcW w:w="574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Add: Depreciation</w:t>
            </w:r>
          </w:p>
        </w:tc>
        <w:tc>
          <w:tcPr>
            <w:tcW w:w="400" w:type="dxa"/>
            <w:vAlign w:val="bottom"/>
            <w:shd w:val="clear" w:color="auto" w:fill="EBFBFF"/>
          </w:tcPr>
          <w:p>
            <w:pPr>
              <w:spacing w:after="0"/>
              <w:rPr>
                <w:sz w:val="17"/>
                <w:szCs w:val="17"/>
                <w:color w:val="auto"/>
              </w:rPr>
            </w:pPr>
          </w:p>
        </w:tc>
        <w:tc>
          <w:tcPr>
            <w:tcW w:w="102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3,177</w:t>
            </w:r>
          </w:p>
        </w:tc>
        <w:tc>
          <w:tcPr>
            <w:tcW w:w="18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2,181</w:t>
            </w: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8,228</w:t>
            </w:r>
          </w:p>
        </w:tc>
        <w:tc>
          <w:tcPr>
            <w:tcW w:w="18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7,823</w:t>
            </w:r>
          </w:p>
        </w:tc>
        <w:tc>
          <w:tcPr>
            <w:tcW w:w="20" w:type="dxa"/>
            <w:vAlign w:val="bottom"/>
          </w:tcPr>
          <w:p>
            <w:pPr>
              <w:spacing w:after="0"/>
              <w:rPr>
                <w:sz w:val="17"/>
                <w:szCs w:val="17"/>
                <w:color w:val="auto"/>
              </w:rPr>
            </w:pPr>
          </w:p>
        </w:tc>
      </w:tr>
      <w:tr>
        <w:trPr>
          <w:trHeight w:val="201"/>
        </w:trPr>
        <w:tc>
          <w:tcPr>
            <w:tcW w:w="5740" w:type="dxa"/>
            <w:vAlign w:val="bottom"/>
          </w:tcPr>
          <w:p>
            <w:pPr>
              <w:ind w:left="140"/>
              <w:spacing w:after="0"/>
              <w:rPr>
                <w:sz w:val="20"/>
                <w:szCs w:val="20"/>
                <w:color w:val="auto"/>
              </w:rPr>
            </w:pPr>
            <w:r>
              <w:rPr>
                <w:rFonts w:ascii="Arial" w:cs="Arial" w:eastAsia="Arial" w:hAnsi="Arial"/>
                <w:sz w:val="15"/>
                <w:szCs w:val="15"/>
                <w:color w:val="51555C"/>
              </w:rPr>
              <w:t>Add: Amortization of intangibles from business combinations</w:t>
            </w:r>
          </w:p>
        </w:tc>
        <w:tc>
          <w:tcPr>
            <w:tcW w:w="400" w:type="dxa"/>
            <w:vAlign w:val="bottom"/>
          </w:tcPr>
          <w:p>
            <w:pPr>
              <w:spacing w:after="0"/>
              <w:rPr>
                <w:sz w:val="17"/>
                <w:szCs w:val="17"/>
                <w:color w:val="auto"/>
              </w:rPr>
            </w:pPr>
          </w:p>
        </w:tc>
        <w:tc>
          <w:tcPr>
            <w:tcW w:w="1020" w:type="dxa"/>
            <w:vAlign w:val="bottom"/>
          </w:tcPr>
          <w:p>
            <w:pPr>
              <w:jc w:val="right"/>
              <w:ind w:right="124"/>
              <w:spacing w:after="0"/>
              <w:rPr>
                <w:sz w:val="20"/>
                <w:szCs w:val="20"/>
                <w:color w:val="auto"/>
              </w:rPr>
            </w:pPr>
            <w:r>
              <w:rPr>
                <w:rFonts w:ascii="Arial" w:cs="Arial" w:eastAsia="Arial" w:hAnsi="Arial"/>
                <w:sz w:val="15"/>
                <w:szCs w:val="15"/>
                <w:color w:val="51555C"/>
              </w:rPr>
              <w:t>5,993</w:t>
            </w:r>
          </w:p>
        </w:tc>
        <w:tc>
          <w:tcPr>
            <w:tcW w:w="18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51555C"/>
              </w:rPr>
              <w:t>7,381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51555C"/>
              </w:rPr>
              <w:t>18,838</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51555C"/>
              </w:rPr>
              <w:t>22,553</w:t>
            </w:r>
          </w:p>
        </w:tc>
        <w:tc>
          <w:tcPr>
            <w:tcW w:w="20" w:type="dxa"/>
            <w:vAlign w:val="bottom"/>
          </w:tcPr>
          <w:p>
            <w:pPr>
              <w:spacing w:after="0"/>
              <w:rPr>
                <w:sz w:val="17"/>
                <w:szCs w:val="17"/>
                <w:color w:val="auto"/>
              </w:rPr>
            </w:pPr>
          </w:p>
        </w:tc>
      </w:tr>
      <w:tr>
        <w:trPr>
          <w:trHeight w:val="204"/>
        </w:trPr>
        <w:tc>
          <w:tcPr>
            <w:tcW w:w="5740" w:type="dxa"/>
            <w:vAlign w:val="bottom"/>
            <w:shd w:val="clear" w:color="auto" w:fill="EBFBFF"/>
          </w:tcPr>
          <w:p>
            <w:pPr>
              <w:ind w:left="140"/>
              <w:spacing w:after="0" w:line="204" w:lineRule="exact"/>
              <w:rPr>
                <w:sz w:val="20"/>
                <w:szCs w:val="20"/>
                <w:color w:val="auto"/>
              </w:rPr>
            </w:pPr>
            <w:r>
              <w:rPr>
                <w:rFonts w:ascii="Arial" w:cs="Arial" w:eastAsia="Arial" w:hAnsi="Arial"/>
                <w:sz w:val="15"/>
                <w:szCs w:val="15"/>
                <w:color w:val="51555C"/>
              </w:rPr>
              <w:t>Add: Amortization of software development costs</w:t>
            </w:r>
            <w:r>
              <w:rPr>
                <w:rFonts w:ascii="Arial" w:cs="Arial" w:eastAsia="Arial" w:hAnsi="Arial"/>
                <w:sz w:val="19"/>
                <w:szCs w:val="19"/>
                <w:color w:val="51555C"/>
                <w:vertAlign w:val="superscript"/>
              </w:rPr>
              <w:t>(1)</w:t>
            </w:r>
          </w:p>
        </w:tc>
        <w:tc>
          <w:tcPr>
            <w:tcW w:w="400" w:type="dxa"/>
            <w:vAlign w:val="bottom"/>
            <w:tcBorders>
              <w:bottom w:val="single" w:sz="8" w:color="51555C"/>
            </w:tcBorders>
            <w:shd w:val="clear" w:color="auto" w:fill="EBFBFF"/>
          </w:tcPr>
          <w:p>
            <w:pPr>
              <w:spacing w:after="0"/>
              <w:rPr>
                <w:sz w:val="17"/>
                <w:szCs w:val="17"/>
                <w:color w:val="auto"/>
              </w:rPr>
            </w:pPr>
          </w:p>
        </w:tc>
        <w:tc>
          <w:tcPr>
            <w:tcW w:w="102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12,978</w:t>
            </w:r>
          </w:p>
        </w:tc>
        <w:tc>
          <w:tcPr>
            <w:tcW w:w="18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12,605</w:t>
            </w:r>
          </w:p>
        </w:tc>
        <w:tc>
          <w:tcPr>
            <w:tcW w:w="80" w:type="dxa"/>
            <w:vAlign w:val="bottom"/>
            <w:shd w:val="clear" w:color="auto" w:fill="EBFBFF"/>
          </w:tcPr>
          <w:p>
            <w:pPr>
              <w:spacing w:after="0"/>
              <w:rPr>
                <w:sz w:val="17"/>
                <w:szCs w:val="17"/>
                <w:color w:val="auto"/>
              </w:rPr>
            </w:pPr>
          </w:p>
        </w:tc>
        <w:tc>
          <w:tcPr>
            <w:tcW w:w="380" w:type="dxa"/>
            <w:vAlign w:val="bottom"/>
            <w:tcBorders>
              <w:bottom w:val="single" w:sz="8" w:color="51555C"/>
            </w:tcBorders>
            <w:shd w:val="clear" w:color="auto" w:fill="EBFBFF"/>
          </w:tcPr>
          <w:p>
            <w:pPr>
              <w:spacing w:after="0"/>
              <w:rPr>
                <w:sz w:val="17"/>
                <w:szCs w:val="17"/>
                <w:color w:val="auto"/>
              </w:rPr>
            </w:pP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38,203</w:t>
            </w:r>
          </w:p>
        </w:tc>
        <w:tc>
          <w:tcPr>
            <w:tcW w:w="18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36,781</w:t>
            </w:r>
          </w:p>
        </w:tc>
        <w:tc>
          <w:tcPr>
            <w:tcW w:w="20" w:type="dxa"/>
            <w:vAlign w:val="bottom"/>
          </w:tcPr>
          <w:p>
            <w:pPr>
              <w:spacing w:after="0"/>
              <w:rPr>
                <w:sz w:val="17"/>
                <w:szCs w:val="17"/>
                <w:color w:val="auto"/>
              </w:rPr>
            </w:pPr>
          </w:p>
        </w:tc>
      </w:tr>
      <w:tr>
        <w:trPr>
          <w:trHeight w:val="195"/>
        </w:trPr>
        <w:tc>
          <w:tcPr>
            <w:tcW w:w="574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Subtotal</w:t>
            </w:r>
          </w:p>
        </w:tc>
        <w:tc>
          <w:tcPr>
            <w:tcW w:w="400" w:type="dxa"/>
            <w:vAlign w:val="bottom"/>
            <w:tcBorders>
              <w:bottom w:val="single" w:sz="8" w:color="51555C"/>
            </w:tcBorders>
          </w:tcPr>
          <w:p>
            <w:pPr>
              <w:spacing w:after="0"/>
              <w:rPr>
                <w:sz w:val="16"/>
                <w:szCs w:val="16"/>
                <w:color w:val="auto"/>
              </w:rPr>
            </w:pPr>
          </w:p>
        </w:tc>
        <w:tc>
          <w:tcPr>
            <w:tcW w:w="102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36,384</w:t>
            </w:r>
          </w:p>
        </w:tc>
        <w:tc>
          <w:tcPr>
            <w:tcW w:w="180" w:type="dxa"/>
            <w:vAlign w:val="bottom"/>
            <w:tcBorders>
              <w:bottom w:val="single" w:sz="8" w:color="51555C"/>
            </w:tcBorders>
          </w:tcPr>
          <w:p>
            <w:pPr>
              <w:spacing w:after="0"/>
              <w:rPr>
                <w:sz w:val="16"/>
                <w:szCs w:val="16"/>
                <w:color w:val="auto"/>
              </w:rPr>
            </w:pPr>
          </w:p>
        </w:tc>
        <w:tc>
          <w:tcPr>
            <w:tcW w:w="1120" w:type="dxa"/>
            <w:vAlign w:val="bottom"/>
            <w:tcBorders>
              <w:bottom w:val="single" w:sz="8" w:color="51555C"/>
            </w:tcBorders>
          </w:tcPr>
          <w:p>
            <w:pPr>
              <w:jc w:val="right"/>
              <w:ind w:right="24"/>
              <w:spacing w:after="0"/>
              <w:rPr>
                <w:sz w:val="20"/>
                <w:szCs w:val="20"/>
                <w:color w:val="auto"/>
              </w:rPr>
            </w:pPr>
            <w:r>
              <w:rPr>
                <w:rFonts w:ascii="Arial" w:cs="Arial" w:eastAsia="Arial" w:hAnsi="Arial"/>
                <w:sz w:val="15"/>
                <w:szCs w:val="15"/>
                <w:color w:val="51555C"/>
              </w:rPr>
              <w:t>30,122</w:t>
            </w:r>
          </w:p>
        </w:tc>
        <w:tc>
          <w:tcPr>
            <w:tcW w:w="80" w:type="dxa"/>
            <w:vAlign w:val="bottom"/>
            <w:tcBorders>
              <w:bottom w:val="single" w:sz="8" w:color="EBFBFF"/>
            </w:tcBorders>
          </w:tcPr>
          <w:p>
            <w:pPr>
              <w:spacing w:after="0"/>
              <w:rPr>
                <w:sz w:val="16"/>
                <w:szCs w:val="16"/>
                <w:color w:val="auto"/>
              </w:rPr>
            </w:pPr>
          </w:p>
        </w:tc>
        <w:tc>
          <w:tcPr>
            <w:tcW w:w="380" w:type="dxa"/>
            <w:vAlign w:val="bottom"/>
            <w:tcBorders>
              <w:bottom w:val="single" w:sz="8" w:color="51555C"/>
            </w:tcBorders>
          </w:tcPr>
          <w:p>
            <w:pPr>
              <w:spacing w:after="0"/>
              <w:rPr>
                <w:sz w:val="16"/>
                <w:szCs w:val="16"/>
                <w:color w:val="auto"/>
              </w:rPr>
            </w:pP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127,243</w:t>
            </w:r>
          </w:p>
        </w:tc>
        <w:tc>
          <w:tcPr>
            <w:tcW w:w="180" w:type="dxa"/>
            <w:vAlign w:val="bottom"/>
            <w:tcBorders>
              <w:bottom w:val="single" w:sz="8" w:color="51555C"/>
            </w:tcBorders>
          </w:tcPr>
          <w:p>
            <w:pPr>
              <w:spacing w:after="0"/>
              <w:rPr>
                <w:sz w:val="16"/>
                <w:szCs w:val="16"/>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120,962</w:t>
            </w:r>
          </w:p>
        </w:tc>
        <w:tc>
          <w:tcPr>
            <w:tcW w:w="20" w:type="dxa"/>
            <w:vAlign w:val="bottom"/>
          </w:tcPr>
          <w:p>
            <w:pPr>
              <w:spacing w:after="0"/>
              <w:rPr>
                <w:sz w:val="16"/>
                <w:szCs w:val="16"/>
                <w:color w:val="auto"/>
              </w:rPr>
            </w:pPr>
          </w:p>
        </w:tc>
      </w:tr>
      <w:tr>
        <w:trPr>
          <w:trHeight w:val="197"/>
        </w:trPr>
        <w:tc>
          <w:tcPr>
            <w:tcW w:w="574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Non-GAAP EBITDA</w:t>
            </w:r>
          </w:p>
        </w:tc>
        <w:tc>
          <w:tcPr>
            <w:tcW w:w="400" w:type="dxa"/>
            <w:vAlign w:val="bottom"/>
            <w:tcBorders>
              <w:bottom w:val="single" w:sz="8" w:color="51555C"/>
            </w:tcBorders>
            <w:shd w:val="clear" w:color="auto" w:fill="EBFBFF"/>
          </w:tcPr>
          <w:p>
            <w:pPr>
              <w:jc w:val="right"/>
              <w:ind w:right="22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82,452</w:t>
            </w:r>
          </w:p>
        </w:tc>
        <w:tc>
          <w:tcPr>
            <w:tcW w:w="18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20" w:type="dxa"/>
            <w:vAlign w:val="bottom"/>
            <w:tcBorders>
              <w:bottom w:val="single" w:sz="8" w:color="51555C"/>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77,614</w:t>
            </w:r>
          </w:p>
        </w:tc>
        <w:tc>
          <w:tcPr>
            <w:tcW w:w="80" w:type="dxa"/>
            <w:vAlign w:val="bottom"/>
            <w:shd w:val="clear" w:color="auto" w:fill="EBFBFF"/>
          </w:tcPr>
          <w:p>
            <w:pPr>
              <w:spacing w:after="0"/>
              <w:rPr>
                <w:sz w:val="17"/>
                <w:szCs w:val="17"/>
                <w:color w:val="auto"/>
              </w:rPr>
            </w:pPr>
          </w:p>
        </w:tc>
        <w:tc>
          <w:tcPr>
            <w:tcW w:w="380" w:type="dxa"/>
            <w:vAlign w:val="bottom"/>
            <w:tcBorders>
              <w:bottom w:val="single" w:sz="8" w:color="51555C"/>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239,808</w:t>
            </w:r>
          </w:p>
        </w:tc>
        <w:tc>
          <w:tcPr>
            <w:tcW w:w="18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199,243</w:t>
            </w:r>
          </w:p>
        </w:tc>
        <w:tc>
          <w:tcPr>
            <w:tcW w:w="20" w:type="dxa"/>
            <w:vAlign w:val="bottom"/>
          </w:tcPr>
          <w:p>
            <w:pPr>
              <w:spacing w:after="0"/>
              <w:rPr>
                <w:sz w:val="17"/>
                <w:szCs w:val="17"/>
                <w:color w:val="auto"/>
              </w:rPr>
            </w:pPr>
          </w:p>
        </w:tc>
      </w:tr>
      <w:tr>
        <w:trPr>
          <w:trHeight w:val="196"/>
        </w:trPr>
        <w:tc>
          <w:tcPr>
            <w:tcW w:w="5740" w:type="dxa"/>
            <w:vAlign w:val="bottom"/>
          </w:tcPr>
          <w:p>
            <w:pPr>
              <w:ind w:left="140"/>
              <w:spacing w:after="0" w:line="196" w:lineRule="exact"/>
              <w:rPr>
                <w:sz w:val="20"/>
                <w:szCs w:val="20"/>
                <w:color w:val="auto"/>
              </w:rPr>
            </w:pPr>
            <w:r>
              <w:rPr>
                <w:rFonts w:ascii="Arial" w:cs="Arial" w:eastAsia="Arial" w:hAnsi="Arial"/>
                <w:sz w:val="15"/>
                <w:szCs w:val="15"/>
                <w:b w:val="1"/>
                <w:bCs w:val="1"/>
                <w:color w:val="51555C"/>
              </w:rPr>
              <w:t>Non-GAAP EBITDA margin</w:t>
            </w:r>
            <w:r>
              <w:rPr>
                <w:rFonts w:ascii="Arial" w:cs="Arial" w:eastAsia="Arial" w:hAnsi="Arial"/>
                <w:sz w:val="19"/>
                <w:szCs w:val="19"/>
                <w:b w:val="1"/>
                <w:bCs w:val="1"/>
                <w:color w:val="51555C"/>
                <w:vertAlign w:val="superscript"/>
              </w:rPr>
              <w:t>(2)</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51555C"/>
              </w:rPr>
              <w:t>28.2 %</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51555C"/>
              </w:rPr>
              <w:t>27.7 %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740" w:type="dxa"/>
            <w:vAlign w:val="bottom"/>
            <w:shd w:val="clear" w:color="auto" w:fill="EBFBFF"/>
          </w:tcPr>
          <w:p>
            <w:pPr>
              <w:spacing w:after="0"/>
              <w:rPr>
                <w:sz w:val="18"/>
                <w:szCs w:val="18"/>
                <w:color w:val="auto"/>
              </w:rPr>
            </w:pPr>
          </w:p>
        </w:tc>
        <w:tc>
          <w:tcPr>
            <w:tcW w:w="400" w:type="dxa"/>
            <w:vAlign w:val="bottom"/>
            <w:shd w:val="clear" w:color="auto" w:fill="EBFBFF"/>
          </w:tcPr>
          <w:p>
            <w:pPr>
              <w:spacing w:after="0"/>
              <w:rPr>
                <w:sz w:val="18"/>
                <w:szCs w:val="18"/>
                <w:color w:val="auto"/>
              </w:rPr>
            </w:pPr>
          </w:p>
        </w:tc>
        <w:tc>
          <w:tcPr>
            <w:tcW w:w="102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120" w:type="dxa"/>
            <w:vAlign w:val="bottom"/>
            <w:tcBorders>
              <w:right w:val="single" w:sz="8" w:color="EBFBFF"/>
            </w:tcBorders>
            <w:shd w:val="clear" w:color="auto" w:fill="EBFBFF"/>
          </w:tcPr>
          <w:p>
            <w:pPr>
              <w:spacing w:after="0"/>
              <w:rPr>
                <w:sz w:val="18"/>
                <w:szCs w:val="18"/>
                <w:color w:val="auto"/>
              </w:rPr>
            </w:pPr>
          </w:p>
        </w:tc>
        <w:tc>
          <w:tcPr>
            <w:tcW w:w="80" w:type="dxa"/>
            <w:vAlign w:val="bottom"/>
            <w:shd w:val="clear" w:color="auto" w:fill="EBFBFF"/>
          </w:tcPr>
          <w:p>
            <w:pPr>
              <w:spacing w:after="0"/>
              <w:rPr>
                <w:sz w:val="18"/>
                <w:szCs w:val="18"/>
                <w:color w:val="auto"/>
              </w:rPr>
            </w:pPr>
          </w:p>
        </w:tc>
        <w:tc>
          <w:tcPr>
            <w:tcW w:w="38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10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40" w:type="dxa"/>
            <w:vAlign w:val="bottom"/>
          </w:tcPr>
          <w:p>
            <w:pPr>
              <w:ind w:left="20"/>
              <w:spacing w:after="0"/>
              <w:rPr>
                <w:sz w:val="20"/>
                <w:szCs w:val="20"/>
                <w:color w:val="auto"/>
              </w:rPr>
            </w:pPr>
            <w:r>
              <w:rPr>
                <w:rFonts w:ascii="Arial" w:cs="Arial" w:eastAsia="Arial" w:hAnsi="Arial"/>
                <w:sz w:val="15"/>
                <w:szCs w:val="15"/>
                <w:b w:val="1"/>
                <w:bCs w:val="1"/>
                <w:color w:val="51555C"/>
              </w:rPr>
              <w:t>Non-GAAP adjustments:</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4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Add: Stock-based compensation expense</w:t>
            </w:r>
          </w:p>
        </w:tc>
        <w:tc>
          <w:tcPr>
            <w:tcW w:w="400" w:type="dxa"/>
            <w:vAlign w:val="bottom"/>
            <w:shd w:val="clear" w:color="auto" w:fill="EBFBFF"/>
          </w:tcPr>
          <w:p>
            <w:pPr>
              <w:jc w:val="right"/>
              <w:ind w:right="224"/>
              <w:spacing w:after="0"/>
              <w:rPr>
                <w:sz w:val="20"/>
                <w:szCs w:val="20"/>
                <w:color w:val="auto"/>
              </w:rPr>
            </w:pPr>
            <w:r>
              <w:rPr>
                <w:rFonts w:ascii="Arial" w:cs="Arial" w:eastAsia="Arial" w:hAnsi="Arial"/>
                <w:sz w:val="15"/>
                <w:szCs w:val="15"/>
                <w:color w:val="51555C"/>
                <w:w w:val="95"/>
              </w:rPr>
              <w:t>$</w:t>
            </w:r>
          </w:p>
        </w:tc>
        <w:tc>
          <w:tcPr>
            <w:tcW w:w="102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22,100</w:t>
            </w:r>
          </w:p>
        </w:tc>
        <w:tc>
          <w:tcPr>
            <w:tcW w:w="1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20" w:type="dxa"/>
            <w:vAlign w:val="bottom"/>
            <w:tcBorders>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21,657</w:t>
            </w:r>
          </w:p>
        </w:tc>
        <w:tc>
          <w:tcPr>
            <w:tcW w:w="460" w:type="dxa"/>
            <w:vAlign w:val="bottom"/>
            <w:gridSpan w:val="2"/>
            <w:shd w:val="clear" w:color="auto" w:fill="EBFBFF"/>
          </w:tcPr>
          <w:p>
            <w:pPr>
              <w:jc w:val="right"/>
              <w:ind w:right="204"/>
              <w:spacing w:after="0"/>
              <w:rPr>
                <w:sz w:val="20"/>
                <w:szCs w:val="20"/>
                <w:color w:val="auto"/>
              </w:rPr>
            </w:pPr>
            <w:r>
              <w:rPr>
                <w:rFonts w:ascii="Arial" w:cs="Arial" w:eastAsia="Arial" w:hAnsi="Arial"/>
                <w:sz w:val="15"/>
                <w:szCs w:val="15"/>
                <w:color w:val="51555C"/>
              </w:rPr>
              <w:t>$</w:t>
            </w: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68,686</w:t>
            </w:r>
          </w:p>
        </w:tc>
        <w:tc>
          <w:tcPr>
            <w:tcW w:w="1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71,079</w:t>
            </w:r>
          </w:p>
        </w:tc>
        <w:tc>
          <w:tcPr>
            <w:tcW w:w="20" w:type="dxa"/>
            <w:vAlign w:val="bottom"/>
          </w:tcPr>
          <w:p>
            <w:pPr>
              <w:spacing w:after="0"/>
              <w:rPr>
                <w:sz w:val="17"/>
                <w:szCs w:val="17"/>
                <w:color w:val="auto"/>
              </w:rPr>
            </w:pPr>
          </w:p>
        </w:tc>
      </w:tr>
      <w:tr>
        <w:trPr>
          <w:trHeight w:val="201"/>
        </w:trPr>
        <w:tc>
          <w:tcPr>
            <w:tcW w:w="5740" w:type="dxa"/>
            <w:vAlign w:val="bottom"/>
          </w:tcPr>
          <w:p>
            <w:pPr>
              <w:ind w:left="140"/>
              <w:spacing w:after="0"/>
              <w:rPr>
                <w:sz w:val="20"/>
                <w:szCs w:val="20"/>
                <w:color w:val="auto"/>
              </w:rPr>
            </w:pPr>
            <w:r>
              <w:rPr>
                <w:rFonts w:ascii="Arial" w:cs="Arial" w:eastAsia="Arial" w:hAnsi="Arial"/>
                <w:sz w:val="15"/>
                <w:szCs w:val="15"/>
                <w:color w:val="51555C"/>
              </w:rPr>
              <w:t>Add: Employee severance</w:t>
            </w:r>
          </w:p>
        </w:tc>
        <w:tc>
          <w:tcPr>
            <w:tcW w:w="400" w:type="dxa"/>
            <w:vAlign w:val="bottom"/>
          </w:tcPr>
          <w:p>
            <w:pPr>
              <w:spacing w:after="0"/>
              <w:rPr>
                <w:sz w:val="17"/>
                <w:szCs w:val="17"/>
                <w:color w:val="auto"/>
              </w:rPr>
            </w:pPr>
          </w:p>
        </w:tc>
        <w:tc>
          <w:tcPr>
            <w:tcW w:w="1020" w:type="dxa"/>
            <w:vAlign w:val="bottom"/>
          </w:tcPr>
          <w:p>
            <w:pPr>
              <w:jc w:val="right"/>
              <w:ind w:right="124"/>
              <w:spacing w:after="0"/>
              <w:rPr>
                <w:sz w:val="20"/>
                <w:szCs w:val="20"/>
                <w:color w:val="auto"/>
              </w:rPr>
            </w:pPr>
            <w:r>
              <w:rPr>
                <w:rFonts w:ascii="Arial" w:cs="Arial" w:eastAsia="Arial" w:hAnsi="Arial"/>
                <w:sz w:val="15"/>
                <w:szCs w:val="15"/>
                <w:color w:val="51555C"/>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51555C"/>
              </w:rPr>
              <w:t>(242)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51555C"/>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51555C"/>
              </w:rPr>
              <w:t>1,905</w:t>
            </w:r>
          </w:p>
        </w:tc>
        <w:tc>
          <w:tcPr>
            <w:tcW w:w="20" w:type="dxa"/>
            <w:vAlign w:val="bottom"/>
          </w:tcPr>
          <w:p>
            <w:pPr>
              <w:spacing w:after="0"/>
              <w:rPr>
                <w:sz w:val="17"/>
                <w:szCs w:val="17"/>
                <w:color w:val="auto"/>
              </w:rPr>
            </w:pPr>
          </w:p>
        </w:tc>
      </w:tr>
      <w:tr>
        <w:trPr>
          <w:trHeight w:val="204"/>
        </w:trPr>
        <w:tc>
          <w:tcPr>
            <w:tcW w:w="5740" w:type="dxa"/>
            <w:vAlign w:val="bottom"/>
            <w:shd w:val="clear" w:color="auto" w:fill="EBFBFF"/>
          </w:tcPr>
          <w:p>
            <w:pPr>
              <w:ind w:left="140"/>
              <w:spacing w:after="0" w:line="204" w:lineRule="exact"/>
              <w:rPr>
                <w:sz w:val="20"/>
                <w:szCs w:val="20"/>
                <w:color w:val="auto"/>
              </w:rPr>
            </w:pPr>
            <w:r>
              <w:rPr>
                <w:rFonts w:ascii="Arial" w:cs="Arial" w:eastAsia="Arial" w:hAnsi="Arial"/>
                <w:sz w:val="15"/>
                <w:szCs w:val="15"/>
                <w:color w:val="51555C"/>
              </w:rPr>
              <w:t>Add: Global workforce transition costs</w:t>
            </w:r>
            <w:r>
              <w:rPr>
                <w:rFonts w:ascii="Arial" w:cs="Arial" w:eastAsia="Arial" w:hAnsi="Arial"/>
                <w:sz w:val="19"/>
                <w:szCs w:val="19"/>
                <w:color w:val="51555C"/>
                <w:vertAlign w:val="superscript"/>
              </w:rPr>
              <w:t>(3)</w:t>
            </w:r>
          </w:p>
        </w:tc>
        <w:tc>
          <w:tcPr>
            <w:tcW w:w="400" w:type="dxa"/>
            <w:vAlign w:val="bottom"/>
            <w:shd w:val="clear" w:color="auto" w:fill="EBFBFF"/>
          </w:tcPr>
          <w:p>
            <w:pPr>
              <w:spacing w:after="0"/>
              <w:rPr>
                <w:sz w:val="17"/>
                <w:szCs w:val="17"/>
                <w:color w:val="auto"/>
              </w:rPr>
            </w:pPr>
          </w:p>
        </w:tc>
        <w:tc>
          <w:tcPr>
            <w:tcW w:w="102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5,439</w:t>
            </w:r>
          </w:p>
        </w:tc>
        <w:tc>
          <w:tcPr>
            <w:tcW w:w="18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w:t>
            </w: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8,439</w:t>
            </w:r>
          </w:p>
        </w:tc>
        <w:tc>
          <w:tcPr>
            <w:tcW w:w="18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203"/>
        </w:trPr>
        <w:tc>
          <w:tcPr>
            <w:tcW w:w="5740" w:type="dxa"/>
            <w:vAlign w:val="bottom"/>
          </w:tcPr>
          <w:p>
            <w:pPr>
              <w:ind w:left="140"/>
              <w:spacing w:after="0" w:line="203" w:lineRule="exact"/>
              <w:rPr>
                <w:sz w:val="20"/>
                <w:szCs w:val="20"/>
                <w:color w:val="auto"/>
              </w:rPr>
            </w:pPr>
            <w:r>
              <w:rPr>
                <w:rFonts w:ascii="Arial" w:cs="Arial" w:eastAsia="Arial" w:hAnsi="Arial"/>
                <w:sz w:val="15"/>
                <w:szCs w:val="15"/>
                <w:color w:val="51555C"/>
              </w:rPr>
              <w:t>Add: Acquisition and disposition-related costs</w:t>
            </w:r>
            <w:r>
              <w:rPr>
                <w:rFonts w:ascii="Arial" w:cs="Arial" w:eastAsia="Arial" w:hAnsi="Arial"/>
                <w:sz w:val="19"/>
                <w:szCs w:val="19"/>
                <w:color w:val="51555C"/>
                <w:vertAlign w:val="superscript"/>
              </w:rPr>
              <w:t>(3)</w:t>
            </w:r>
          </w:p>
        </w:tc>
        <w:tc>
          <w:tcPr>
            <w:tcW w:w="400" w:type="dxa"/>
            <w:vAlign w:val="bottom"/>
          </w:tcPr>
          <w:p>
            <w:pPr>
              <w:spacing w:after="0"/>
              <w:rPr>
                <w:sz w:val="17"/>
                <w:szCs w:val="17"/>
                <w:color w:val="auto"/>
              </w:rPr>
            </w:pPr>
          </w:p>
        </w:tc>
        <w:tc>
          <w:tcPr>
            <w:tcW w:w="1020" w:type="dxa"/>
            <w:vAlign w:val="bottom"/>
          </w:tcPr>
          <w:p>
            <w:pPr>
              <w:jc w:val="right"/>
              <w:ind w:right="124"/>
              <w:spacing w:after="0"/>
              <w:rPr>
                <w:sz w:val="20"/>
                <w:szCs w:val="20"/>
                <w:color w:val="auto"/>
              </w:rPr>
            </w:pPr>
            <w:r>
              <w:rPr>
                <w:rFonts w:ascii="Arial" w:cs="Arial" w:eastAsia="Arial" w:hAnsi="Arial"/>
                <w:sz w:val="15"/>
                <w:szCs w:val="15"/>
                <w:color w:val="51555C"/>
              </w:rPr>
              <w:t>237</w:t>
            </w:r>
          </w:p>
        </w:tc>
        <w:tc>
          <w:tcPr>
            <w:tcW w:w="18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51555C"/>
              </w:rPr>
              <w:t>383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51555C"/>
              </w:rPr>
              <w:t>1,250</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51555C"/>
              </w:rPr>
              <w:t>25,779</w:t>
            </w:r>
          </w:p>
        </w:tc>
        <w:tc>
          <w:tcPr>
            <w:tcW w:w="20" w:type="dxa"/>
            <w:vAlign w:val="bottom"/>
          </w:tcPr>
          <w:p>
            <w:pPr>
              <w:spacing w:after="0"/>
              <w:rPr>
                <w:sz w:val="17"/>
                <w:szCs w:val="17"/>
                <w:color w:val="auto"/>
              </w:rPr>
            </w:pPr>
          </w:p>
        </w:tc>
      </w:tr>
      <w:tr>
        <w:trPr>
          <w:trHeight w:val="203"/>
        </w:trPr>
        <w:tc>
          <w:tcPr>
            <w:tcW w:w="574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Add: Security Incident-related costs</w:t>
            </w:r>
          </w:p>
        </w:tc>
        <w:tc>
          <w:tcPr>
            <w:tcW w:w="400" w:type="dxa"/>
            <w:vAlign w:val="bottom"/>
            <w:shd w:val="clear" w:color="auto" w:fill="EBFBFF"/>
          </w:tcPr>
          <w:p>
            <w:pPr>
              <w:spacing w:after="0"/>
              <w:rPr>
                <w:sz w:val="17"/>
                <w:szCs w:val="17"/>
                <w:color w:val="auto"/>
              </w:rPr>
            </w:pPr>
          </w:p>
        </w:tc>
        <w:tc>
          <w:tcPr>
            <w:tcW w:w="102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853</w:t>
            </w:r>
          </w:p>
        </w:tc>
        <w:tc>
          <w:tcPr>
            <w:tcW w:w="18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247</w:t>
            </w: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853</w:t>
            </w:r>
          </w:p>
        </w:tc>
        <w:tc>
          <w:tcPr>
            <w:tcW w:w="180" w:type="dxa"/>
            <w:vAlign w:val="bottom"/>
            <w:shd w:val="clear" w:color="auto" w:fill="EBFBFF"/>
          </w:tcPr>
          <w:p>
            <w:pPr>
              <w:spacing w:after="0"/>
              <w:rPr>
                <w:sz w:val="17"/>
                <w:szCs w:val="17"/>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2,822</w:t>
            </w:r>
          </w:p>
        </w:tc>
        <w:tc>
          <w:tcPr>
            <w:tcW w:w="20" w:type="dxa"/>
            <w:vAlign w:val="bottom"/>
          </w:tcPr>
          <w:p>
            <w:pPr>
              <w:spacing w:after="0"/>
              <w:rPr>
                <w:sz w:val="17"/>
                <w:szCs w:val="17"/>
                <w:color w:val="auto"/>
              </w:rPr>
            </w:pPr>
          </w:p>
        </w:tc>
      </w:tr>
      <w:tr>
        <w:trPr>
          <w:trHeight w:val="201"/>
        </w:trPr>
        <w:tc>
          <w:tcPr>
            <w:tcW w:w="5740" w:type="dxa"/>
            <w:vAlign w:val="bottom"/>
            <w:tcBorders>
              <w:bottom w:val="single" w:sz="8" w:color="EBFBFF"/>
            </w:tcBorders>
          </w:tcPr>
          <w:p>
            <w:pPr>
              <w:ind w:left="140"/>
              <w:spacing w:after="0"/>
              <w:rPr>
                <w:sz w:val="20"/>
                <w:szCs w:val="20"/>
                <w:color w:val="auto"/>
              </w:rPr>
            </w:pPr>
            <w:r>
              <w:rPr>
                <w:rFonts w:ascii="Arial" w:cs="Arial" w:eastAsia="Arial" w:hAnsi="Arial"/>
                <w:sz w:val="15"/>
                <w:szCs w:val="15"/>
                <w:color w:val="51555C"/>
              </w:rPr>
              <w:t>Add: Impairment of capitalized software development costs</w:t>
            </w:r>
          </w:p>
        </w:tc>
        <w:tc>
          <w:tcPr>
            <w:tcW w:w="40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w:t>
            </w:r>
          </w:p>
        </w:tc>
        <w:tc>
          <w:tcPr>
            <w:tcW w:w="18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24"/>
              <w:spacing w:after="0"/>
              <w:rPr>
                <w:sz w:val="20"/>
                <w:szCs w:val="20"/>
                <w:color w:val="auto"/>
              </w:rPr>
            </w:pPr>
            <w:r>
              <w:rPr>
                <w:rFonts w:ascii="Arial" w:cs="Arial" w:eastAsia="Arial" w:hAnsi="Arial"/>
                <w:sz w:val="15"/>
                <w:szCs w:val="15"/>
                <w:color w:val="51555C"/>
              </w:rPr>
              <w:t>—</w:t>
            </w:r>
          </w:p>
        </w:tc>
        <w:tc>
          <w:tcPr>
            <w:tcW w:w="80" w:type="dxa"/>
            <w:vAlign w:val="bottom"/>
            <w:tcBorders>
              <w:bottom w:val="single" w:sz="8" w:color="51555C"/>
            </w:tcBorders>
          </w:tcPr>
          <w:p>
            <w:pPr>
              <w:spacing w:after="0"/>
              <w:rPr>
                <w:sz w:val="17"/>
                <w:szCs w:val="17"/>
                <w:color w:val="auto"/>
              </w:rPr>
            </w:pPr>
          </w:p>
        </w:tc>
        <w:tc>
          <w:tcPr>
            <w:tcW w:w="380" w:type="dxa"/>
            <w:vAlign w:val="bottom"/>
            <w:tcBorders>
              <w:bottom w:val="single" w:sz="8" w:color="51555C"/>
            </w:tcBorders>
          </w:tcPr>
          <w:p>
            <w:pPr>
              <w:spacing w:after="0"/>
              <w:rPr>
                <w:sz w:val="17"/>
                <w:szCs w:val="17"/>
                <w:color w:val="auto"/>
              </w:rPr>
            </w:pP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1,056</w:t>
            </w:r>
          </w:p>
        </w:tc>
        <w:tc>
          <w:tcPr>
            <w:tcW w:w="18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7"/>
        </w:trPr>
        <w:tc>
          <w:tcPr>
            <w:tcW w:w="57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Subtotal</w:t>
            </w:r>
          </w:p>
        </w:tc>
        <w:tc>
          <w:tcPr>
            <w:tcW w:w="400" w:type="dxa"/>
            <w:vAlign w:val="bottom"/>
            <w:tcBorders>
              <w:bottom w:val="single" w:sz="8" w:color="51555C"/>
            </w:tcBorders>
            <w:shd w:val="clear" w:color="auto" w:fill="EBFBFF"/>
          </w:tcPr>
          <w:p>
            <w:pPr>
              <w:spacing w:after="0"/>
              <w:rPr>
                <w:sz w:val="17"/>
                <w:szCs w:val="17"/>
                <w:color w:val="auto"/>
              </w:rPr>
            </w:pPr>
          </w:p>
        </w:tc>
        <w:tc>
          <w:tcPr>
            <w:tcW w:w="102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28,629</w:t>
            </w:r>
          </w:p>
        </w:tc>
        <w:tc>
          <w:tcPr>
            <w:tcW w:w="18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22,045</w:t>
            </w:r>
          </w:p>
        </w:tc>
        <w:tc>
          <w:tcPr>
            <w:tcW w:w="80" w:type="dxa"/>
            <w:vAlign w:val="bottom"/>
            <w:shd w:val="clear" w:color="auto" w:fill="EBFBFF"/>
          </w:tcPr>
          <w:p>
            <w:pPr>
              <w:spacing w:after="0"/>
              <w:rPr>
                <w:sz w:val="17"/>
                <w:szCs w:val="17"/>
                <w:color w:val="auto"/>
              </w:rPr>
            </w:pPr>
          </w:p>
        </w:tc>
        <w:tc>
          <w:tcPr>
            <w:tcW w:w="380" w:type="dxa"/>
            <w:vAlign w:val="bottom"/>
            <w:tcBorders>
              <w:bottom w:val="single" w:sz="8" w:color="51555C"/>
            </w:tcBorders>
            <w:shd w:val="clear" w:color="auto" w:fill="EBFBFF"/>
          </w:tcPr>
          <w:p>
            <w:pPr>
              <w:spacing w:after="0"/>
              <w:rPr>
                <w:sz w:val="17"/>
                <w:szCs w:val="17"/>
                <w:color w:val="auto"/>
              </w:rPr>
            </w:pP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80,284</w:t>
            </w:r>
          </w:p>
        </w:tc>
        <w:tc>
          <w:tcPr>
            <w:tcW w:w="180" w:type="dxa"/>
            <w:vAlign w:val="bottom"/>
            <w:tcBorders>
              <w:bottom w:val="single" w:sz="8" w:color="51555C"/>
            </w:tcBorders>
            <w:shd w:val="clear" w:color="auto" w:fill="EBFBFF"/>
          </w:tcPr>
          <w:p>
            <w:pPr>
              <w:spacing w:after="0"/>
              <w:rPr>
                <w:sz w:val="17"/>
                <w:szCs w:val="17"/>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101,585</w:t>
            </w:r>
          </w:p>
        </w:tc>
        <w:tc>
          <w:tcPr>
            <w:tcW w:w="20" w:type="dxa"/>
            <w:vAlign w:val="bottom"/>
          </w:tcPr>
          <w:p>
            <w:pPr>
              <w:spacing w:after="0"/>
              <w:rPr>
                <w:sz w:val="17"/>
                <w:szCs w:val="17"/>
                <w:color w:val="auto"/>
              </w:rPr>
            </w:pPr>
          </w:p>
        </w:tc>
      </w:tr>
      <w:tr>
        <w:trPr>
          <w:trHeight w:val="196"/>
        </w:trPr>
        <w:tc>
          <w:tcPr>
            <w:tcW w:w="5740" w:type="dxa"/>
            <w:vAlign w:val="bottom"/>
            <w:tcBorders>
              <w:bottom w:val="single" w:sz="8" w:color="EBFBFF"/>
            </w:tcBorders>
          </w:tcPr>
          <w:p>
            <w:pPr>
              <w:ind w:left="20"/>
              <w:spacing w:after="0"/>
              <w:rPr>
                <w:sz w:val="20"/>
                <w:szCs w:val="20"/>
                <w:color w:val="auto"/>
              </w:rPr>
            </w:pPr>
            <w:r>
              <w:rPr>
                <w:rFonts w:ascii="Arial" w:cs="Arial" w:eastAsia="Arial" w:hAnsi="Arial"/>
                <w:sz w:val="15"/>
                <w:szCs w:val="15"/>
                <w:b w:val="1"/>
                <w:bCs w:val="1"/>
                <w:color w:val="51555C"/>
              </w:rPr>
              <w:t>Non-GAAP adjusted EBITDA</w:t>
            </w:r>
          </w:p>
        </w:tc>
        <w:tc>
          <w:tcPr>
            <w:tcW w:w="400" w:type="dxa"/>
            <w:vAlign w:val="bottom"/>
            <w:tcBorders>
              <w:bottom w:val="single" w:sz="8" w:color="51555C"/>
            </w:tcBorders>
          </w:tcPr>
          <w:p>
            <w:pPr>
              <w:jc w:val="right"/>
              <w:ind w:right="22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111,081</w:t>
            </w:r>
          </w:p>
        </w:tc>
        <w:tc>
          <w:tcPr>
            <w:tcW w:w="18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w w:val="95"/>
              </w:rPr>
              <w:t>$</w:t>
            </w:r>
          </w:p>
        </w:tc>
        <w:tc>
          <w:tcPr>
            <w:tcW w:w="1120" w:type="dxa"/>
            <w:vAlign w:val="bottom"/>
            <w:tcBorders>
              <w:bottom w:val="single" w:sz="8" w:color="51555C"/>
            </w:tcBorders>
          </w:tcPr>
          <w:p>
            <w:pPr>
              <w:jc w:val="right"/>
              <w:ind w:right="24"/>
              <w:spacing w:after="0"/>
              <w:rPr>
                <w:sz w:val="20"/>
                <w:szCs w:val="20"/>
                <w:color w:val="auto"/>
              </w:rPr>
            </w:pPr>
            <w:r>
              <w:rPr>
                <w:rFonts w:ascii="Arial" w:cs="Arial" w:eastAsia="Arial" w:hAnsi="Arial"/>
                <w:sz w:val="15"/>
                <w:szCs w:val="15"/>
                <w:color w:val="51555C"/>
              </w:rPr>
              <w:t>99,659</w:t>
            </w:r>
          </w:p>
        </w:tc>
        <w:tc>
          <w:tcPr>
            <w:tcW w:w="80" w:type="dxa"/>
            <w:vAlign w:val="bottom"/>
            <w:tcBorders>
              <w:bottom w:val="single" w:sz="8" w:color="EBFBFF"/>
            </w:tcBorders>
          </w:tcPr>
          <w:p>
            <w:pPr>
              <w:spacing w:after="0"/>
              <w:rPr>
                <w:sz w:val="17"/>
                <w:szCs w:val="17"/>
                <w:color w:val="auto"/>
              </w:rPr>
            </w:pPr>
          </w:p>
        </w:tc>
        <w:tc>
          <w:tcPr>
            <w:tcW w:w="380" w:type="dxa"/>
            <w:vAlign w:val="bottom"/>
            <w:tcBorders>
              <w:bottom w:val="single" w:sz="8" w:color="51555C"/>
            </w:tcBorders>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320,092</w:t>
            </w:r>
          </w:p>
        </w:tc>
        <w:tc>
          <w:tcPr>
            <w:tcW w:w="18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300,828</w:t>
            </w:r>
          </w:p>
        </w:tc>
        <w:tc>
          <w:tcPr>
            <w:tcW w:w="20" w:type="dxa"/>
            <w:vAlign w:val="bottom"/>
          </w:tcPr>
          <w:p>
            <w:pPr>
              <w:spacing w:after="0"/>
              <w:rPr>
                <w:sz w:val="17"/>
                <w:szCs w:val="17"/>
                <w:color w:val="auto"/>
              </w:rPr>
            </w:pPr>
          </w:p>
        </w:tc>
      </w:tr>
      <w:tr>
        <w:trPr>
          <w:trHeight w:val="196"/>
        </w:trPr>
        <w:tc>
          <w:tcPr>
            <w:tcW w:w="5740" w:type="dxa"/>
            <w:vAlign w:val="bottom"/>
            <w:shd w:val="clear" w:color="auto" w:fill="EBFBFF"/>
          </w:tcPr>
          <w:p>
            <w:pPr>
              <w:ind w:left="140"/>
              <w:spacing w:after="0" w:line="196" w:lineRule="exact"/>
              <w:rPr>
                <w:sz w:val="20"/>
                <w:szCs w:val="20"/>
                <w:color w:val="auto"/>
              </w:rPr>
            </w:pPr>
            <w:r>
              <w:rPr>
                <w:rFonts w:ascii="Arial" w:cs="Arial" w:eastAsia="Arial" w:hAnsi="Arial"/>
                <w:sz w:val="15"/>
                <w:szCs w:val="15"/>
                <w:b w:val="1"/>
                <w:bCs w:val="1"/>
                <w:color w:val="51555C"/>
              </w:rPr>
              <w:t>Non-GAAP adjusted EBITDA margin</w:t>
            </w:r>
            <w:r>
              <w:rPr>
                <w:rFonts w:ascii="Arial" w:cs="Arial" w:eastAsia="Arial" w:hAnsi="Arial"/>
                <w:sz w:val="19"/>
                <w:szCs w:val="19"/>
                <w:b w:val="1"/>
                <w:bCs w:val="1"/>
                <w:color w:val="51555C"/>
                <w:vertAlign w:val="superscript"/>
              </w:rPr>
              <w:t>(4)</w:t>
            </w:r>
          </w:p>
        </w:tc>
        <w:tc>
          <w:tcPr>
            <w:tcW w:w="40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38.0 %</w:t>
            </w:r>
          </w:p>
        </w:tc>
        <w:tc>
          <w:tcPr>
            <w:tcW w:w="18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37.0 %</w:t>
            </w:r>
          </w:p>
        </w:tc>
        <w:tc>
          <w:tcPr>
            <w:tcW w:w="180" w:type="dxa"/>
            <w:vAlign w:val="bottom"/>
            <w:shd w:val="clear" w:color="auto" w:fill="EBFBFF"/>
          </w:tcPr>
          <w:p>
            <w:pPr>
              <w:spacing w:after="0"/>
              <w:rPr>
                <w:sz w:val="17"/>
                <w:szCs w:val="17"/>
                <w:color w:val="auto"/>
              </w:rPr>
            </w:pPr>
          </w:p>
        </w:tc>
        <w:tc>
          <w:tcPr>
            <w:tcW w:w="11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5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5740" w:type="dxa"/>
            <w:vAlign w:val="bottom"/>
            <w:shd w:val="clear" w:color="auto" w:fill="EBFBFF"/>
          </w:tcPr>
          <w:p>
            <w:pPr>
              <w:ind w:left="20"/>
              <w:spacing w:after="0" w:line="203" w:lineRule="exact"/>
              <w:rPr>
                <w:sz w:val="20"/>
                <w:szCs w:val="20"/>
                <w:color w:val="auto"/>
              </w:rPr>
            </w:pPr>
            <w:r>
              <w:rPr>
                <w:rFonts w:ascii="Arial" w:cs="Arial" w:eastAsia="Arial" w:hAnsi="Arial"/>
                <w:sz w:val="15"/>
                <w:szCs w:val="15"/>
                <w:b w:val="1"/>
                <w:bCs w:val="1"/>
                <w:color w:val="51555C"/>
              </w:rPr>
              <w:t>Rule of 40</w:t>
            </w:r>
            <w:r>
              <w:rPr>
                <w:rFonts w:ascii="Arial" w:cs="Arial" w:eastAsia="Arial" w:hAnsi="Arial"/>
                <w:sz w:val="19"/>
                <w:szCs w:val="19"/>
                <w:b w:val="1"/>
                <w:bCs w:val="1"/>
                <w:color w:val="51555C"/>
                <w:vertAlign w:val="superscript"/>
              </w:rPr>
              <w:t>(5)</w:t>
            </w:r>
          </w:p>
        </w:tc>
        <w:tc>
          <w:tcPr>
            <w:tcW w:w="40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42.1 %</w:t>
            </w:r>
          </w:p>
        </w:tc>
        <w:tc>
          <w:tcPr>
            <w:tcW w:w="18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40.8 %</w:t>
            </w:r>
          </w:p>
        </w:tc>
        <w:tc>
          <w:tcPr>
            <w:tcW w:w="180" w:type="dxa"/>
            <w:vAlign w:val="bottom"/>
            <w:shd w:val="clear" w:color="auto" w:fill="EBFBFF"/>
          </w:tcPr>
          <w:p>
            <w:pPr>
              <w:spacing w:after="0"/>
              <w:rPr>
                <w:sz w:val="17"/>
                <w:szCs w:val="17"/>
                <w:color w:val="auto"/>
              </w:rPr>
            </w:pPr>
          </w:p>
        </w:tc>
        <w:tc>
          <w:tcPr>
            <w:tcW w:w="11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4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Non-GAAP adjusted EBITDA</w:t>
            </w:r>
          </w:p>
        </w:tc>
        <w:tc>
          <w:tcPr>
            <w:tcW w:w="400" w:type="dxa"/>
            <w:vAlign w:val="bottom"/>
            <w:shd w:val="clear" w:color="auto" w:fill="EBFBFF"/>
          </w:tcPr>
          <w:p>
            <w:pPr>
              <w:jc w:val="right"/>
              <w:ind w:right="224"/>
              <w:spacing w:after="0"/>
              <w:rPr>
                <w:sz w:val="20"/>
                <w:szCs w:val="20"/>
                <w:color w:val="auto"/>
              </w:rPr>
            </w:pPr>
            <w:r>
              <w:rPr>
                <w:rFonts w:ascii="Arial" w:cs="Arial" w:eastAsia="Arial" w:hAnsi="Arial"/>
                <w:sz w:val="15"/>
                <w:szCs w:val="15"/>
                <w:color w:val="51555C"/>
                <w:w w:val="95"/>
              </w:rPr>
              <w:t>$</w:t>
            </w:r>
          </w:p>
        </w:tc>
        <w:tc>
          <w:tcPr>
            <w:tcW w:w="102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111,081</w:t>
            </w:r>
          </w:p>
        </w:tc>
        <w:tc>
          <w:tcPr>
            <w:tcW w:w="1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20" w:type="dxa"/>
            <w:vAlign w:val="bottom"/>
            <w:tcBorders>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99,659</w:t>
            </w:r>
          </w:p>
        </w:tc>
        <w:tc>
          <w:tcPr>
            <w:tcW w:w="460" w:type="dxa"/>
            <w:vAlign w:val="bottom"/>
            <w:gridSpan w:val="2"/>
            <w:shd w:val="clear" w:color="auto" w:fill="EBFBFF"/>
          </w:tcPr>
          <w:p>
            <w:pPr>
              <w:jc w:val="right"/>
              <w:ind w:right="204"/>
              <w:spacing w:after="0"/>
              <w:rPr>
                <w:sz w:val="20"/>
                <w:szCs w:val="20"/>
                <w:color w:val="auto"/>
              </w:rPr>
            </w:pPr>
            <w:r>
              <w:rPr>
                <w:rFonts w:ascii="Arial" w:cs="Arial" w:eastAsia="Arial" w:hAnsi="Arial"/>
                <w:sz w:val="15"/>
                <w:szCs w:val="15"/>
                <w:color w:val="51555C"/>
              </w:rPr>
              <w:t>$</w:t>
            </w: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320,092</w:t>
            </w:r>
          </w:p>
        </w:tc>
        <w:tc>
          <w:tcPr>
            <w:tcW w:w="1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300,828</w:t>
            </w:r>
          </w:p>
        </w:tc>
        <w:tc>
          <w:tcPr>
            <w:tcW w:w="20" w:type="dxa"/>
            <w:vAlign w:val="bottom"/>
          </w:tcPr>
          <w:p>
            <w:pPr>
              <w:spacing w:after="0"/>
              <w:rPr>
                <w:sz w:val="17"/>
                <w:szCs w:val="17"/>
                <w:color w:val="auto"/>
              </w:rPr>
            </w:pPr>
          </w:p>
        </w:tc>
      </w:tr>
      <w:tr>
        <w:trPr>
          <w:trHeight w:val="203"/>
        </w:trPr>
        <w:tc>
          <w:tcPr>
            <w:tcW w:w="5740" w:type="dxa"/>
            <w:vAlign w:val="bottom"/>
            <w:tcBorders>
              <w:bottom w:val="single" w:sz="8" w:color="EBFBFF"/>
            </w:tcBorders>
          </w:tcPr>
          <w:p>
            <w:pPr>
              <w:ind w:left="140"/>
              <w:spacing w:after="0" w:line="203" w:lineRule="exact"/>
              <w:rPr>
                <w:sz w:val="20"/>
                <w:szCs w:val="20"/>
                <w:color w:val="auto"/>
              </w:rPr>
            </w:pPr>
            <w:r>
              <w:rPr>
                <w:rFonts w:ascii="Arial" w:cs="Arial" w:eastAsia="Arial" w:hAnsi="Arial"/>
                <w:sz w:val="15"/>
                <w:szCs w:val="15"/>
                <w:color w:val="51555C"/>
              </w:rPr>
              <w:t>Foreign currency impact on Non-GAAP adjusted EBITDA</w:t>
            </w:r>
            <w:r>
              <w:rPr>
                <w:rFonts w:ascii="Arial" w:cs="Arial" w:eastAsia="Arial" w:hAnsi="Arial"/>
                <w:sz w:val="19"/>
                <w:szCs w:val="19"/>
                <w:color w:val="51555C"/>
                <w:vertAlign w:val="superscript"/>
              </w:rPr>
              <w:t>(6)</w:t>
            </w:r>
          </w:p>
        </w:tc>
        <w:tc>
          <w:tcPr>
            <w:tcW w:w="40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ind w:right="84"/>
              <w:spacing w:after="0"/>
              <w:rPr>
                <w:sz w:val="20"/>
                <w:szCs w:val="20"/>
                <w:color w:val="auto"/>
              </w:rPr>
            </w:pPr>
            <w:r>
              <w:rPr>
                <w:rFonts w:ascii="Arial" w:cs="Arial" w:eastAsia="Arial" w:hAnsi="Arial"/>
                <w:sz w:val="15"/>
                <w:szCs w:val="15"/>
                <w:color w:val="51555C"/>
              </w:rPr>
              <w:t>(76)</w:t>
            </w:r>
          </w:p>
        </w:tc>
        <w:tc>
          <w:tcPr>
            <w:tcW w:w="18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(512)</w:t>
            </w:r>
          </w:p>
        </w:tc>
        <w:tc>
          <w:tcPr>
            <w:tcW w:w="80" w:type="dxa"/>
            <w:vAlign w:val="bottom"/>
            <w:tcBorders>
              <w:bottom w:val="single" w:sz="8" w:color="EBFBFF"/>
            </w:tcBorders>
          </w:tcPr>
          <w:p>
            <w:pPr>
              <w:spacing w:after="0"/>
              <w:rPr>
                <w:sz w:val="17"/>
                <w:szCs w:val="17"/>
                <w:color w:val="auto"/>
              </w:rPr>
            </w:pPr>
          </w:p>
        </w:tc>
        <w:tc>
          <w:tcPr>
            <w:tcW w:w="380" w:type="dxa"/>
            <w:vAlign w:val="bottom"/>
            <w:tcBorders>
              <w:bottom w:val="single" w:sz="8" w:color="51555C"/>
            </w:tcBorders>
          </w:tcPr>
          <w:p>
            <w:pPr>
              <w:spacing w:after="0"/>
              <w:rPr>
                <w:sz w:val="17"/>
                <w:szCs w:val="17"/>
                <w:color w:val="auto"/>
              </w:rPr>
            </w:pPr>
          </w:p>
        </w:tc>
        <w:tc>
          <w:tcPr>
            <w:tcW w:w="1040" w:type="dxa"/>
            <w:vAlign w:val="bottom"/>
            <w:tcBorders>
              <w:bottom w:val="single" w:sz="8" w:color="51555C"/>
            </w:tcBorders>
          </w:tcPr>
          <w:p>
            <w:pPr>
              <w:jc w:val="right"/>
              <w:ind w:right="84"/>
              <w:spacing w:after="0"/>
              <w:rPr>
                <w:sz w:val="20"/>
                <w:szCs w:val="20"/>
                <w:color w:val="auto"/>
              </w:rPr>
            </w:pPr>
            <w:r>
              <w:rPr>
                <w:rFonts w:ascii="Arial" w:cs="Arial" w:eastAsia="Arial" w:hAnsi="Arial"/>
                <w:sz w:val="15"/>
                <w:szCs w:val="15"/>
                <w:color w:val="51555C"/>
              </w:rPr>
              <w:t>(1,267)</w:t>
            </w:r>
          </w:p>
        </w:tc>
        <w:tc>
          <w:tcPr>
            <w:tcW w:w="180" w:type="dxa"/>
            <w:vAlign w:val="bottom"/>
            <w:tcBorders>
              <w:bottom w:val="single" w:sz="8" w:color="51555C"/>
            </w:tcBorders>
          </w:tcPr>
          <w:p>
            <w:pPr>
              <w:spacing w:after="0"/>
              <w:rPr>
                <w:sz w:val="17"/>
                <w:szCs w:val="17"/>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(1,403)</w:t>
            </w:r>
          </w:p>
        </w:tc>
        <w:tc>
          <w:tcPr>
            <w:tcW w:w="20" w:type="dxa"/>
            <w:vAlign w:val="bottom"/>
          </w:tcPr>
          <w:p>
            <w:pPr>
              <w:spacing w:after="0"/>
              <w:rPr>
                <w:sz w:val="17"/>
                <w:szCs w:val="17"/>
                <w:color w:val="auto"/>
              </w:rPr>
            </w:pPr>
          </w:p>
        </w:tc>
      </w:tr>
      <w:tr>
        <w:trPr>
          <w:trHeight w:val="196"/>
        </w:trPr>
        <w:tc>
          <w:tcPr>
            <w:tcW w:w="5740" w:type="dxa"/>
            <w:vAlign w:val="bottom"/>
            <w:shd w:val="clear" w:color="auto" w:fill="EBFBFF"/>
          </w:tcPr>
          <w:p>
            <w:pPr>
              <w:ind w:left="20"/>
              <w:spacing w:after="0" w:line="196" w:lineRule="exact"/>
              <w:rPr>
                <w:sz w:val="20"/>
                <w:szCs w:val="20"/>
                <w:color w:val="auto"/>
              </w:rPr>
            </w:pPr>
            <w:r>
              <w:rPr>
                <w:rFonts w:ascii="Arial" w:cs="Arial" w:eastAsia="Arial" w:hAnsi="Arial"/>
                <w:sz w:val="15"/>
                <w:szCs w:val="15"/>
                <w:b w:val="1"/>
                <w:bCs w:val="1"/>
                <w:color w:val="51555C"/>
              </w:rPr>
              <w:t>Non-GAAP adjusted EBITDA on constant currency basis</w:t>
            </w:r>
            <w:r>
              <w:rPr>
                <w:rFonts w:ascii="Arial" w:cs="Arial" w:eastAsia="Arial" w:hAnsi="Arial"/>
                <w:sz w:val="19"/>
                <w:szCs w:val="19"/>
                <w:b w:val="1"/>
                <w:bCs w:val="1"/>
                <w:color w:val="51555C"/>
                <w:vertAlign w:val="superscript"/>
              </w:rPr>
              <w:t>(6)</w:t>
            </w:r>
          </w:p>
        </w:tc>
        <w:tc>
          <w:tcPr>
            <w:tcW w:w="400" w:type="dxa"/>
            <w:vAlign w:val="bottom"/>
            <w:tcBorders>
              <w:bottom w:val="single" w:sz="8" w:color="51555C"/>
            </w:tcBorders>
            <w:shd w:val="clear" w:color="auto" w:fill="EBFBFF"/>
          </w:tcPr>
          <w:p>
            <w:pPr>
              <w:jc w:val="right"/>
              <w:ind w:right="22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111,005</w:t>
            </w:r>
          </w:p>
        </w:tc>
        <w:tc>
          <w:tcPr>
            <w:tcW w:w="18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20" w:type="dxa"/>
            <w:vAlign w:val="bottom"/>
            <w:tcBorders>
              <w:bottom w:val="single" w:sz="8" w:color="51555C"/>
              <w:right w:val="single" w:sz="8" w:color="EBFBFF"/>
            </w:tcBorders>
            <w:shd w:val="clear" w:color="auto" w:fill="EBFBFF"/>
          </w:tcPr>
          <w:p>
            <w:pPr>
              <w:jc w:val="right"/>
              <w:ind w:right="24"/>
              <w:spacing w:after="0"/>
              <w:rPr>
                <w:sz w:val="20"/>
                <w:szCs w:val="20"/>
                <w:color w:val="auto"/>
              </w:rPr>
            </w:pPr>
            <w:r>
              <w:rPr>
                <w:rFonts w:ascii="Arial" w:cs="Arial" w:eastAsia="Arial" w:hAnsi="Arial"/>
                <w:sz w:val="15"/>
                <w:szCs w:val="15"/>
                <w:color w:val="51555C"/>
              </w:rPr>
              <w:t>99,147</w:t>
            </w:r>
          </w:p>
        </w:tc>
        <w:tc>
          <w:tcPr>
            <w:tcW w:w="80" w:type="dxa"/>
            <w:vAlign w:val="bottom"/>
            <w:shd w:val="clear" w:color="auto" w:fill="EBFBFF"/>
          </w:tcPr>
          <w:p>
            <w:pPr>
              <w:spacing w:after="0"/>
              <w:rPr>
                <w:sz w:val="17"/>
                <w:szCs w:val="17"/>
                <w:color w:val="auto"/>
              </w:rPr>
            </w:pPr>
          </w:p>
        </w:tc>
        <w:tc>
          <w:tcPr>
            <w:tcW w:w="380" w:type="dxa"/>
            <w:vAlign w:val="bottom"/>
            <w:tcBorders>
              <w:bottom w:val="single" w:sz="8" w:color="51555C"/>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318,825</w:t>
            </w:r>
          </w:p>
        </w:tc>
        <w:tc>
          <w:tcPr>
            <w:tcW w:w="180" w:type="dxa"/>
            <w:vAlign w:val="bottom"/>
            <w:tcBorders>
              <w:bottom w:val="single" w:sz="8" w:color="51555C"/>
            </w:tcBorders>
            <w:shd w:val="clear" w:color="auto" w:fill="EBFBFF"/>
          </w:tcPr>
          <w:p>
            <w:pPr>
              <w:jc w:val="right"/>
              <w:ind w:right="4"/>
              <w:spacing w:after="0"/>
              <w:rPr>
                <w:sz w:val="20"/>
                <w:szCs w:val="20"/>
                <w:color w:val="auto"/>
              </w:rPr>
            </w:pPr>
            <w:r>
              <w:rPr>
                <w:rFonts w:ascii="Arial" w:cs="Arial" w:eastAsia="Arial" w:hAnsi="Arial"/>
                <w:sz w:val="15"/>
                <w:szCs w:val="15"/>
                <w:color w:val="51555C"/>
                <w:w w:val="95"/>
              </w:rPr>
              <w:t>$</w:t>
            </w: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299,425</w:t>
            </w:r>
          </w:p>
        </w:tc>
        <w:tc>
          <w:tcPr>
            <w:tcW w:w="20" w:type="dxa"/>
            <w:vAlign w:val="bottom"/>
          </w:tcPr>
          <w:p>
            <w:pPr>
              <w:spacing w:after="0"/>
              <w:rPr>
                <w:sz w:val="17"/>
                <w:szCs w:val="17"/>
                <w:color w:val="auto"/>
              </w:rPr>
            </w:pPr>
          </w:p>
        </w:tc>
      </w:tr>
      <w:tr>
        <w:trPr>
          <w:trHeight w:val="196"/>
        </w:trPr>
        <w:tc>
          <w:tcPr>
            <w:tcW w:w="5740" w:type="dxa"/>
            <w:vAlign w:val="bottom"/>
          </w:tcPr>
          <w:p>
            <w:pPr>
              <w:ind w:left="140"/>
              <w:spacing w:after="0"/>
              <w:rPr>
                <w:sz w:val="20"/>
                <w:szCs w:val="20"/>
                <w:color w:val="auto"/>
              </w:rPr>
            </w:pPr>
            <w:r>
              <w:rPr>
                <w:rFonts w:ascii="Arial" w:cs="Arial" w:eastAsia="Arial" w:hAnsi="Arial"/>
                <w:sz w:val="15"/>
                <w:szCs w:val="15"/>
                <w:b w:val="1"/>
                <w:bCs w:val="1"/>
                <w:color w:val="51555C"/>
              </w:rPr>
              <w:t>Non-GAAP adjusted EBITDA margin on constant currency basis</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51555C"/>
              </w:rPr>
              <w:t>38.0 %</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51555C"/>
              </w:rPr>
              <w:t>37.0 %</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5740" w:type="dxa"/>
            <w:vAlign w:val="bottom"/>
            <w:shd w:val="clear" w:color="auto" w:fill="EBFBFF"/>
          </w:tcPr>
          <w:p>
            <w:pPr>
              <w:spacing w:after="0"/>
              <w:rPr>
                <w:sz w:val="12"/>
                <w:szCs w:val="12"/>
                <w:color w:val="auto"/>
              </w:rPr>
            </w:pPr>
          </w:p>
        </w:tc>
        <w:tc>
          <w:tcPr>
            <w:tcW w:w="400" w:type="dxa"/>
            <w:vAlign w:val="bottom"/>
            <w:shd w:val="clear" w:color="auto" w:fill="EBFBFF"/>
          </w:tcPr>
          <w:p>
            <w:pPr>
              <w:spacing w:after="0"/>
              <w:rPr>
                <w:sz w:val="12"/>
                <w:szCs w:val="12"/>
                <w:color w:val="auto"/>
              </w:rPr>
            </w:pPr>
          </w:p>
        </w:tc>
        <w:tc>
          <w:tcPr>
            <w:tcW w:w="1020" w:type="dxa"/>
            <w:vAlign w:val="bottom"/>
            <w:shd w:val="clear" w:color="auto" w:fill="EBFBFF"/>
          </w:tcPr>
          <w:p>
            <w:pPr>
              <w:spacing w:after="0"/>
              <w:rPr>
                <w:sz w:val="12"/>
                <w:szCs w:val="12"/>
                <w:color w:val="auto"/>
              </w:rPr>
            </w:pPr>
          </w:p>
        </w:tc>
        <w:tc>
          <w:tcPr>
            <w:tcW w:w="180" w:type="dxa"/>
            <w:vAlign w:val="bottom"/>
            <w:shd w:val="clear" w:color="auto" w:fill="EBFBFF"/>
          </w:tcPr>
          <w:p>
            <w:pPr>
              <w:spacing w:after="0"/>
              <w:rPr>
                <w:sz w:val="12"/>
                <w:szCs w:val="12"/>
                <w:color w:val="auto"/>
              </w:rPr>
            </w:pPr>
          </w:p>
        </w:tc>
        <w:tc>
          <w:tcPr>
            <w:tcW w:w="1120" w:type="dxa"/>
            <w:vAlign w:val="bottom"/>
            <w:tcBorders>
              <w:right w:val="single" w:sz="8" w:color="EBFBFF"/>
            </w:tcBorders>
            <w:shd w:val="clear" w:color="auto" w:fill="EBFBFF"/>
          </w:tcPr>
          <w:p>
            <w:pPr>
              <w:spacing w:after="0"/>
              <w:rPr>
                <w:sz w:val="12"/>
                <w:szCs w:val="12"/>
                <w:color w:val="auto"/>
              </w:rPr>
            </w:pPr>
          </w:p>
        </w:tc>
        <w:tc>
          <w:tcPr>
            <w:tcW w:w="80" w:type="dxa"/>
            <w:vAlign w:val="bottom"/>
            <w:shd w:val="clear" w:color="auto" w:fill="EBFBFF"/>
          </w:tcPr>
          <w:p>
            <w:pPr>
              <w:spacing w:after="0"/>
              <w:rPr>
                <w:sz w:val="12"/>
                <w:szCs w:val="12"/>
                <w:color w:val="auto"/>
              </w:rPr>
            </w:pPr>
          </w:p>
        </w:tc>
        <w:tc>
          <w:tcPr>
            <w:tcW w:w="380" w:type="dxa"/>
            <w:vAlign w:val="bottom"/>
            <w:shd w:val="clear" w:color="auto" w:fill="EBFBFF"/>
          </w:tcPr>
          <w:p>
            <w:pPr>
              <w:spacing w:after="0"/>
              <w:rPr>
                <w:sz w:val="12"/>
                <w:szCs w:val="12"/>
                <w:color w:val="auto"/>
              </w:rPr>
            </w:pPr>
          </w:p>
        </w:tc>
        <w:tc>
          <w:tcPr>
            <w:tcW w:w="1040" w:type="dxa"/>
            <w:vAlign w:val="bottom"/>
            <w:shd w:val="clear" w:color="auto" w:fill="EBFBFF"/>
          </w:tcPr>
          <w:p>
            <w:pPr>
              <w:spacing w:after="0"/>
              <w:rPr>
                <w:sz w:val="12"/>
                <w:szCs w:val="12"/>
                <w:color w:val="auto"/>
              </w:rPr>
            </w:pPr>
          </w:p>
        </w:tc>
        <w:tc>
          <w:tcPr>
            <w:tcW w:w="180" w:type="dxa"/>
            <w:vAlign w:val="bottom"/>
            <w:shd w:val="clear" w:color="auto" w:fill="EBFBFF"/>
          </w:tcPr>
          <w:p>
            <w:pPr>
              <w:spacing w:after="0"/>
              <w:rPr>
                <w:sz w:val="12"/>
                <w:szCs w:val="12"/>
                <w:color w:val="auto"/>
              </w:rPr>
            </w:pPr>
          </w:p>
        </w:tc>
        <w:tc>
          <w:tcPr>
            <w:tcW w:w="1100" w:type="dxa"/>
            <w:vAlign w:val="bottom"/>
            <w:shd w:val="clear" w:color="auto" w:fill="EBFBFF"/>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5740" w:type="dxa"/>
            <w:vAlign w:val="bottom"/>
            <w:tcBorders>
              <w:bottom w:val="single" w:sz="8" w:color="0CD973"/>
            </w:tcBorders>
          </w:tcPr>
          <w:p>
            <w:pPr>
              <w:ind w:left="20"/>
              <w:spacing w:after="0" w:line="203" w:lineRule="exact"/>
              <w:rPr>
                <w:sz w:val="20"/>
                <w:szCs w:val="20"/>
                <w:color w:val="auto"/>
              </w:rPr>
            </w:pPr>
            <w:r>
              <w:rPr>
                <w:rFonts w:ascii="Arial" w:cs="Arial" w:eastAsia="Arial" w:hAnsi="Arial"/>
                <w:sz w:val="15"/>
                <w:szCs w:val="15"/>
                <w:b w:val="1"/>
                <w:bCs w:val="1"/>
                <w:color w:val="51555C"/>
              </w:rPr>
              <w:t>Rule of 40 on constant currency basis</w:t>
            </w:r>
            <w:r>
              <w:rPr>
                <w:rFonts w:ascii="Arial" w:cs="Arial" w:eastAsia="Arial" w:hAnsi="Arial"/>
                <w:sz w:val="19"/>
                <w:szCs w:val="19"/>
                <w:b w:val="1"/>
                <w:bCs w:val="1"/>
                <w:color w:val="51555C"/>
                <w:vertAlign w:val="superscript"/>
              </w:rPr>
              <w:t>(7)</w:t>
            </w:r>
          </w:p>
        </w:tc>
        <w:tc>
          <w:tcPr>
            <w:tcW w:w="400" w:type="dxa"/>
            <w:vAlign w:val="bottom"/>
            <w:tcBorders>
              <w:bottom w:val="single" w:sz="8" w:color="0CD973"/>
            </w:tcBorders>
          </w:tcPr>
          <w:p>
            <w:pPr>
              <w:spacing w:after="0"/>
              <w:rPr>
                <w:sz w:val="17"/>
                <w:szCs w:val="17"/>
                <w:color w:val="auto"/>
              </w:rPr>
            </w:pPr>
          </w:p>
        </w:tc>
        <w:tc>
          <w:tcPr>
            <w:tcW w:w="1020" w:type="dxa"/>
            <w:vAlign w:val="bottom"/>
            <w:tcBorders>
              <w:bottom w:val="single" w:sz="8" w:color="0CD973"/>
            </w:tcBorders>
          </w:tcPr>
          <w:p>
            <w:pPr>
              <w:jc w:val="right"/>
              <w:spacing w:after="0"/>
              <w:rPr>
                <w:sz w:val="20"/>
                <w:szCs w:val="20"/>
                <w:color w:val="auto"/>
              </w:rPr>
            </w:pPr>
            <w:r>
              <w:rPr>
                <w:rFonts w:ascii="Arial" w:cs="Arial" w:eastAsia="Arial" w:hAnsi="Arial"/>
                <w:sz w:val="15"/>
                <w:szCs w:val="15"/>
                <w:b w:val="1"/>
                <w:bCs w:val="1"/>
                <w:color w:val="51555C"/>
              </w:rPr>
              <w:t>42.0 %</w:t>
            </w:r>
          </w:p>
        </w:tc>
        <w:tc>
          <w:tcPr>
            <w:tcW w:w="180" w:type="dxa"/>
            <w:vAlign w:val="bottom"/>
            <w:tcBorders>
              <w:bottom w:val="single" w:sz="8" w:color="0CD973"/>
            </w:tcBorders>
          </w:tcPr>
          <w:p>
            <w:pPr>
              <w:spacing w:after="0"/>
              <w:rPr>
                <w:sz w:val="17"/>
                <w:szCs w:val="17"/>
                <w:color w:val="auto"/>
              </w:rPr>
            </w:pPr>
          </w:p>
        </w:tc>
        <w:tc>
          <w:tcPr>
            <w:tcW w:w="1120" w:type="dxa"/>
            <w:vAlign w:val="bottom"/>
            <w:tcBorders>
              <w:bottom w:val="single" w:sz="8" w:color="0CD973"/>
            </w:tcBorders>
          </w:tcPr>
          <w:p>
            <w:pPr>
              <w:spacing w:after="0"/>
              <w:rPr>
                <w:sz w:val="17"/>
                <w:szCs w:val="17"/>
                <w:color w:val="auto"/>
              </w:rPr>
            </w:pPr>
          </w:p>
        </w:tc>
        <w:tc>
          <w:tcPr>
            <w:tcW w:w="80" w:type="dxa"/>
            <w:vAlign w:val="bottom"/>
            <w:tcBorders>
              <w:bottom w:val="single" w:sz="8" w:color="0CD973"/>
            </w:tcBorders>
          </w:tcPr>
          <w:p>
            <w:pPr>
              <w:spacing w:after="0"/>
              <w:rPr>
                <w:sz w:val="17"/>
                <w:szCs w:val="17"/>
                <w:color w:val="auto"/>
              </w:rPr>
            </w:pPr>
          </w:p>
        </w:tc>
        <w:tc>
          <w:tcPr>
            <w:tcW w:w="380" w:type="dxa"/>
            <w:vAlign w:val="bottom"/>
            <w:tcBorders>
              <w:bottom w:val="single" w:sz="8" w:color="0CD973"/>
            </w:tcBorders>
          </w:tcPr>
          <w:p>
            <w:pPr>
              <w:spacing w:after="0"/>
              <w:rPr>
                <w:sz w:val="17"/>
                <w:szCs w:val="17"/>
                <w:color w:val="auto"/>
              </w:rPr>
            </w:pPr>
          </w:p>
        </w:tc>
        <w:tc>
          <w:tcPr>
            <w:tcW w:w="1040" w:type="dxa"/>
            <w:vAlign w:val="bottom"/>
            <w:tcBorders>
              <w:bottom w:val="single" w:sz="8" w:color="0CD973"/>
            </w:tcBorders>
          </w:tcPr>
          <w:p>
            <w:pPr>
              <w:jc w:val="right"/>
              <w:spacing w:after="0"/>
              <w:rPr>
                <w:sz w:val="20"/>
                <w:szCs w:val="20"/>
                <w:color w:val="auto"/>
              </w:rPr>
            </w:pPr>
            <w:r>
              <w:rPr>
                <w:rFonts w:ascii="Arial" w:cs="Arial" w:eastAsia="Arial" w:hAnsi="Arial"/>
                <w:sz w:val="15"/>
                <w:szCs w:val="15"/>
                <w:b w:val="1"/>
                <w:bCs w:val="1"/>
                <w:color w:val="51555C"/>
              </w:rPr>
              <w:t>40.4 %</w:t>
            </w:r>
          </w:p>
        </w:tc>
        <w:tc>
          <w:tcPr>
            <w:tcW w:w="180" w:type="dxa"/>
            <w:vAlign w:val="bottom"/>
            <w:tcBorders>
              <w:bottom w:val="single" w:sz="8" w:color="0CD973"/>
            </w:tcBorders>
          </w:tcPr>
          <w:p>
            <w:pPr>
              <w:spacing w:after="0"/>
              <w:rPr>
                <w:sz w:val="17"/>
                <w:szCs w:val="17"/>
                <w:color w:val="auto"/>
              </w:rPr>
            </w:pPr>
          </w:p>
        </w:tc>
        <w:tc>
          <w:tcPr>
            <w:tcW w:w="1100" w:type="dxa"/>
            <w:vAlign w:val="bottom"/>
            <w:tcBorders>
              <w:bottom w:val="single" w:sz="8" w:color="0CD973"/>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-4028440</wp:posOffset>
            </wp:positionV>
            <wp:extent cx="3497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Includes amortization expense related to software development costs, and amortization expense from capitalized cloud computing implementation costs.</w:t>
      </w:r>
    </w:p>
    <w:p>
      <w:pPr>
        <w:spacing w:after="0" w:line="28"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Measured by non-GAAP EBITDA divided by non-GAAP organic revenue.</w:t>
      </w:r>
    </w:p>
    <w:p>
      <w:pPr>
        <w:spacing w:after="0" w:line="14"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See additional details in the reconciliation of GAAP to non-GAAP operating income above.</w:t>
      </w:r>
    </w:p>
    <w:p>
      <w:pPr>
        <w:spacing w:after="0" w:line="14"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Measured by non-GAAP adjusted EBITDA divided by non-GAAP organic revenue.</w:t>
      </w:r>
    </w:p>
    <w:p>
      <w:pPr>
        <w:spacing w:after="0" w:line="14"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Measured by non-GAAP organic revenue growth plus non-GAAP adjusted EBITDA margin. See Non-GAAP organic revenue growth table above.</w:t>
      </w:r>
    </w:p>
    <w:p>
      <w:pPr>
        <w:spacing w:after="0" w:line="1" w:lineRule="exact"/>
        <w:rPr>
          <w:rFonts w:ascii="Arial" w:cs="Arial" w:eastAsia="Arial" w:hAnsi="Arial"/>
          <w:sz w:val="14"/>
          <w:szCs w:val="14"/>
          <w:color w:val="51555C"/>
        </w:rPr>
      </w:pPr>
    </w:p>
    <w:p>
      <w:pPr>
        <w:jc w:val="both"/>
        <w:ind w:left="340" w:right="20" w:hanging="332"/>
        <w:spacing w:after="0" w:line="261" w:lineRule="auto"/>
        <w:tabs>
          <w:tab w:leader="none" w:pos="327"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Measured by non-GAAP organic revenue growth on constant currency basis plus non-GAAP adjusted EBITDA margin on constant currency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106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85"/>
        </w:trPr>
        <w:tc>
          <w:tcPr>
            <w:tcW w:w="826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106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84"/>
        </w:trPr>
        <w:tc>
          <w:tcPr>
            <w:tcW w:w="826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004054"/>
          </w:tcPr>
          <w:p>
            <w:pPr>
              <w:spacing w:after="0"/>
              <w:rPr>
                <w:sz w:val="24"/>
                <w:szCs w:val="24"/>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20" w:type="dxa"/>
            <w:vAlign w:val="bottom"/>
            <w:shd w:val="clear" w:color="auto" w:fill="004054"/>
          </w:tcPr>
          <w:p>
            <w:pPr>
              <w:spacing w:after="0"/>
              <w:rPr>
                <w:sz w:val="24"/>
                <w:szCs w:val="2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03"/>
        </w:trPr>
        <w:tc>
          <w:tcPr>
            <w:tcW w:w="826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GAAP net cash provided by operating activities</w:t>
            </w:r>
          </w:p>
        </w:tc>
        <w:tc>
          <w:tcPr>
            <w:tcW w:w="420" w:type="dxa"/>
            <w:vAlign w:val="bottom"/>
            <w:shd w:val="clear" w:color="auto" w:fill="EBFBFF"/>
          </w:tcPr>
          <w:p>
            <w:pPr>
              <w:jc w:val="right"/>
              <w:ind w:right="224"/>
              <w:spacing w:after="0"/>
              <w:rPr>
                <w:sz w:val="20"/>
                <w:szCs w:val="20"/>
                <w:color w:val="auto"/>
              </w:rPr>
            </w:pPr>
            <w:r>
              <w:rPr>
                <w:rFonts w:ascii="Arial" w:cs="Arial" w:eastAsia="Arial" w:hAnsi="Arial"/>
                <w:sz w:val="15"/>
                <w:szCs w:val="15"/>
                <w:color w:val="51555C"/>
              </w:rPr>
              <w:t>$</w:t>
            </w:r>
          </w:p>
        </w:tc>
        <w:tc>
          <w:tcPr>
            <w:tcW w:w="106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284,244</w:t>
            </w:r>
          </w:p>
        </w:tc>
        <w:tc>
          <w:tcPr>
            <w:tcW w:w="120" w:type="dxa"/>
            <w:vAlign w:val="bottom"/>
            <w:shd w:val="clear" w:color="auto" w:fill="EBFBFF"/>
          </w:tcPr>
          <w:p>
            <w:pPr>
              <w:jc w:val="right"/>
              <w:spacing w:after="0"/>
              <w:rPr>
                <w:sz w:val="20"/>
                <w:szCs w:val="20"/>
                <w:color w:val="auto"/>
              </w:rPr>
            </w:pPr>
            <w:r>
              <w:rPr>
                <w:rFonts w:ascii="Arial" w:cs="Arial" w:eastAsia="Arial" w:hAnsi="Arial"/>
                <w:sz w:val="15"/>
                <w:szCs w:val="15"/>
                <w:color w:val="51555C"/>
                <w:w w:val="95"/>
              </w:rPr>
              <w:t>$</w:t>
            </w:r>
          </w:p>
        </w:tc>
        <w:tc>
          <w:tcPr>
            <w:tcW w:w="1360" w:type="dxa"/>
            <w:vAlign w:val="bottom"/>
            <w:shd w:val="clear" w:color="auto" w:fill="EBFBFF"/>
          </w:tcPr>
          <w:p>
            <w:pPr>
              <w:jc w:val="right"/>
              <w:ind w:right="145"/>
              <w:spacing w:after="0"/>
              <w:rPr>
                <w:sz w:val="20"/>
                <w:szCs w:val="20"/>
                <w:color w:val="auto"/>
              </w:rPr>
            </w:pPr>
            <w:r>
              <w:rPr>
                <w:rFonts w:ascii="Arial" w:cs="Arial" w:eastAsia="Arial" w:hAnsi="Arial"/>
                <w:sz w:val="15"/>
                <w:szCs w:val="15"/>
                <w:color w:val="51555C"/>
              </w:rPr>
              <w:t>207,540</w:t>
            </w: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b w:val="1"/>
                <w:bCs w:val="1"/>
                <w:color w:val="51555C"/>
              </w:rPr>
              <w:t>GAAP operating cash flow margin</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51555C"/>
              </w:rPr>
              <w:t>32.9 %</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51555C"/>
              </w:rPr>
              <w:t>24.9 %</w:t>
            </w:r>
          </w:p>
        </w:tc>
      </w:tr>
      <w:tr>
        <w:trPr>
          <w:trHeight w:val="203"/>
        </w:trPr>
        <w:tc>
          <w:tcPr>
            <w:tcW w:w="826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Non-GAAP adjustments:</w:t>
            </w:r>
          </w:p>
        </w:tc>
        <w:tc>
          <w:tcPr>
            <w:tcW w:w="420" w:type="dxa"/>
            <w:vAlign w:val="bottom"/>
            <w:shd w:val="clear" w:color="auto" w:fill="EBFBFF"/>
          </w:tcPr>
          <w:p>
            <w:pPr>
              <w:spacing w:after="0"/>
              <w:rPr>
                <w:sz w:val="17"/>
                <w:szCs w:val="17"/>
                <w:color w:val="auto"/>
              </w:rPr>
            </w:pPr>
          </w:p>
        </w:tc>
        <w:tc>
          <w:tcPr>
            <w:tcW w:w="106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1360" w:type="dxa"/>
            <w:vAlign w:val="bottom"/>
            <w:shd w:val="clear" w:color="auto" w:fill="EBFBFF"/>
          </w:tcPr>
          <w:p>
            <w:pPr>
              <w:spacing w:after="0"/>
              <w:rPr>
                <w:sz w:val="17"/>
                <w:szCs w:val="17"/>
                <w:color w:val="auto"/>
              </w:rPr>
            </w:pPr>
          </w:p>
        </w:tc>
      </w:tr>
      <w:tr>
        <w:trPr>
          <w:trHeight w:val="201"/>
        </w:trPr>
        <w:tc>
          <w:tcPr>
            <w:tcW w:w="8260" w:type="dxa"/>
            <w:vAlign w:val="bottom"/>
          </w:tcPr>
          <w:p>
            <w:pPr>
              <w:ind w:left="140"/>
              <w:spacing w:after="0"/>
              <w:rPr>
                <w:sz w:val="20"/>
                <w:szCs w:val="20"/>
                <w:color w:val="auto"/>
              </w:rPr>
            </w:pPr>
            <w:r>
              <w:rPr>
                <w:rFonts w:ascii="Arial" w:cs="Arial" w:eastAsia="Arial" w:hAnsi="Arial"/>
                <w:sz w:val="15"/>
                <w:szCs w:val="15"/>
                <w:color w:val="51555C"/>
              </w:rPr>
              <w:t>Less: purchase of property and equipment</w:t>
            </w:r>
          </w:p>
        </w:tc>
        <w:tc>
          <w:tcPr>
            <w:tcW w:w="420" w:type="dxa"/>
            <w:vAlign w:val="bottom"/>
          </w:tcPr>
          <w:p>
            <w:pPr>
              <w:spacing w:after="0"/>
              <w:rPr>
                <w:sz w:val="17"/>
                <w:szCs w:val="17"/>
                <w:color w:val="auto"/>
              </w:rPr>
            </w:pPr>
          </w:p>
        </w:tc>
        <w:tc>
          <w:tcPr>
            <w:tcW w:w="1060" w:type="dxa"/>
            <w:vAlign w:val="bottom"/>
          </w:tcPr>
          <w:p>
            <w:pPr>
              <w:jc w:val="right"/>
              <w:ind w:right="84"/>
              <w:spacing w:after="0"/>
              <w:rPr>
                <w:sz w:val="20"/>
                <w:szCs w:val="20"/>
                <w:color w:val="auto"/>
              </w:rPr>
            </w:pPr>
            <w:r>
              <w:rPr>
                <w:rFonts w:ascii="Arial" w:cs="Arial" w:eastAsia="Arial" w:hAnsi="Arial"/>
                <w:sz w:val="15"/>
                <w:szCs w:val="15"/>
                <w:color w:val="51555C"/>
              </w:rPr>
              <w:t>(7,320)</w:t>
            </w:r>
          </w:p>
        </w:tc>
        <w:tc>
          <w:tcPr>
            <w:tcW w:w="120" w:type="dxa"/>
            <w:vAlign w:val="bottom"/>
          </w:tcPr>
          <w:p>
            <w:pPr>
              <w:spacing w:after="0"/>
              <w:rPr>
                <w:sz w:val="17"/>
                <w:szCs w:val="17"/>
                <w:color w:val="auto"/>
              </w:rPr>
            </w:pPr>
          </w:p>
        </w:tc>
        <w:tc>
          <w:tcPr>
            <w:tcW w:w="1360" w:type="dxa"/>
            <w:vAlign w:val="bottom"/>
          </w:tcPr>
          <w:p>
            <w:pPr>
              <w:jc w:val="right"/>
              <w:ind w:right="85"/>
              <w:spacing w:after="0"/>
              <w:rPr>
                <w:sz w:val="20"/>
                <w:szCs w:val="20"/>
                <w:color w:val="auto"/>
              </w:rPr>
            </w:pPr>
            <w:r>
              <w:rPr>
                <w:rFonts w:ascii="Arial" w:cs="Arial" w:eastAsia="Arial" w:hAnsi="Arial"/>
                <w:sz w:val="15"/>
                <w:szCs w:val="15"/>
                <w:color w:val="51555C"/>
              </w:rPr>
              <w:t>(4,805)</w:t>
            </w:r>
          </w:p>
        </w:tc>
      </w:tr>
      <w:tr>
        <w:trPr>
          <w:trHeight w:val="204"/>
        </w:trPr>
        <w:tc>
          <w:tcPr>
            <w:tcW w:w="826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Less: capitalized software development costs</w:t>
            </w:r>
          </w:p>
        </w:tc>
        <w:tc>
          <w:tcPr>
            <w:tcW w:w="420" w:type="dxa"/>
            <w:vAlign w:val="bottom"/>
            <w:tcBorders>
              <w:bottom w:val="single" w:sz="8" w:color="51555C"/>
            </w:tcBorders>
            <w:shd w:val="clear" w:color="auto" w:fill="EBFBFF"/>
          </w:tcPr>
          <w:p>
            <w:pPr>
              <w:spacing w:after="0"/>
              <w:rPr>
                <w:sz w:val="17"/>
                <w:szCs w:val="17"/>
                <w:color w:val="auto"/>
              </w:rPr>
            </w:pPr>
          </w:p>
        </w:tc>
        <w:tc>
          <w:tcPr>
            <w:tcW w:w="1060" w:type="dxa"/>
            <w:vAlign w:val="bottom"/>
            <w:tcBorders>
              <w:bottom w:val="single" w:sz="8" w:color="51555C"/>
            </w:tcBorders>
            <w:shd w:val="clear" w:color="auto" w:fill="EBFBFF"/>
          </w:tcPr>
          <w:p>
            <w:pPr>
              <w:jc w:val="right"/>
              <w:ind w:right="84"/>
              <w:spacing w:after="0"/>
              <w:rPr>
                <w:sz w:val="20"/>
                <w:szCs w:val="20"/>
                <w:color w:val="auto"/>
              </w:rPr>
            </w:pPr>
            <w:r>
              <w:rPr>
                <w:rFonts w:ascii="Arial" w:cs="Arial" w:eastAsia="Arial" w:hAnsi="Arial"/>
                <w:sz w:val="15"/>
                <w:szCs w:val="15"/>
                <w:color w:val="51555C"/>
              </w:rPr>
              <w:t>(38,635)</w:t>
            </w:r>
          </w:p>
        </w:tc>
        <w:tc>
          <w:tcPr>
            <w:tcW w:w="120" w:type="dxa"/>
            <w:vAlign w:val="bottom"/>
            <w:tcBorders>
              <w:bottom w:val="single" w:sz="8" w:color="51555C"/>
            </w:tcBorders>
            <w:shd w:val="clear" w:color="auto" w:fill="EBFBFF"/>
          </w:tcPr>
          <w:p>
            <w:pPr>
              <w:spacing w:after="0"/>
              <w:rPr>
                <w:sz w:val="17"/>
                <w:szCs w:val="17"/>
                <w:color w:val="auto"/>
              </w:rPr>
            </w:pPr>
          </w:p>
        </w:tc>
        <w:tc>
          <w:tcPr>
            <w:tcW w:w="1360" w:type="dxa"/>
            <w:vAlign w:val="bottom"/>
            <w:tcBorders>
              <w:bottom w:val="single" w:sz="8" w:color="51555C"/>
            </w:tcBorders>
            <w:shd w:val="clear" w:color="auto" w:fill="EBFBFF"/>
          </w:tcPr>
          <w:p>
            <w:pPr>
              <w:jc w:val="right"/>
              <w:ind w:right="85"/>
              <w:spacing w:after="0"/>
              <w:rPr>
                <w:sz w:val="20"/>
                <w:szCs w:val="20"/>
                <w:color w:val="auto"/>
              </w:rPr>
            </w:pPr>
            <w:r>
              <w:rPr>
                <w:rFonts w:ascii="Arial" w:cs="Arial" w:eastAsia="Arial" w:hAnsi="Arial"/>
                <w:sz w:val="15"/>
                <w:szCs w:val="15"/>
                <w:color w:val="51555C"/>
              </w:rPr>
              <w:t>(40,268)</w:t>
            </w:r>
          </w:p>
        </w:tc>
      </w:tr>
      <w:tr>
        <w:trPr>
          <w:trHeight w:val="196"/>
        </w:trPr>
        <w:tc>
          <w:tcPr>
            <w:tcW w:w="8260" w:type="dxa"/>
            <w:vAlign w:val="bottom"/>
            <w:tcBorders>
              <w:bottom w:val="single" w:sz="8" w:color="EBFBFF"/>
            </w:tcBorders>
          </w:tcPr>
          <w:p>
            <w:pPr>
              <w:ind w:left="20"/>
              <w:spacing w:after="0"/>
              <w:rPr>
                <w:sz w:val="20"/>
                <w:szCs w:val="20"/>
                <w:color w:val="auto"/>
              </w:rPr>
            </w:pPr>
            <w:r>
              <w:rPr>
                <w:rFonts w:ascii="Arial" w:cs="Arial" w:eastAsia="Arial" w:hAnsi="Arial"/>
                <w:sz w:val="15"/>
                <w:szCs w:val="15"/>
                <w:b w:val="1"/>
                <w:bCs w:val="1"/>
                <w:color w:val="51555C"/>
              </w:rPr>
              <w:t>Non-GAAP free cash flow</w:t>
            </w:r>
          </w:p>
        </w:tc>
        <w:tc>
          <w:tcPr>
            <w:tcW w:w="420" w:type="dxa"/>
            <w:vAlign w:val="bottom"/>
            <w:tcBorders>
              <w:bottom w:val="single" w:sz="8" w:color="51555C"/>
            </w:tcBorders>
          </w:tcPr>
          <w:p>
            <w:pPr>
              <w:jc w:val="right"/>
              <w:ind w:right="224"/>
              <w:spacing w:after="0"/>
              <w:rPr>
                <w:sz w:val="20"/>
                <w:szCs w:val="20"/>
                <w:color w:val="auto"/>
              </w:rPr>
            </w:pPr>
            <w:r>
              <w:rPr>
                <w:rFonts w:ascii="Arial" w:cs="Arial" w:eastAsia="Arial" w:hAnsi="Arial"/>
                <w:sz w:val="15"/>
                <w:szCs w:val="15"/>
                <w:color w:val="51555C"/>
              </w:rPr>
              <w:t>$</w:t>
            </w:r>
          </w:p>
        </w:tc>
        <w:tc>
          <w:tcPr>
            <w:tcW w:w="106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238,289</w:t>
            </w:r>
          </w:p>
        </w:tc>
        <w:tc>
          <w:tcPr>
            <w:tcW w:w="1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w w:val="95"/>
              </w:rPr>
              <w:t>$</w:t>
            </w:r>
          </w:p>
        </w:tc>
        <w:tc>
          <w:tcPr>
            <w:tcW w:w="1360" w:type="dxa"/>
            <w:vAlign w:val="bottom"/>
            <w:tcBorders>
              <w:bottom w:val="single" w:sz="8" w:color="51555C"/>
            </w:tcBorders>
          </w:tcPr>
          <w:p>
            <w:pPr>
              <w:jc w:val="right"/>
              <w:ind w:right="145"/>
              <w:spacing w:after="0"/>
              <w:rPr>
                <w:sz w:val="20"/>
                <w:szCs w:val="20"/>
                <w:color w:val="auto"/>
              </w:rPr>
            </w:pPr>
            <w:r>
              <w:rPr>
                <w:rFonts w:ascii="Arial" w:cs="Arial" w:eastAsia="Arial" w:hAnsi="Arial"/>
                <w:sz w:val="15"/>
                <w:szCs w:val="15"/>
                <w:color w:val="51555C"/>
              </w:rPr>
              <w:t>162,467</w:t>
            </w:r>
          </w:p>
        </w:tc>
      </w:tr>
      <w:tr>
        <w:trPr>
          <w:trHeight w:val="196"/>
        </w:trPr>
        <w:tc>
          <w:tcPr>
            <w:tcW w:w="826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5"/>
                <w:szCs w:val="15"/>
                <w:b w:val="1"/>
                <w:bCs w:val="1"/>
                <w:color w:val="51555C"/>
              </w:rPr>
              <w:t>Non-GAAP free cash flow margin</w:t>
            </w:r>
          </w:p>
        </w:tc>
        <w:tc>
          <w:tcPr>
            <w:tcW w:w="420" w:type="dxa"/>
            <w:vAlign w:val="bottom"/>
            <w:tcBorders>
              <w:bottom w:val="single" w:sz="8" w:color="0CD973"/>
            </w:tcBorders>
            <w:shd w:val="clear" w:color="auto" w:fill="EBFBFF"/>
          </w:tcPr>
          <w:p>
            <w:pPr>
              <w:spacing w:after="0"/>
              <w:rPr>
                <w:sz w:val="17"/>
                <w:szCs w:val="17"/>
                <w:color w:val="auto"/>
              </w:rPr>
            </w:pPr>
          </w:p>
        </w:tc>
        <w:tc>
          <w:tcPr>
            <w:tcW w:w="10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27.6 %</w:t>
            </w:r>
          </w:p>
        </w:tc>
        <w:tc>
          <w:tcPr>
            <w:tcW w:w="120" w:type="dxa"/>
            <w:vAlign w:val="bottom"/>
            <w:tcBorders>
              <w:bottom w:val="single" w:sz="8" w:color="0CD973"/>
            </w:tcBorders>
            <w:shd w:val="clear" w:color="auto" w:fill="EBFBFF"/>
          </w:tcPr>
          <w:p>
            <w:pPr>
              <w:spacing w:after="0"/>
              <w:rPr>
                <w:sz w:val="17"/>
                <w:szCs w:val="17"/>
                <w:color w:val="auto"/>
              </w:rPr>
            </w:pPr>
          </w:p>
        </w:tc>
        <w:tc>
          <w:tcPr>
            <w:tcW w:w="13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19.5 %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-1105535</wp:posOffset>
            </wp:positionV>
            <wp:extent cx="18776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77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51555C"/>
        </w:rPr>
        <w:t>11</w:t>
      </w:r>
    </w:p>
    <w:sectPr>
      <w:pgSz w:w="11900" w:h="16838" w:orient="portrait"/>
      <w:cols w:equalWidth="0" w:num="1">
        <w:col w:w="11260"/>
      </w:cols>
      <w:pgMar w:left="32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7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2026-10-28T06:09:59Z</dcterms:created>
  <dcterms:modified xsi:type="dcterms:W3CDTF">2026-10-28T06:09:59Z</dcterms:modified>
</cp:coreProperties>
</file>