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sans-serif" w:hAnsi="sans-serif"/>
          <w:b/>
          <w:color w:val="51555C"/>
          <w:sz w:val="22"/>
        </w:rPr>
      </w:pPr>
      <w:r>
        <w:rPr>
          <w:rFonts w:ascii="sans-serif" w:hAnsi="sans-serif"/>
          <w:b/>
          <w:color w:val="51555C"/>
          <w:sz w:val="22"/>
        </w:rPr>
        <w:t>UNITED STATES</w:t>
      </w:r>
    </w:p>
    <w:p>
      <w:pPr>
        <w:pStyle w:val="TextBody"/>
        <w:bidi w:val="0"/>
        <w:spacing w:lineRule="auto" w:line="288" w:before="0" w:after="0"/>
        <w:jc w:val="center"/>
        <w:rPr>
          <w:rFonts w:ascii="sans-serif" w:hAnsi="sans-serif"/>
          <w:b/>
          <w:color w:val="51555C"/>
          <w:sz w:val="22"/>
        </w:rPr>
      </w:pPr>
      <w:r>
        <w:rPr>
          <w:rFonts w:ascii="sans-serif" w:hAnsi="sans-serif"/>
          <w:b/>
          <w:color w:val="51555C"/>
          <w:sz w:val="22"/>
        </w:rPr>
        <w:t>SECURITIES AND EXCHANGE COMMISSION</w:t>
      </w:r>
    </w:p>
    <w:p>
      <w:pPr>
        <w:pStyle w:val="TextBody"/>
        <w:bidi w:val="0"/>
        <w:spacing w:lineRule="auto" w:line="288" w:before="180" w:after="283"/>
        <w:jc w:val="center"/>
        <w:rPr>
          <w:rFonts w:ascii="sans-serif" w:hAnsi="sans-serif"/>
          <w:b w:val="false"/>
          <w:color w:val="51555C"/>
          <w:sz w:val="20"/>
        </w:rPr>
      </w:pPr>
      <w:r>
        <w:rPr>
          <w:rFonts w:ascii="sans-serif" w:hAnsi="sans-serif"/>
          <w:b w:val="false"/>
          <w:color w:val="51555C"/>
          <w:sz w:val="20"/>
        </w:rPr>
        <w:t>Washington, D.C. 20549</w:t>
      </w:r>
    </w:p>
    <w:p>
      <w:pPr>
        <w:pStyle w:val="TextBody"/>
        <w:bidi w:val="0"/>
        <w:spacing w:lineRule="auto" w:line="288" w:before="120" w:after="120"/>
        <w:jc w:val="center"/>
        <w:rPr>
          <w:rFonts w:ascii="sans-serif" w:hAnsi="sans-serif"/>
          <w:b/>
          <w:color w:val="51555C"/>
          <w:sz w:val="28"/>
        </w:rPr>
      </w:pPr>
      <w:r>
        <w:rPr>
          <w:rFonts w:ascii="sans-serif" w:hAnsi="sans-serif"/>
          <w:b/>
          <w:color w:val="51555C"/>
          <w:sz w:val="28"/>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0"/>
        <w:gridCol w:w="2880"/>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For the quarterly period ended September 30, 2025</w:t>
            </w:r>
          </w:p>
        </w:tc>
      </w:tr>
    </w:tbl>
    <w:p>
      <w:pPr>
        <w:pStyle w:val="TextBody"/>
        <w:bidi w:val="0"/>
        <w:spacing w:lineRule="auto" w:line="288" w:before="0" w:after="0"/>
        <w:jc w:val="center"/>
        <w:rPr>
          <w:rFonts w:ascii="sans-serif" w:hAnsi="sans-serif"/>
          <w:b/>
          <w:color w:val="51555C"/>
          <w:sz w:val="18"/>
        </w:rPr>
      </w:pPr>
      <w:r>
        <w:rPr>
          <w:rFonts w:ascii="sans-serif" w:hAnsi="sans-serif"/>
          <w:b/>
          <w:color w:val="51555C"/>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5"/>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8"/>
              </w:rPr>
              <w:t xml:space="preserve">For the transition period from </w:t>
            </w:r>
            <w:r>
              <w:rPr>
                <w:color w:val="51555C"/>
                <w:u w:val="single"/>
              </w:rPr>
              <w:t>                   </w:t>
            </w:r>
            <w:r>
              <w:rPr>
                <w:color w:val="51555C"/>
              </w:rPr>
              <w:t> </w:t>
            </w:r>
            <w:r>
              <w:rPr>
                <w:rFonts w:ascii="sans-serif" w:hAnsi="sans-serif"/>
                <w:b w:val="false"/>
                <w:color w:val="51555C"/>
                <w:sz w:val="18"/>
              </w:rPr>
              <w:t xml:space="preserve">to </w:t>
            </w:r>
            <w:r>
              <w:rPr>
                <w:color w:val="51555C"/>
                <w:u w:val="single"/>
              </w:rPr>
              <w:t>                    </w:t>
            </w:r>
            <w:r>
              <w:rPr>
                <w:rFonts w:ascii="sans-serif" w:hAnsi="sans-serif"/>
                <w:b w:val="false"/>
                <w:color w:val="51555C"/>
                <w:sz w:val="18"/>
              </w:rPr>
              <w:t>.</w:t>
            </w:r>
          </w:p>
        </w:tc>
      </w:tr>
    </w:tbl>
    <w:p>
      <w:pPr>
        <w:pStyle w:val="TextBody"/>
        <w:bidi w:val="0"/>
        <w:spacing w:lineRule="auto" w:line="288" w:before="60" w:after="283"/>
        <w:jc w:val="center"/>
        <w:rPr/>
      </w:pPr>
      <w:r>
        <w:rPr>
          <w:rFonts w:ascii="sans-serif" w:hAnsi="sans-serif"/>
          <w:b w:val="false"/>
          <w:color w:val="51555C"/>
          <w:sz w:val="18"/>
        </w:rPr>
        <w:t xml:space="preserve">Commission file number: </w:t>
      </w:r>
      <w:r>
        <w:rPr>
          <w:rFonts w:ascii="sans-serif" w:hAnsi="sans-serif"/>
          <w:b/>
          <w:color w:val="51555C"/>
          <w:sz w:val="18"/>
        </w:rPr>
        <w:t>000-50600</w:t>
      </w:r>
      <w:r>
        <w:rPr>
          <w:color w:val="51555C"/>
        </w:rPr>
        <w:t xml:space="preserve"> </w:t>
      </w:r>
    </w:p>
    <w:tbl>
      <w:tblPr>
        <w:tblW w:w="5090" w:type="dxa"/>
        <w:jc w:val="left"/>
        <w:tblInd w:w="0" w:type="dxa"/>
        <w:tblLayout w:type="fixed"/>
        <w:tblCellMar>
          <w:top w:w="28" w:type="dxa"/>
          <w:left w:w="28" w:type="dxa"/>
          <w:bottom w:w="28" w:type="dxa"/>
          <w:right w:w="28" w:type="dxa"/>
        </w:tblCellMar>
      </w:tblPr>
      <w:tblGrid>
        <w:gridCol w:w="124"/>
        <w:gridCol w:w="109"/>
        <w:gridCol w:w="109"/>
        <w:gridCol w:w="1458"/>
        <w:gridCol w:w="1458"/>
        <w:gridCol w:w="14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241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24150" cy="419100"/>
                          </a:xfrm>
                          <a:prstGeom prst="rect">
                            <a:avLst/>
                          </a:prstGeom>
                        </pic:spPr>
                      </pic:pic>
                    </a:graphicData>
                  </a:graphic>
                </wp:inline>
              </w:drawing>
            </w:r>
            <w:bookmarkStart w:id="0" w:name="i-1"/>
            <w:bookmarkEnd w:id="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sans-serif" w:hAnsi="sans-serif"/>
          <w:b/>
          <w:color w:val="51555C"/>
          <w:sz w:val="40"/>
        </w:rPr>
        <w:t>Blackbaud, Inc.</w:t>
      </w:r>
      <w:r>
        <w:rPr>
          <w:color w:val="51555C"/>
        </w:rPr>
        <w:t xml:space="preserve"> </w:t>
      </w:r>
    </w:p>
    <w:p>
      <w:pPr>
        <w:pStyle w:val="TextBody"/>
        <w:bidi w:val="0"/>
        <w:spacing w:lineRule="auto" w:line="288" w:before="0" w:after="0"/>
        <w:jc w:val="center"/>
        <w:rPr>
          <w:rFonts w:ascii="sans-serif" w:hAnsi="sans-serif"/>
          <w:b w:val="false"/>
          <w:color w:val="51555C"/>
          <w:sz w:val="18"/>
        </w:rPr>
      </w:pPr>
      <w:r>
        <w:rPr>
          <w:rFonts w:ascii="sans-serif" w:hAnsi="sans-serif"/>
          <w:b w:val="false"/>
          <w:color w:val="51555C"/>
          <w:sz w:val="18"/>
        </w:rPr>
        <w:t>(Exact name of registrant as specified in its charter)</w:t>
      </w:r>
    </w:p>
    <w:tbl>
      <w:tblPr>
        <w:tblW w:w="8789" w:type="dxa"/>
        <w:jc w:val="left"/>
        <w:tblInd w:w="0" w:type="dxa"/>
        <w:tblLayout w:type="fixed"/>
        <w:tblCellMar>
          <w:top w:w="28" w:type="dxa"/>
          <w:left w:w="28" w:type="dxa"/>
          <w:bottom w:w="28" w:type="dxa"/>
          <w:right w:w="28" w:type="dxa"/>
        </w:tblCellMar>
      </w:tblPr>
      <w:tblGrid>
        <w:gridCol w:w="1981"/>
        <w:gridCol w:w="1741"/>
        <w:gridCol w:w="1753"/>
        <w:gridCol w:w="969"/>
        <w:gridCol w:w="969"/>
        <w:gridCol w:w="1376"/>
      </w:tblGrid>
      <w:tr>
        <w:trPr/>
        <w:tc>
          <w:tcPr>
            <w:tcW w:w="198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Delaware</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11-2617163</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(State or other jurisdiction of incorporation or organization)</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(I.R.S. Employer Identification No.)</w:t>
            </w:r>
          </w:p>
        </w:tc>
      </w:tr>
    </w:tbl>
    <w:p>
      <w:pPr>
        <w:pStyle w:val="TextBody"/>
        <w:bidi w:val="0"/>
        <w:spacing w:lineRule="auto" w:line="288" w:before="0" w:after="0"/>
        <w:jc w:val="center"/>
        <w:rPr>
          <w:rFonts w:ascii="sans-serif" w:hAnsi="sans-serif"/>
          <w:b/>
          <w:color w:val="51555C"/>
          <w:sz w:val="18"/>
        </w:rPr>
      </w:pPr>
      <w:r>
        <w:rPr>
          <w:rFonts w:ascii="sans-serif" w:hAnsi="sans-serif"/>
          <w:b/>
          <w:color w:val="51555C"/>
          <w:sz w:val="18"/>
        </w:rPr>
        <w:t xml:space="preserve">65 Fairchild Street </w:t>
      </w:r>
    </w:p>
    <w:p>
      <w:pPr>
        <w:pStyle w:val="TextBody"/>
        <w:bidi w:val="0"/>
        <w:spacing w:lineRule="auto" w:line="288" w:before="0" w:after="0"/>
        <w:jc w:val="center"/>
        <w:rPr>
          <w:rFonts w:ascii="sans-serif" w:hAnsi="sans-serif"/>
          <w:b/>
          <w:color w:val="51555C"/>
          <w:sz w:val="18"/>
        </w:rPr>
      </w:pPr>
      <w:r>
        <w:rPr>
          <w:rFonts w:ascii="sans-serif" w:hAnsi="sans-serif"/>
          <w:b/>
          <w:color w:val="51555C"/>
          <w:sz w:val="18"/>
        </w:rPr>
        <w:t xml:space="preserve">Charleston, South Carolina 29492 </w:t>
      </w:r>
    </w:p>
    <w:p>
      <w:pPr>
        <w:pStyle w:val="TextBody"/>
        <w:bidi w:val="0"/>
        <w:spacing w:lineRule="auto" w:line="288" w:before="0" w:after="0"/>
        <w:jc w:val="center"/>
        <w:rPr>
          <w:rFonts w:ascii="sans-serif" w:hAnsi="sans-serif"/>
          <w:b w:val="false"/>
          <w:color w:val="51555C"/>
          <w:sz w:val="18"/>
        </w:rPr>
      </w:pPr>
      <w:r>
        <w:rPr>
          <w:rFonts w:ascii="sans-serif" w:hAnsi="sans-serif"/>
          <w:b w:val="false"/>
          <w:color w:val="51555C"/>
          <w:sz w:val="18"/>
        </w:rPr>
        <w:t>(Address of principal executive offices, including zip code)</w:t>
      </w:r>
    </w:p>
    <w:p>
      <w:pPr>
        <w:pStyle w:val="TextBody"/>
        <w:bidi w:val="0"/>
        <w:spacing w:lineRule="auto" w:line="288" w:before="0" w:after="0"/>
        <w:jc w:val="center"/>
        <w:rPr/>
      </w:pPr>
      <w:r>
        <w:rPr>
          <w:rFonts w:ascii="sans-serif" w:hAnsi="sans-serif"/>
          <w:b/>
          <w:color w:val="51555C"/>
          <w:sz w:val="18"/>
        </w:rPr>
        <w:t>(843) 216-6200</w:t>
      </w:r>
      <w:r>
        <w:rPr>
          <w:color w:val="51555C"/>
        </w:rPr>
        <w:t xml:space="preserve"> </w:t>
      </w:r>
    </w:p>
    <w:p>
      <w:pPr>
        <w:pStyle w:val="TextBody"/>
        <w:bidi w:val="0"/>
        <w:spacing w:lineRule="auto" w:line="288" w:before="0" w:after="0"/>
        <w:jc w:val="center"/>
        <w:rPr>
          <w:rFonts w:ascii="sans-serif" w:hAnsi="sans-serif"/>
          <w:b w:val="false"/>
          <w:color w:val="51555C"/>
          <w:sz w:val="18"/>
        </w:rPr>
      </w:pPr>
      <w:r>
        <w:rPr>
          <w:rFonts w:ascii="sans-serif" w:hAnsi="sans-serif"/>
          <w:b w:val="false"/>
          <w:color w:val="51555C"/>
          <w:sz w:val="18"/>
        </w:rPr>
        <w:t>(Registrant’s telephone number, including area code)</w:t>
      </w:r>
    </w:p>
    <w:tbl>
      <w:tblPr>
        <w:tblW w:w="9540" w:type="dxa"/>
        <w:jc w:val="left"/>
        <w:tblInd w:w="0" w:type="dxa"/>
        <w:tblLayout w:type="fixed"/>
        <w:tblCellMar>
          <w:top w:w="28" w:type="dxa"/>
          <w:left w:w="28" w:type="dxa"/>
          <w:bottom w:w="28" w:type="dxa"/>
          <w:right w:w="28" w:type="dxa"/>
        </w:tblCellMar>
      </w:tblPr>
      <w:tblGrid>
        <w:gridCol w:w="1273"/>
        <w:gridCol w:w="1111"/>
        <w:gridCol w:w="1111"/>
        <w:gridCol w:w="590"/>
        <w:gridCol w:w="590"/>
        <w:gridCol w:w="590"/>
        <w:gridCol w:w="1229"/>
        <w:gridCol w:w="1229"/>
        <w:gridCol w:w="1817"/>
      </w:tblGrid>
      <w:tr>
        <w:trPr/>
        <w:tc>
          <w:tcPr>
            <w:tcW w:w="127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0"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Securities Registered Pursuant to Section 12(b) of the Act:</w:t>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u w:val="single"/>
              </w:rPr>
            </w:pPr>
            <w:r>
              <w:rPr>
                <w:rFonts w:ascii="sans-serif" w:hAnsi="sans-serif"/>
                <w:b w:val="false"/>
                <w:color w:val="51555C"/>
                <w:sz w:val="18"/>
                <w:u w:val="single"/>
              </w:rPr>
              <w:t>Title of Each Class</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u w:val="single"/>
              </w:rPr>
            </w:pPr>
            <w:r>
              <w:rPr>
                <w:rFonts w:ascii="sans-serif" w:hAnsi="sans-serif"/>
                <w:b w:val="false"/>
                <w:color w:val="51555C"/>
                <w:sz w:val="18"/>
                <w:u w:val="single"/>
              </w:rPr>
              <w:t>Trading Symbol(s)</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u w:val="single"/>
              </w:rPr>
            </w:pPr>
            <w:r>
              <w:rPr>
                <w:rFonts w:ascii="sans-serif" w:hAnsi="sans-serif"/>
                <w:b w:val="false"/>
                <w:color w:val="51555C"/>
                <w:sz w:val="18"/>
                <w:u w:val="single"/>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Common Stock, $0.001 Par Value</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BLKB</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Nasdaq Global Select Market</w:t>
            </w:r>
          </w:p>
        </w:tc>
      </w:tr>
      <w:tr>
        <w:trPr/>
        <w:tc>
          <w:tcPr>
            <w:tcW w:w="34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lineRule="auto" w:line="288" w:before="0" w:after="0"/>
        <w:jc w:val="both"/>
        <w:rPr/>
      </w:pPr>
      <w:r>
        <w:rPr>
          <w:rFonts w:ascii="sans-serif" w:hAnsi="sans-serif"/>
          <w:b w:val="false"/>
          <w:color w:val="51555C"/>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51555C"/>
        </w:rPr>
        <w:t xml:space="preserve">    </w:t>
      </w:r>
    </w:p>
    <w:p>
      <w:pPr>
        <w:pStyle w:val="TextBody"/>
        <w:bidi w:val="0"/>
        <w:spacing w:lineRule="auto" w:line="288" w:before="0" w:after="0"/>
        <w:jc w:val="left"/>
        <w:rPr/>
      </w:pPr>
      <w:r>
        <w:rPr>
          <w:rFonts w:ascii="sans-serif" w:hAnsi="sans-serif"/>
          <w:b w:val="false"/>
          <w:color w:val="51555C"/>
          <w:sz w:val="18"/>
        </w:rPr>
        <w:t>Yes</w:t>
      </w:r>
      <w:r>
        <w:rPr>
          <w:color w:val="51555C"/>
        </w:rPr>
        <w:t>  ☑   </w:t>
      </w:r>
      <w:r>
        <w:rPr>
          <w:rFonts w:ascii="sans-serif" w:hAnsi="sans-serif"/>
          <w:b w:val="false"/>
          <w:color w:val="51555C"/>
          <w:sz w:val="18"/>
        </w:rPr>
        <w:t>No</w:t>
      </w:r>
      <w:r>
        <w:rPr>
          <w:color w:val="51555C"/>
        </w:rPr>
        <w:t>  ☐</w:t>
      </w:r>
    </w:p>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pStyle w:val="TextBody"/>
        <w:bidi w:val="0"/>
        <w:spacing w:lineRule="auto" w:line="288" w:before="0" w:after="0"/>
        <w:jc w:val="left"/>
        <w:rPr/>
      </w:pPr>
      <w:r>
        <w:rPr>
          <w:rFonts w:ascii="sans-serif" w:hAnsi="sans-serif"/>
          <w:b w:val="false"/>
          <w:color w:val="51555C"/>
          <w:sz w:val="18"/>
        </w:rPr>
        <w:t>Yes</w:t>
      </w:r>
      <w:r>
        <w:rPr>
          <w:color w:val="51555C"/>
        </w:rPr>
        <w:t>  ☑   </w:t>
      </w:r>
      <w:r>
        <w:rPr>
          <w:rFonts w:ascii="sans-serif" w:hAnsi="sans-serif"/>
          <w:b w:val="false"/>
          <w:color w:val="51555C"/>
          <w:sz w:val="18"/>
        </w:rPr>
        <w:t>No</w:t>
      </w:r>
      <w:r>
        <w:rPr>
          <w:color w:val="51555C"/>
        </w:rPr>
        <w:t>  ☐</w:t>
      </w:r>
    </w:p>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65"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109"/>
        <w:gridCol w:w="109"/>
        <w:gridCol w:w="109"/>
        <w:gridCol w:w="863"/>
        <w:gridCol w:w="863"/>
        <w:gridCol w:w="868"/>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bl>
    <w:p>
      <w:pPr>
        <w:pStyle w:val="TextBody"/>
        <w:bidi w:val="0"/>
        <w:spacing w:lineRule="auto" w:line="288" w:before="0" w:after="0"/>
        <w:jc w:val="both"/>
        <w:rPr/>
      </w:pPr>
      <w:r>
        <w:rPr>
          <w:rFonts w:ascii="sans-serif" w:hAnsi="sans-serif"/>
          <w:b w:val="false"/>
          <w:color w:val="51555C"/>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51555C"/>
        </w:rPr>
        <w:t xml:space="preserve"> ☐</w:t>
      </w:r>
    </w:p>
    <w:p>
      <w:pPr>
        <w:pStyle w:val="TextBody"/>
        <w:bidi w:val="0"/>
        <w:spacing w:lineRule="auto" w:line="288" w:before="120" w:after="283"/>
        <w:jc w:val="both"/>
        <w:rPr/>
      </w:pPr>
      <w:r>
        <w:rPr>
          <w:rFonts w:ascii="sans-serif" w:hAnsi="sans-serif"/>
          <w:b w:val="false"/>
          <w:color w:val="51555C"/>
          <w:sz w:val="18"/>
        </w:rPr>
        <w:t>Indicate by check mark whether registrant is a shell company (as defined in Rule 12b-2 of the Exchange Act).</w:t>
      </w:r>
      <w:r>
        <w:rPr>
          <w:color w:val="51555C"/>
        </w:rPr>
        <w:t>    </w:t>
      </w:r>
    </w:p>
    <w:p>
      <w:pPr>
        <w:pStyle w:val="TextBody"/>
        <w:bidi w:val="0"/>
        <w:spacing w:lineRule="auto" w:line="288" w:before="0" w:after="0"/>
        <w:jc w:val="left"/>
        <w:rPr/>
      </w:pPr>
      <w:r>
        <w:rPr>
          <w:rFonts w:ascii="sans-serif" w:hAnsi="sans-serif"/>
          <w:b w:val="false"/>
          <w:color w:val="51555C"/>
          <w:sz w:val="18"/>
        </w:rPr>
        <w:t>Yes</w:t>
      </w:r>
      <w:r>
        <w:rPr>
          <w:color w:val="51555C"/>
        </w:rPr>
        <w:t xml:space="preserve"> ☐  </w:t>
      </w:r>
      <w:r>
        <w:rPr>
          <w:rFonts w:ascii="sans-serif" w:hAnsi="sans-serif"/>
          <w:b w:val="false"/>
          <w:color w:val="51555C"/>
          <w:sz w:val="18"/>
        </w:rPr>
        <w:t>No</w:t>
      </w:r>
      <w:r>
        <w:rPr>
          <w:color w:val="51555C"/>
        </w:rPr>
        <w:t>  ☑    </w:t>
      </w:r>
    </w:p>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The number of shares of the registrant’s Common Stock outstanding as of October 29, 2025 was 47,834,179.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sans-serif" w:hAnsi="sans-serif"/>
          <w:b/>
          <w:color w:val="50535A"/>
          <w:sz w:val="44"/>
        </w:rPr>
      </w:pPr>
      <w:r>
        <w:rPr>
          <w:rFonts w:ascii="sans-serif" w:hAnsi="sans-serif"/>
          <w:b/>
          <w:color w:val="50535A"/>
          <w:sz w:val="44"/>
        </w:rPr>
        <w:t>TABLE OF CONTENTS</w:t>
      </w:r>
    </w:p>
    <w:tbl>
      <w:tblPr>
        <w:tblW w:w="10205" w:type="dxa"/>
        <w:jc w:val="left"/>
        <w:tblInd w:w="0" w:type="dxa"/>
        <w:tblLayout w:type="fixed"/>
        <w:tblCellMar>
          <w:top w:w="28" w:type="dxa"/>
          <w:left w:w="28" w:type="dxa"/>
          <w:bottom w:w="28" w:type="dxa"/>
          <w:right w:w="28" w:type="dxa"/>
        </w:tblCellMar>
      </w:tblPr>
      <w:tblGrid>
        <w:gridCol w:w="1299"/>
        <w:gridCol w:w="1142"/>
        <w:gridCol w:w="1142"/>
        <w:gridCol w:w="2199"/>
        <w:gridCol w:w="1977"/>
        <w:gridCol w:w="1991"/>
        <w:gridCol w:w="131"/>
        <w:gridCol w:w="131"/>
        <w:gridCol w:w="193"/>
      </w:tblGrid>
      <w:tr>
        <w:trPr/>
        <w:tc>
          <w:tcPr>
            <w:tcW w:w="129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975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19">
              <w:r>
                <w:rPr>
                  <w:rStyle w:val="InternetLink"/>
                  <w:rFonts w:ascii="sans-serif" w:hAnsi="sans-serif"/>
                  <w:b/>
                  <w:strike w:val="false"/>
                  <w:dstrike w:val="false"/>
                  <w:color w:val="004054"/>
                  <w:sz w:val="22"/>
                  <w:u w:val="none"/>
                  <w:effect w:val="none"/>
                </w:rPr>
                <w:t>CAUTIONARY STATEMENT REGARDING FORWARD-LOOKING STATEMENTS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19">
              <w:r>
                <w:rPr>
                  <w:rStyle w:val="InternetLink"/>
                  <w:rFonts w:ascii="sans-serif" w:hAnsi="sans-serif"/>
                  <w:b/>
                  <w:strike w:val="false"/>
                  <w:dstrike w:val="false"/>
                  <w:color w:val="004054"/>
                  <w:sz w:val="22"/>
                  <w:u w:val="none"/>
                  <w:effect w:val="none"/>
                </w:rPr>
                <w:t>2</w:t>
              </w:r>
            </w:hyperlink>
          </w:p>
        </w:tc>
      </w:tr>
      <w:tr>
        <w:trPr/>
        <w:tc>
          <w:tcPr>
            <w:tcW w:w="3583"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6167"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45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2">
              <w:r>
                <w:rPr>
                  <w:rStyle w:val="InternetLink"/>
                  <w:rFonts w:ascii="sans-serif" w:hAnsi="sans-serif"/>
                  <w:b/>
                  <w:strike w:val="false"/>
                  <w:dstrike w:val="false"/>
                  <w:color w:val="004054"/>
                  <w:sz w:val="22"/>
                  <w:u w:val="none"/>
                  <w:effect w:val="none"/>
                </w:rPr>
                <w:t>PART I.</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2">
              <w:r>
                <w:rPr>
                  <w:rStyle w:val="InternetLink"/>
                  <w:rFonts w:ascii="sans-serif" w:hAnsi="sans-serif"/>
                  <w:b/>
                  <w:strike w:val="false"/>
                  <w:dstrike w:val="false"/>
                  <w:color w:val="004054"/>
                  <w:sz w:val="22"/>
                  <w:u w:val="none"/>
                  <w:effect w:val="none"/>
                </w:rPr>
                <w:t>FINANCIAL INFORMATION</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2">
              <w:r>
                <w:rPr>
                  <w:rStyle w:val="InternetLink"/>
                  <w:rFonts w:ascii="sans-serif" w:hAnsi="sans-serif"/>
                  <w:b/>
                  <w:strike w:val="false"/>
                  <w:dstrike w:val="false"/>
                  <w:color w:val="004054"/>
                  <w:sz w:val="22"/>
                  <w:u w:val="none"/>
                  <w:effect w:val="none"/>
                </w:rPr>
                <w:t>3</w:t>
              </w:r>
            </w:hyperlink>
          </w:p>
        </w:tc>
      </w:tr>
      <w:tr>
        <w:trPr/>
        <w:tc>
          <w:tcPr>
            <w:tcW w:w="358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5">
              <w:r>
                <w:rPr>
                  <w:rStyle w:val="InternetLink"/>
                  <w:rFonts w:ascii="sans-serif" w:hAnsi="sans-serif"/>
                  <w:b w:val="false"/>
                  <w:strike w:val="false"/>
                  <w:dstrike w:val="false"/>
                  <w:color w:val="51555C"/>
                  <w:sz w:val="20"/>
                  <w:u w:val="none"/>
                  <w:effect w:val="none"/>
                </w:rPr>
                <w:t>Item 1.</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5">
              <w:r>
                <w:rPr>
                  <w:rStyle w:val="InternetLink"/>
                  <w:rFonts w:ascii="sans-serif" w:hAnsi="sans-serif"/>
                  <w:b w:val="false"/>
                  <w:strike w:val="false"/>
                  <w:dstrike w:val="false"/>
                  <w:color w:val="51555C"/>
                  <w:sz w:val="20"/>
                  <w:u w:val="none"/>
                  <w:effect w:val="none"/>
                </w:rPr>
                <w:t>Financial statements</w:t>
              </w:r>
            </w:hyperlink>
          </w:p>
        </w:tc>
        <w:tc>
          <w:tcPr>
            <w:tcW w:w="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8">
              <w:r>
                <w:rPr>
                  <w:rStyle w:val="InternetLink"/>
                  <w:rFonts w:ascii="sans-serif" w:hAnsi="sans-serif"/>
                  <w:b w:val="false"/>
                  <w:strike w:val="false"/>
                  <w:dstrike w:val="false"/>
                  <w:color w:val="51555C"/>
                  <w:sz w:val="20"/>
                  <w:u w:val="none"/>
                  <w:effect w:val="none"/>
                </w:rPr>
                <w:t>Condensed Consolidated Balance Sheets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0a17843f2c4b2fa8d7abf2308f75bb_28">
              <w:r>
                <w:rPr>
                  <w:rStyle w:val="InternetLink"/>
                  <w:rFonts w:ascii="sans-serif" w:hAnsi="sans-serif"/>
                  <w:b w:val="false"/>
                  <w:strike w:val="false"/>
                  <w:dstrike w:val="false"/>
                  <w:color w:val="000000"/>
                  <w:sz w:val="20"/>
                  <w:u w:val="none"/>
                  <w:effect w:val="none"/>
                </w:rPr>
                <w:t>3</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31">
              <w:r>
                <w:rPr>
                  <w:rStyle w:val="InternetLink"/>
                  <w:rFonts w:ascii="sans-serif" w:hAnsi="sans-serif"/>
                  <w:b w:val="false"/>
                  <w:strike w:val="false"/>
                  <w:dstrike w:val="false"/>
                  <w:color w:val="51555C"/>
                  <w:sz w:val="20"/>
                  <w:u w:val="none"/>
                  <w:effect w:val="none"/>
                </w:rPr>
                <w:t xml:space="preserve">Condensed Consolidated Statements of Comprehensive </w:t>
              </w:r>
            </w:hyperlink>
            <w:r>
              <w:rPr>
                <w:rFonts w:ascii="sans-serif" w:hAnsi="sans-serif"/>
                <w:b w:val="false"/>
                <w:color w:val="51555C"/>
                <w:sz w:val="20"/>
              </w:rPr>
              <w:t>Income</w:t>
            </w:r>
            <w:hyperlink w:anchor="i9f0a17843f2c4b2fa8d7abf2308f75bb_31">
              <w:r>
                <w:rPr>
                  <w:rStyle w:val="InternetLink"/>
                  <w:rFonts w:ascii="sans-serif" w:hAnsi="sans-serif"/>
                  <w:b w:val="false"/>
                  <w:strike w:val="false"/>
                  <w:dstrike w:val="false"/>
                  <w:color w:val="51555C"/>
                  <w:sz w:val="20"/>
                  <w:u w:val="none"/>
                  <w:effect w:val="none"/>
                </w:rPr>
                <w:t xml:space="preserve">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0a17843f2c4b2fa8d7abf2308f75bb_31">
              <w:r>
                <w:rPr>
                  <w:rStyle w:val="InternetLink"/>
                  <w:rFonts w:ascii="sans-serif" w:hAnsi="sans-serif"/>
                  <w:b w:val="false"/>
                  <w:strike w:val="false"/>
                  <w:dstrike w:val="false"/>
                  <w:color w:val="000000"/>
                  <w:sz w:val="20"/>
                  <w:u w:val="none"/>
                  <w:effect w:val="none"/>
                </w:rPr>
                <w:t>4</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34">
              <w:r>
                <w:rPr>
                  <w:rStyle w:val="InternetLink"/>
                  <w:rFonts w:ascii="sans-serif" w:hAnsi="sans-serif"/>
                  <w:b w:val="false"/>
                  <w:strike w:val="false"/>
                  <w:dstrike w:val="false"/>
                  <w:color w:val="51555C"/>
                  <w:sz w:val="20"/>
                  <w:u w:val="none"/>
                  <w:effect w:val="none"/>
                </w:rPr>
                <w:t>Condensed Consolidated Statements of Cash Flows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0a17843f2c4b2fa8d7abf2308f75bb_34">
              <w:r>
                <w:rPr>
                  <w:rStyle w:val="InternetLink"/>
                  <w:rFonts w:ascii="sans-serif" w:hAnsi="sans-serif"/>
                  <w:b w:val="false"/>
                  <w:strike w:val="false"/>
                  <w:dstrike w:val="false"/>
                  <w:color w:val="000000"/>
                  <w:sz w:val="20"/>
                  <w:u w:val="none"/>
                  <w:effect w:val="none"/>
                </w:rPr>
                <w:t>5</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37">
              <w:r>
                <w:rPr>
                  <w:rStyle w:val="InternetLink"/>
                  <w:rFonts w:ascii="sans-serif" w:hAnsi="sans-serif"/>
                  <w:b w:val="false"/>
                  <w:strike w:val="false"/>
                  <w:dstrike w:val="false"/>
                  <w:color w:val="51555C"/>
                  <w:sz w:val="20"/>
                  <w:u w:val="none"/>
                  <w:effect w:val="none"/>
                </w:rPr>
                <w:t>Condensed Consolidated Statements of Stockholders’ Equity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0a17843f2c4b2fa8d7abf2308f75bb_37">
              <w:r>
                <w:rPr>
                  <w:rStyle w:val="InternetLink"/>
                  <w:rFonts w:ascii="sans-serif" w:hAnsi="sans-serif"/>
                  <w:b w:val="false"/>
                  <w:strike w:val="false"/>
                  <w:dstrike w:val="false"/>
                  <w:color w:val="000000"/>
                  <w:sz w:val="20"/>
                  <w:u w:val="none"/>
                  <w:effect w:val="none"/>
                </w:rPr>
                <w:t>6</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40">
              <w:r>
                <w:rPr>
                  <w:rStyle w:val="InternetLink"/>
                  <w:rFonts w:ascii="sans-serif" w:hAnsi="sans-serif"/>
                  <w:b w:val="false"/>
                  <w:strike w:val="false"/>
                  <w:dstrike w:val="false"/>
                  <w:color w:val="51555C"/>
                  <w:sz w:val="20"/>
                  <w:u w:val="none"/>
                  <w:effect w:val="none"/>
                </w:rPr>
                <w:t>Notes to Condensed Consolidated Financial Statements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0a17843f2c4b2fa8d7abf2308f75bb_40">
              <w:r>
                <w:rPr>
                  <w:rStyle w:val="InternetLink"/>
                  <w:rFonts w:ascii="sans-serif" w:hAnsi="sans-serif"/>
                  <w:b w:val="false"/>
                  <w:strike w:val="false"/>
                  <w:dstrike w:val="false"/>
                  <w:color w:val="000000"/>
                  <w:sz w:val="20"/>
                  <w:u w:val="none"/>
                  <w:effect w:val="none"/>
                </w:rPr>
                <w:t>8</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106">
              <w:r>
                <w:rPr>
                  <w:rStyle w:val="InternetLink"/>
                  <w:rFonts w:ascii="sans-serif" w:hAnsi="sans-serif"/>
                  <w:b w:val="false"/>
                  <w:strike w:val="false"/>
                  <w:dstrike w:val="false"/>
                  <w:color w:val="51555C"/>
                  <w:sz w:val="20"/>
                  <w:u w:val="none"/>
                  <w:effect w:val="none"/>
                </w:rPr>
                <w:t>Item 2.</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106">
              <w:r>
                <w:rPr>
                  <w:rStyle w:val="InternetLink"/>
                  <w:rFonts w:ascii="sans-serif" w:hAnsi="sans-serif"/>
                  <w:b w:val="false"/>
                  <w:strike w:val="false"/>
                  <w:dstrike w:val="false"/>
                  <w:color w:val="51555C"/>
                  <w:sz w:val="20"/>
                  <w:u w:val="none"/>
                  <w:effect w:val="none"/>
                </w:rPr>
                <w:t>Management's discussion and analysis of financial condition and results of operations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0a17843f2c4b2fa8d7abf2308f75bb_106">
              <w:r>
                <w:rPr>
                  <w:rStyle w:val="InternetLink"/>
                  <w:rFonts w:ascii="sans-serif" w:hAnsi="sans-serif"/>
                  <w:b w:val="false"/>
                  <w:strike w:val="false"/>
                  <w:dstrike w:val="false"/>
                  <w:color w:val="000000"/>
                  <w:sz w:val="20"/>
                  <w:u w:val="none"/>
                  <w:effect w:val="none"/>
                </w:rPr>
                <w:t>30</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05">
              <w:r>
                <w:rPr>
                  <w:rStyle w:val="InternetLink"/>
                  <w:rFonts w:ascii="sans-serif" w:hAnsi="sans-serif"/>
                  <w:b w:val="false"/>
                  <w:strike w:val="false"/>
                  <w:dstrike w:val="false"/>
                  <w:color w:val="51555C"/>
                  <w:sz w:val="20"/>
                  <w:u w:val="none"/>
                  <w:effect w:val="none"/>
                </w:rPr>
                <w:t>Item 3.</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05">
              <w:r>
                <w:rPr>
                  <w:rStyle w:val="InternetLink"/>
                  <w:rFonts w:ascii="sans-serif" w:hAnsi="sans-serif"/>
                  <w:b w:val="false"/>
                  <w:strike w:val="false"/>
                  <w:dstrike w:val="false"/>
                  <w:color w:val="51555C"/>
                  <w:sz w:val="20"/>
                  <w:u w:val="none"/>
                  <w:effect w:val="none"/>
                </w:rPr>
                <w:t>Quantitative and qualitative disclosures about market risk</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0a17843f2c4b2fa8d7abf2308f75bb_205">
              <w:r>
                <w:rPr>
                  <w:rStyle w:val="InternetLink"/>
                  <w:rFonts w:ascii="sans-serif" w:hAnsi="sans-serif"/>
                  <w:b w:val="false"/>
                  <w:strike w:val="false"/>
                  <w:dstrike w:val="false"/>
                  <w:color w:val="000000"/>
                  <w:sz w:val="20"/>
                  <w:u w:val="none"/>
                  <w:effect w:val="none"/>
                </w:rPr>
                <w:t>50</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08">
              <w:r>
                <w:rPr>
                  <w:rStyle w:val="InternetLink"/>
                  <w:rFonts w:ascii="sans-serif" w:hAnsi="sans-serif"/>
                  <w:b w:val="false"/>
                  <w:strike w:val="false"/>
                  <w:dstrike w:val="false"/>
                  <w:color w:val="51555C"/>
                  <w:sz w:val="20"/>
                  <w:u w:val="none"/>
                  <w:effect w:val="none"/>
                </w:rPr>
                <w:t>Item 4.</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08">
              <w:r>
                <w:rPr>
                  <w:rStyle w:val="InternetLink"/>
                  <w:rFonts w:ascii="sans-serif" w:hAnsi="sans-serif"/>
                  <w:b w:val="false"/>
                  <w:strike w:val="false"/>
                  <w:dstrike w:val="false"/>
                  <w:color w:val="51555C"/>
                  <w:sz w:val="20"/>
                  <w:u w:val="none"/>
                  <w:effect w:val="none"/>
                </w:rPr>
                <w:t>Controls and procedures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0a17843f2c4b2fa8d7abf2308f75bb_208">
              <w:r>
                <w:rPr>
                  <w:rStyle w:val="InternetLink"/>
                  <w:rFonts w:ascii="sans-serif" w:hAnsi="sans-serif"/>
                  <w:b w:val="false"/>
                  <w:strike w:val="false"/>
                  <w:dstrike w:val="false"/>
                  <w:color w:val="000000"/>
                  <w:sz w:val="20"/>
                  <w:u w:val="none"/>
                  <w:effect w:val="none"/>
                </w:rPr>
                <w:t>50</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11">
              <w:r>
                <w:rPr>
                  <w:rStyle w:val="InternetLink"/>
                  <w:rFonts w:ascii="sans-serif" w:hAnsi="sans-serif"/>
                  <w:b/>
                  <w:strike w:val="false"/>
                  <w:dstrike w:val="false"/>
                  <w:color w:val="004054"/>
                  <w:sz w:val="22"/>
                  <w:u w:val="none"/>
                  <w:effect w:val="none"/>
                </w:rPr>
                <w:t>PART II.</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11">
              <w:r>
                <w:rPr>
                  <w:rStyle w:val="InternetLink"/>
                  <w:rFonts w:ascii="sans-serif" w:hAnsi="sans-serif"/>
                  <w:b/>
                  <w:strike w:val="false"/>
                  <w:dstrike w:val="false"/>
                  <w:color w:val="004054"/>
                  <w:sz w:val="22"/>
                  <w:u w:val="none"/>
                  <w:effect w:val="none"/>
                </w:rPr>
                <w:t>OTHER INFORMATION</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11">
              <w:r>
                <w:rPr>
                  <w:rStyle w:val="InternetLink"/>
                  <w:rFonts w:ascii="sans-serif" w:hAnsi="sans-serif"/>
                  <w:b/>
                  <w:strike w:val="false"/>
                  <w:dstrike w:val="false"/>
                  <w:color w:val="004054"/>
                  <w:sz w:val="22"/>
                  <w:u w:val="none"/>
                  <w:effect w:val="none"/>
                </w:rPr>
                <w:t>51</w:t>
              </w:r>
            </w:hyperlink>
          </w:p>
        </w:tc>
      </w:tr>
      <w:tr>
        <w:trPr/>
        <w:tc>
          <w:tcPr>
            <w:tcW w:w="358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14">
              <w:r>
                <w:rPr>
                  <w:rStyle w:val="InternetLink"/>
                  <w:rFonts w:ascii="sans-serif" w:hAnsi="sans-serif"/>
                  <w:b w:val="false"/>
                  <w:strike w:val="false"/>
                  <w:dstrike w:val="false"/>
                  <w:color w:val="51555C"/>
                  <w:sz w:val="20"/>
                  <w:u w:val="none"/>
                  <w:effect w:val="none"/>
                </w:rPr>
                <w:t>Item 1.</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14">
              <w:r>
                <w:rPr>
                  <w:rStyle w:val="InternetLink"/>
                  <w:rFonts w:ascii="sans-serif" w:hAnsi="sans-serif"/>
                  <w:b w:val="false"/>
                  <w:strike w:val="false"/>
                  <w:dstrike w:val="false"/>
                  <w:color w:val="51555C"/>
                  <w:sz w:val="20"/>
                  <w:u w:val="none"/>
                  <w:effect w:val="none"/>
                </w:rPr>
                <w:t>Legal proceedings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0a17843f2c4b2fa8d7abf2308f75bb_214">
              <w:r>
                <w:rPr>
                  <w:rStyle w:val="InternetLink"/>
                  <w:rFonts w:ascii="sans-serif" w:hAnsi="sans-serif"/>
                  <w:b w:val="false"/>
                  <w:strike w:val="false"/>
                  <w:dstrike w:val="false"/>
                  <w:color w:val="000000"/>
                  <w:sz w:val="20"/>
                  <w:u w:val="none"/>
                  <w:effect w:val="none"/>
                </w:rPr>
                <w:t>51</w:t>
              </w:r>
            </w:hyperlink>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6167"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20">
              <w:r>
                <w:rPr>
                  <w:rStyle w:val="InternetLink"/>
                  <w:rFonts w:ascii="sans-serif" w:hAnsi="sans-serif"/>
                  <w:b w:val="false"/>
                  <w:strike w:val="false"/>
                  <w:dstrike w:val="false"/>
                  <w:color w:val="51555C"/>
                  <w:sz w:val="20"/>
                  <w:u w:val="none"/>
                  <w:effect w:val="none"/>
                </w:rPr>
                <w:t>Item 2.</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20">
              <w:r>
                <w:rPr>
                  <w:rStyle w:val="InternetLink"/>
                  <w:rFonts w:ascii="sans-serif" w:hAnsi="sans-serif"/>
                  <w:b w:val="false"/>
                  <w:strike w:val="false"/>
                  <w:dstrike w:val="false"/>
                  <w:color w:val="51555C"/>
                  <w:sz w:val="20"/>
                  <w:u w:val="none"/>
                  <w:effect w:val="none"/>
                </w:rPr>
                <w:t>Unregistered sales of equity securities and use of proceeds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0a17843f2c4b2fa8d7abf2308f75bb_220">
              <w:r>
                <w:rPr>
                  <w:rStyle w:val="InternetLink"/>
                  <w:rFonts w:ascii="sans-serif" w:hAnsi="sans-serif"/>
                  <w:b w:val="false"/>
                  <w:strike w:val="false"/>
                  <w:dstrike w:val="false"/>
                  <w:color w:val="000000"/>
                  <w:sz w:val="20"/>
                  <w:u w:val="none"/>
                  <w:effect w:val="none"/>
                </w:rPr>
                <w:t>51</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23">
              <w:r>
                <w:rPr>
                  <w:rStyle w:val="InternetLink"/>
                  <w:rFonts w:ascii="sans-serif" w:hAnsi="sans-serif"/>
                  <w:b w:val="false"/>
                  <w:strike w:val="false"/>
                  <w:dstrike w:val="false"/>
                  <w:color w:val="51555C"/>
                  <w:sz w:val="20"/>
                  <w:u w:val="none"/>
                  <w:effect w:val="none"/>
                </w:rPr>
                <w:t>Item 5.</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23">
              <w:r>
                <w:rPr>
                  <w:rStyle w:val="InternetLink"/>
                  <w:rFonts w:ascii="sans-serif" w:hAnsi="sans-serif"/>
                  <w:b w:val="false"/>
                  <w:strike w:val="false"/>
                  <w:dstrike w:val="false"/>
                  <w:color w:val="51555C"/>
                  <w:sz w:val="20"/>
                  <w:u w:val="none"/>
                  <w:effect w:val="none"/>
                </w:rPr>
                <w:t>Other information</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0a17843f2c4b2fa8d7abf2308f75bb_223">
              <w:r>
                <w:rPr>
                  <w:rStyle w:val="InternetLink"/>
                  <w:rFonts w:ascii="sans-serif" w:hAnsi="sans-serif"/>
                  <w:b w:val="false"/>
                  <w:strike w:val="false"/>
                  <w:dstrike w:val="false"/>
                  <w:color w:val="000000"/>
                  <w:sz w:val="20"/>
                  <w:u w:val="none"/>
                  <w:effect w:val="none"/>
                </w:rPr>
                <w:t>52</w:t>
              </w:r>
            </w:hyperlink>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6167"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32">
              <w:r>
                <w:rPr>
                  <w:rStyle w:val="InternetLink"/>
                  <w:rFonts w:ascii="sans-serif" w:hAnsi="sans-serif"/>
                  <w:b w:val="false"/>
                  <w:strike w:val="false"/>
                  <w:dstrike w:val="false"/>
                  <w:color w:val="51555C"/>
                  <w:sz w:val="20"/>
                  <w:u w:val="none"/>
                  <w:effect w:val="none"/>
                </w:rPr>
                <w:t>Item 6.</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0a17843f2c4b2fa8d7abf2308f75bb_232">
              <w:r>
                <w:rPr>
                  <w:rStyle w:val="InternetLink"/>
                  <w:rFonts w:ascii="sans-serif" w:hAnsi="sans-serif"/>
                  <w:b w:val="false"/>
                  <w:strike w:val="false"/>
                  <w:dstrike w:val="false"/>
                  <w:color w:val="51555C"/>
                  <w:sz w:val="20"/>
                  <w:u w:val="none"/>
                  <w:effect w:val="none"/>
                </w:rPr>
                <w:t>Exhibits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0a17843f2c4b2fa8d7abf2308f75bb_232">
              <w:r>
                <w:rPr>
                  <w:rStyle w:val="InternetLink"/>
                  <w:rFonts w:ascii="sans-serif" w:hAnsi="sans-serif"/>
                  <w:b w:val="false"/>
                  <w:strike w:val="false"/>
                  <w:dstrike w:val="false"/>
                  <w:color w:val="000000"/>
                  <w:sz w:val="20"/>
                  <w:u w:val="none"/>
                  <w:effect w:val="none"/>
                </w:rPr>
                <w:t>52</w:t>
              </w:r>
            </w:hyperlink>
          </w:p>
        </w:tc>
      </w:tr>
      <w:tr>
        <w:trPr/>
        <w:tc>
          <w:tcPr>
            <w:tcW w:w="9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0" w:type="dxa"/>
            <w:gridSpan w:val="6"/>
            <w:tcBorders>
              <w:bottom w:val="single" w:sz="8" w:space="0" w:color="0CD973"/>
            </w:tcBorders>
            <w:tcMar>
              <w:top w:w="0" w:type="dxa"/>
              <w:left w:w="0" w:type="dxa"/>
              <w:bottom w:w="30" w:type="dxa"/>
              <w:right w:w="0" w:type="dxa"/>
            </w:tcMar>
            <w:vAlign w:val="center"/>
          </w:tcPr>
          <w:p>
            <w:pPr>
              <w:pStyle w:val="TableContents"/>
              <w:bidi w:val="0"/>
              <w:spacing w:lineRule="auto" w:line="288" w:before="0" w:after="0"/>
              <w:jc w:val="left"/>
              <w:rPr/>
            </w:pPr>
            <w:hyperlink w:anchor="i9f0a17843f2c4b2fa8d7abf2308f75bb_235">
              <w:r>
                <w:rPr>
                  <w:rStyle w:val="InternetLink"/>
                  <w:rFonts w:ascii="sans-serif" w:hAnsi="sans-serif"/>
                  <w:b/>
                  <w:strike w:val="false"/>
                  <w:dstrike w:val="false"/>
                  <w:color w:val="004054"/>
                  <w:sz w:val="22"/>
                  <w:u w:val="none"/>
                  <w:effect w:val="none"/>
                </w:rPr>
                <w:t>SIGNATURES</w:t>
              </w:r>
            </w:hyperlink>
          </w:p>
        </w:tc>
        <w:tc>
          <w:tcPr>
            <w:tcW w:w="45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0"/>
              <w:jc w:val="left"/>
              <w:rPr/>
            </w:pPr>
            <w:hyperlink w:anchor="i9f0a17843f2c4b2fa8d7abf2308f75bb_235">
              <w:r>
                <w:rPr>
                  <w:rStyle w:val="InternetLink"/>
                  <w:rFonts w:ascii="sans-serif" w:hAnsi="sans-serif"/>
                  <w:b/>
                  <w:strike w:val="false"/>
                  <w:dstrike w:val="false"/>
                  <w:color w:val="004054"/>
                  <w:sz w:val="22"/>
                  <w:u w:val="none"/>
                  <w:effect w:val="none"/>
                </w:rPr>
                <w:t>53</w:t>
              </w:r>
            </w:hyperlink>
          </w:p>
        </w:tc>
      </w:tr>
    </w:tbl>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91540"/>
                <wp:effectExtent l="0" t="0" r="0" b="0"/>
                <wp:wrapNone/>
                <wp:docPr id="3" name="Frame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98" w:type="dxa"/>
                              <w:jc w:val="center"/>
                              <w:tblInd w:w="0" w:type="dxa"/>
                              <w:tblLayout w:type="fixed"/>
                              <w:tblCellMar>
                                <w:top w:w="28" w:type="dxa"/>
                                <w:left w:w="28" w:type="dxa"/>
                                <w:bottom w:w="28" w:type="dxa"/>
                                <w:right w:w="28" w:type="dxa"/>
                              </w:tblCellMar>
                            </w:tblPr>
                            <w:tblGrid>
                              <w:gridCol w:w="962"/>
                              <w:gridCol w:w="843"/>
                              <w:gridCol w:w="850"/>
                              <w:gridCol w:w="423"/>
                              <w:gridCol w:w="423"/>
                              <w:gridCol w:w="42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752475" cy="190500"/>
                                                </a:xfrm>
                                                <a:prstGeom prst="rect">
                                                  <a:avLst/>
                                                </a:prstGeom>
                                              </pic:spPr>
                                            </pic:pic>
                                          </a:graphicData>
                                        </a:graphic>
                                      </wp:inline>
                                    </w:drawing>
                                  </w:r>
                                  <w:bookmarkStart w:id="1" w:name="i-2"/>
                                  <w:bookmarkEnd w:id="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98" w:type="dxa"/>
                        <w:jc w:val="center"/>
                        <w:tblInd w:w="0" w:type="dxa"/>
                        <w:tblLayout w:type="fixed"/>
                        <w:tblCellMar>
                          <w:top w:w="28" w:type="dxa"/>
                          <w:left w:w="28" w:type="dxa"/>
                          <w:bottom w:w="28" w:type="dxa"/>
                          <w:right w:w="28" w:type="dxa"/>
                        </w:tblCellMar>
                      </w:tblPr>
                      <w:tblGrid>
                        <w:gridCol w:w="962"/>
                        <w:gridCol w:w="843"/>
                        <w:gridCol w:w="850"/>
                        <w:gridCol w:w="423"/>
                        <w:gridCol w:w="423"/>
                        <w:gridCol w:w="42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752475" cy="190500"/>
                                          </a:xfrm>
                                          <a:prstGeom prst="rect">
                                            <a:avLst/>
                                          </a:prstGeom>
                                        </pic:spPr>
                                      </pic:pic>
                                    </a:graphicData>
                                  </a:graphic>
                                </wp:inline>
                              </w:drawing>
                            </w:r>
                            <w:bookmarkStart w:id="2" w:name="i-2"/>
                            <w:bookmarkEnd w:id="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73"/>
        <w:gridCol w:w="173"/>
        <w:gridCol w:w="175"/>
        <w:gridCol w:w="2735"/>
        <w:gridCol w:w="2735"/>
        <w:gridCol w:w="38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8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6225" cy="2762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5"/>
                          <a:stretch>
                            <a:fillRect/>
                          </a:stretch>
                        </pic:blipFill>
                        <pic:spPr bwMode="auto">
                          <a:xfrm>
                            <a:off x="0" y="0"/>
                            <a:ext cx="276225" cy="276225"/>
                          </a:xfrm>
                          <a:prstGeom prst="rect">
                            <a:avLst/>
                          </a:prstGeom>
                        </pic:spPr>
                      </pic:pic>
                    </a:graphicData>
                  </a:graphic>
                </wp:inline>
              </w:drawing>
            </w:r>
            <w:bookmarkStart w:id="3" w:name="i-3"/>
            <w:bookmarkEnd w:id="3"/>
          </w:p>
        </w:tc>
        <w:tc>
          <w:tcPr>
            <w:tcW w:w="9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CAUTIONARY STATEMENT REGARDING FORWARD-LOOKING STATEMENTS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trend analyses, statements regarding future events, future financial performance, our anticipated growth, the effect of general economic and market conditions, our business strategy and our plan to build and grow our domestic and international businesses,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Important factors that could cause actual results to differ materially from our expectations expressed in forward-looking statements include, but are not limited to, those summarized elsewhere in this report, in our Annual Report on Form 10-K for the year ended December 31, 2024 and in our other filings made with the United States Securities &amp; Exchange Commission ("SEC").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91540"/>
                <wp:effectExtent l="0" t="0" r="0" b="0"/>
                <wp:wrapNone/>
                <wp:docPr id="7" name="Frame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9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6"/>
                                                <a:stretch>
                                                  <a:fillRect/>
                                                </a:stretch>
                                              </pic:blipFill>
                                              <pic:spPr bwMode="auto">
                                                <a:xfrm>
                                                  <a:off x="0" y="0"/>
                                                  <a:ext cx="752475" cy="190500"/>
                                                </a:xfrm>
                                                <a:prstGeom prst="rect">
                                                  <a:avLst/>
                                                </a:prstGeom>
                                              </pic:spPr>
                                            </pic:pic>
                                          </a:graphicData>
                                        </a:graphic>
                                      </wp:inline>
                                    </w:drawing>
                                  </w:r>
                                  <w:bookmarkStart w:id="4" w:name="i-4"/>
                                  <w:bookmarkEnd w:id="4"/>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9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7"/>
                                          <a:stretch>
                                            <a:fillRect/>
                                          </a:stretch>
                                        </pic:blipFill>
                                        <pic:spPr bwMode="auto">
                                          <a:xfrm>
                                            <a:off x="0" y="0"/>
                                            <a:ext cx="752475" cy="190500"/>
                                          </a:xfrm>
                                          <a:prstGeom prst="rect">
                                            <a:avLst/>
                                          </a:prstGeom>
                                        </pic:spPr>
                                      </pic:pic>
                                    </a:graphicData>
                                  </a:graphic>
                                </wp:inline>
                              </w:drawing>
                            </w:r>
                            <w:bookmarkStart w:id="5" w:name="i-4"/>
                            <w:bookmarkEnd w:id="5"/>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tbl>
      <w:tblPr>
        <w:tblW w:w="9158"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2430"/>
        <w:gridCol w:w="2430"/>
        <w:gridCol w:w="34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8"/>
                          <a:stretch>
                            <a:fillRect/>
                          </a:stretch>
                        </pic:blipFill>
                        <pic:spPr bwMode="auto">
                          <a:xfrm>
                            <a:off x="0" y="0"/>
                            <a:ext cx="276225" cy="276225"/>
                          </a:xfrm>
                          <a:prstGeom prst="rect">
                            <a:avLst/>
                          </a:prstGeom>
                        </pic:spPr>
                      </pic:pic>
                    </a:graphicData>
                  </a:graphic>
                </wp:inline>
              </w:drawing>
            </w:r>
            <w:bookmarkStart w:id="6" w:name="i-5"/>
            <w:bookmarkEnd w:id="6"/>
          </w:p>
        </w:tc>
        <w:tc>
          <w:tcPr>
            <w:tcW w:w="8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PART I. FINANCIAL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87"/>
        <w:gridCol w:w="2138"/>
        <w:gridCol w:w="2144"/>
        <w:gridCol w:w="246"/>
        <w:gridCol w:w="1227"/>
        <w:gridCol w:w="118"/>
        <w:gridCol w:w="246"/>
        <w:gridCol w:w="1227"/>
        <w:gridCol w:w="172"/>
      </w:tblGrid>
      <w:tr>
        <w:trPr/>
        <w:tc>
          <w:tcPr>
            <w:tcW w:w="2687"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20"/>
              </w:rPr>
            </w:pPr>
            <w:r>
              <w:rPr>
                <w:rFonts w:ascii="sans-serif" w:hAnsi="sans-serif"/>
                <w:b/>
                <w:color w:val="51555C"/>
                <w:sz w:val="20"/>
              </w:rPr>
              <w:t>Blackbaud, Inc.</w:t>
              <w:br/>
              <w:t>Condensed Consolidated Balance Sheets</w:t>
              <w:br/>
              <w:t>(Unaudited)</w:t>
            </w:r>
          </w:p>
        </w:tc>
      </w:tr>
      <w:tr>
        <w:trPr/>
        <w:tc>
          <w:tcPr>
            <w:tcW w:w="696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159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September 30,</w:t>
              <w:br/>
              <w:t>2025</w:t>
            </w:r>
          </w:p>
        </w:tc>
        <w:tc>
          <w:tcPr>
            <w:tcW w:w="164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696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Assets</w:t>
            </w:r>
          </w:p>
        </w:tc>
        <w:tc>
          <w:tcPr>
            <w:tcW w:w="159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Current assets:</w:t>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and cash equivalents</w:t>
            </w:r>
          </w:p>
        </w:tc>
        <w:tc>
          <w:tcPr>
            <w:tcW w:w="24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2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38,255 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2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67,628 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cash</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419,185 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741,884 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Accounts receivable, net of allowance of $6,196 and $5,228 at September 30, 2025 and December 31, 2024, respectively</w:t>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82,561 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83,539 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Customer funds receivable</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3,996 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Prepaid expenses and other current assets</w:t>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94,838 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81,572 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current assets</w:t>
            </w:r>
          </w:p>
        </w:tc>
        <w:tc>
          <w:tcPr>
            <w:tcW w:w="147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638,835 </w:t>
            </w:r>
          </w:p>
        </w:tc>
        <w:tc>
          <w:tcPr>
            <w:tcW w:w="11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976,593 </w:t>
            </w:r>
          </w:p>
        </w:tc>
        <w:tc>
          <w:tcPr>
            <w:tcW w:w="1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Property and equipment, net</w:t>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85,332 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91,926 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Operating lease right-of-use assets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4,931 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26,554 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Software development costs, net</w:t>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154,074 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148,319 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Goodwill</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1,056,656 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1,052,506 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Intangible assets, net</w:t>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112,697 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132,881 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assets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51,916 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67,221 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assets</w:t>
            </w:r>
          </w:p>
        </w:tc>
        <w:tc>
          <w:tcPr>
            <w:tcW w:w="2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2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2,104,441 </w:t>
            </w:r>
          </w:p>
        </w:tc>
        <w:tc>
          <w:tcPr>
            <w:tcW w:w="11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2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2,496,000 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Liabilities and stockholders’ equity</w:t>
            </w:r>
          </w:p>
        </w:tc>
        <w:tc>
          <w:tcPr>
            <w:tcW w:w="159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Current liabilities:</w:t>
            </w:r>
          </w:p>
        </w:tc>
        <w:tc>
          <w:tcPr>
            <w:tcW w:w="159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Trade accounts payable</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48,761 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50,810 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Accrued expenses and other current liabilities</w:t>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53,050 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76,484 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Due to customers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421,820 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742,340 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Debt, current portion</w:t>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22,613 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23,875 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 current portion</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383,138 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358,546 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current liabilities</w:t>
            </w:r>
          </w:p>
        </w:tc>
        <w:tc>
          <w:tcPr>
            <w:tcW w:w="147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929,382 </w:t>
            </w:r>
          </w:p>
        </w:tc>
        <w:tc>
          <w:tcPr>
            <w:tcW w:w="11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1,252,055 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Debt, net of current portion</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1,042,005 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1,051,110 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tax liability</w:t>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9,246 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24,999 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 net of current portion</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Operating lease liabilities, net of current portion</w:t>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5,030 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34,186 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liabilities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8,816 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4,796 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liabilities</w:t>
            </w:r>
          </w:p>
        </w:tc>
        <w:tc>
          <w:tcPr>
            <w:tcW w:w="147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1,996,252 </w:t>
            </w:r>
          </w:p>
        </w:tc>
        <w:tc>
          <w:tcPr>
            <w:tcW w:w="11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2,369,161 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Commitments and contingencies (see Note 8)</w:t>
            </w:r>
          </w:p>
        </w:tc>
        <w:tc>
          <w:tcPr>
            <w:tcW w:w="159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Stockholders’ equity:</w:t>
            </w:r>
          </w:p>
        </w:tc>
        <w:tc>
          <w:tcPr>
            <w:tcW w:w="159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Preferred stock; 20,000,000 shares authorized, none outstanding</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Common stock, $0.001 par value; 180,000,000 shares authorized, 72,295,494 and 70,943,373 shares issued at September 30, 2025 and December 31, 2024, respectively; 48,057,972 and 49,245,588 shares outstanding at September 30, 2025 and December 31, 2024, respectively</w:t>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Additional paid-in capital</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1,369,807 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1,291,442 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Treasury stock, at cost; 24,237,522 and 21,697,785 shares at September 30, 2025 and December 31, 2024, respectively</w:t>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(1,231,316)</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(1,060,348)</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Accumulated other comprehensive loss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(9,198)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(4,869)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Accumulated deficit</w:t>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(21,176)</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(99,457)</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stockholders’ equity</w:t>
            </w:r>
          </w:p>
        </w:tc>
        <w:tc>
          <w:tcPr>
            <w:tcW w:w="147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108,189 </w:t>
            </w:r>
          </w:p>
        </w:tc>
        <w:tc>
          <w:tcPr>
            <w:tcW w:w="11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126,839 </w:t>
            </w:r>
          </w:p>
        </w:tc>
        <w:tc>
          <w:tcPr>
            <w:tcW w:w="1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liabilities and stockholders’ equity</w:t>
            </w:r>
          </w:p>
        </w:tc>
        <w:tc>
          <w:tcPr>
            <w:tcW w:w="2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2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2,104,441 </w:t>
            </w:r>
          </w:p>
        </w:tc>
        <w:tc>
          <w:tcPr>
            <w:tcW w:w="11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2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2,496,000 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91540"/>
                <wp:effectExtent l="0" t="0" r="0" b="0"/>
                <wp:wrapNone/>
                <wp:docPr id="11" name="Frame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98" w:type="dxa"/>
                              <w:jc w:val="center"/>
                              <w:tblInd w:w="0" w:type="dxa"/>
                              <w:tblLayout w:type="fixed"/>
                              <w:tblCellMar>
                                <w:top w:w="28" w:type="dxa"/>
                                <w:left w:w="28" w:type="dxa"/>
                                <w:bottom w:w="28" w:type="dxa"/>
                                <w:right w:w="28" w:type="dxa"/>
                              </w:tblCellMar>
                            </w:tblPr>
                            <w:tblGrid>
                              <w:gridCol w:w="962"/>
                              <w:gridCol w:w="843"/>
                              <w:gridCol w:w="850"/>
                              <w:gridCol w:w="423"/>
                              <w:gridCol w:w="423"/>
                              <w:gridCol w:w="42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9"/>
                                                <a:stretch>
                                                  <a:fillRect/>
                                                </a:stretch>
                                              </pic:blipFill>
                                              <pic:spPr bwMode="auto">
                                                <a:xfrm>
                                                  <a:off x="0" y="0"/>
                                                  <a:ext cx="752475" cy="190500"/>
                                                </a:xfrm>
                                                <a:prstGeom prst="rect">
                                                  <a:avLst/>
                                                </a:prstGeom>
                                              </pic:spPr>
                                            </pic:pic>
                                          </a:graphicData>
                                        </a:graphic>
                                      </wp:inline>
                                    </w:drawing>
                                  </w:r>
                                  <w:bookmarkStart w:id="7" w:name="i-6"/>
                                  <w:bookmarkEnd w:id="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98" w:type="dxa"/>
                        <w:jc w:val="center"/>
                        <w:tblInd w:w="0" w:type="dxa"/>
                        <w:tblLayout w:type="fixed"/>
                        <w:tblCellMar>
                          <w:top w:w="28" w:type="dxa"/>
                          <w:left w:w="28" w:type="dxa"/>
                          <w:bottom w:w="28" w:type="dxa"/>
                          <w:right w:w="28" w:type="dxa"/>
                        </w:tblCellMar>
                      </w:tblPr>
                      <w:tblGrid>
                        <w:gridCol w:w="962"/>
                        <w:gridCol w:w="843"/>
                        <w:gridCol w:w="850"/>
                        <w:gridCol w:w="423"/>
                        <w:gridCol w:w="423"/>
                        <w:gridCol w:w="42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10"/>
                                          <a:stretch>
                                            <a:fillRect/>
                                          </a:stretch>
                                        </pic:blipFill>
                                        <pic:spPr bwMode="auto">
                                          <a:xfrm>
                                            <a:off x="0" y="0"/>
                                            <a:ext cx="752475" cy="190500"/>
                                          </a:xfrm>
                                          <a:prstGeom prst="rect">
                                            <a:avLst/>
                                          </a:prstGeom>
                                        </pic:spPr>
                                      </pic:pic>
                                    </a:graphicData>
                                  </a:graphic>
                                </wp:inline>
                              </w:drawing>
                            </w:r>
                            <w:bookmarkStart w:id="8" w:name="i-6"/>
                            <w:bookmarkEnd w:id="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center"/>
        <w:rPr/>
      </w:pPr>
      <w:r>
        <w:rPr/>
      </w:r>
    </w:p>
    <w:p>
      <w:pPr>
        <w:pStyle w:val="TextBody"/>
        <w:bidi w:val="0"/>
        <w:spacing w:before="180" w:after="283"/>
        <w:jc w:val="center"/>
        <w:rPr/>
      </w:pPr>
      <w:r>
        <w:rPr/>
      </w:r>
    </w:p>
    <w:tbl>
      <w:tblPr>
        <w:tblW w:w="10205" w:type="dxa"/>
        <w:jc w:val="left"/>
        <w:tblInd w:w="0" w:type="dxa"/>
        <w:tblLayout w:type="fixed"/>
        <w:tblCellMar>
          <w:top w:w="28" w:type="dxa"/>
          <w:left w:w="28" w:type="dxa"/>
          <w:bottom w:w="28" w:type="dxa"/>
          <w:right w:w="28" w:type="dxa"/>
        </w:tblCellMar>
      </w:tblPr>
      <w:tblGrid>
        <w:gridCol w:w="1527"/>
        <w:gridCol w:w="1152"/>
        <w:gridCol w:w="1155"/>
        <w:gridCol w:w="278"/>
        <w:gridCol w:w="1084"/>
        <w:gridCol w:w="123"/>
        <w:gridCol w:w="278"/>
        <w:gridCol w:w="1084"/>
        <w:gridCol w:w="123"/>
        <w:gridCol w:w="123"/>
        <w:gridCol w:w="123"/>
        <w:gridCol w:w="123"/>
        <w:gridCol w:w="278"/>
        <w:gridCol w:w="1084"/>
        <w:gridCol w:w="123"/>
        <w:gridCol w:w="278"/>
        <w:gridCol w:w="1084"/>
        <w:gridCol w:w="185"/>
      </w:tblGrid>
      <w:tr>
        <w:trPr/>
        <w:tc>
          <w:tcPr>
            <w:tcW w:w="152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bottom w:val="single" w:sz="8" w:space="0" w:color="004054"/>
            </w:tcBorders>
            <w:tcMar>
              <w:top w:w="0" w:type="dxa"/>
              <w:left w:w="0" w:type="dxa"/>
              <w:bottom w:w="30" w:type="dxa"/>
              <w:right w:w="0" w:type="dxa"/>
            </w:tcMar>
            <w:vAlign w:val="center"/>
          </w:tcPr>
          <w:p>
            <w:pPr>
              <w:pStyle w:val="TableContents"/>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ableContents"/>
              <w:bidi w:val="0"/>
              <w:spacing w:lineRule="auto" w:line="288" w:before="0" w:after="0"/>
              <w:jc w:val="center"/>
              <w:rPr>
                <w:rFonts w:ascii="sans-serif" w:hAnsi="sans-serif"/>
                <w:b/>
                <w:color w:val="51555C"/>
                <w:sz w:val="20"/>
              </w:rPr>
            </w:pPr>
            <w:r>
              <w:rPr>
                <w:rFonts w:ascii="sans-serif" w:hAnsi="sans-serif"/>
                <w:b/>
                <w:color w:val="51555C"/>
                <w:sz w:val="20"/>
              </w:rPr>
              <w:t>Condensed Consolidated Statements of Comprehensive Income</w:t>
            </w:r>
          </w:p>
          <w:p>
            <w:pPr>
              <w:pStyle w:val="TableContents"/>
              <w:bidi w:val="0"/>
              <w:spacing w:lineRule="auto" w:line="288" w:before="0" w:after="0"/>
              <w:jc w:val="center"/>
              <w:rPr>
                <w:rFonts w:ascii="sans-serif" w:hAnsi="sans-serif"/>
                <w:b/>
                <w:color w:val="51555C"/>
                <w:sz w:val="20"/>
              </w:rPr>
            </w:pPr>
            <w:r>
              <w:rPr>
                <w:rFonts w:ascii="sans-serif" w:hAnsi="sans-serif"/>
                <w:b/>
                <w:color w:val="51555C"/>
                <w:sz w:val="20"/>
              </w:rPr>
              <w:t>(Unaudited)</w:t>
            </w:r>
          </w:p>
        </w:tc>
      </w:tr>
      <w:tr>
        <w:trPr/>
        <w:tc>
          <w:tcPr>
            <w:tcW w:w="3834"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2970"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Three months ended</w:t>
              <w:br/>
              <w:t>September 30,</w:t>
            </w:r>
          </w:p>
        </w:tc>
        <w:tc>
          <w:tcPr>
            <w:tcW w:w="369"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Nine months ended</w:t>
              <w:br/>
              <w:t>September 30,</w:t>
            </w:r>
          </w:p>
        </w:tc>
      </w:tr>
      <w:tr>
        <w:trPr/>
        <w:tc>
          <w:tcPr>
            <w:tcW w:w="3834"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48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48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369"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547"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r>
      <w:tr>
        <w:trPr/>
        <w:tc>
          <w:tcPr>
            <w:tcW w:w="383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Revenue</w:t>
            </w:r>
          </w:p>
        </w:tc>
        <w:tc>
          <w:tcPr>
            <w:tcW w:w="2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281,143 </w:t>
            </w:r>
          </w:p>
        </w:tc>
        <w:tc>
          <w:tcPr>
            <w:tcW w:w="12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286,598 </w:t>
            </w:r>
          </w:p>
        </w:tc>
        <w:tc>
          <w:tcPr>
            <w:tcW w:w="12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833,109 </w:t>
            </w:r>
          </w:p>
        </w:tc>
        <w:tc>
          <w:tcPr>
            <w:tcW w:w="12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852,511 </w:t>
            </w:r>
          </w:p>
        </w:tc>
        <w:tc>
          <w:tcPr>
            <w:tcW w:w="18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Cost of revenue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113,653 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129,290 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342,101 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383,615 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Gross profit</w:t>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167,490 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157,308 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491,008 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468,896 </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Operating expenses</w:t>
            </w:r>
          </w:p>
        </w:tc>
        <w:tc>
          <w:tcPr>
            <w:tcW w:w="148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Sales, marketing and customer success</w:t>
            </w:r>
          </w:p>
        </w:tc>
        <w:tc>
          <w:tcPr>
            <w:tcW w:w="13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44,105 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49,808 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132,795 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147,400 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Research and development</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37,198 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37,916 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104,352 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116,045 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General and administrative</w:t>
            </w:r>
          </w:p>
        </w:tc>
        <w:tc>
          <w:tcPr>
            <w:tcW w:w="13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31,044 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27,519 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120,579 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106,842 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Amortization of intangible assets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r>
      <w:tr>
        <w:trPr/>
        <w:tc>
          <w:tcPr>
            <w:tcW w:w="3834"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operating expenses</w:t>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112,917 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116,161 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359,396 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373,011 </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Income from operations</w:t>
            </w:r>
          </w:p>
        </w:tc>
        <w:tc>
          <w:tcPr>
            <w:tcW w:w="136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54,573 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41,147 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131,612 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95,885 </w:t>
            </w:r>
          </w:p>
        </w:tc>
        <w:tc>
          <w:tcPr>
            <w:tcW w:w="18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Interest expense</w:t>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(16,774)</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(14,140)</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(52,130)</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(40,131)</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income, net</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6,468 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9,654 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Income before (benefit) provision for income taxes</w:t>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41,044 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30,004 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85,950 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65,408 </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Income tax (benefit) provision</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(6,448)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11,714 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7,669 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18,568 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income</w:t>
            </w:r>
          </w:p>
        </w:tc>
        <w:tc>
          <w:tcPr>
            <w:tcW w:w="27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47,492 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18,290 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78,281 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46,840 </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Earnings per share</w:t>
            </w:r>
          </w:p>
        </w:tc>
        <w:tc>
          <w:tcPr>
            <w:tcW w:w="148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Basic</w:t>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1.00 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0.36 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1.63 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0.92 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Diluted</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Common shares and equivalents outstanding</w:t>
            </w:r>
          </w:p>
        </w:tc>
        <w:tc>
          <w:tcPr>
            <w:tcW w:w="148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Basic weighted average shares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47,680,002 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50,409,292 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47,961,631 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51,067,255 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Diluted weighted average shares</w:t>
            </w:r>
          </w:p>
        </w:tc>
        <w:tc>
          <w:tcPr>
            <w:tcW w:w="13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48,498,285 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51,632,569 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48,634,027 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52,107,147 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Other comprehensive loss</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Foreign currency translation adjustment</w:t>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(2,284)</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6,463 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8,299 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5,617 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Unrealized loss on derivative instruments, net of tax</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(622)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(13,525)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(12,628)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(10,816)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other comprehensive loss</w:t>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(2,906)</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(7,062)</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(4,329)</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(5,199)</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Comprehensive income</w:t>
            </w:r>
          </w:p>
        </w:tc>
        <w:tc>
          <w:tcPr>
            <w:tcW w:w="27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44,586 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11,228 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73,952 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41,641 </w:t>
            </w:r>
          </w:p>
        </w:tc>
        <w:tc>
          <w:tcPr>
            <w:tcW w:w="18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91540"/>
                <wp:effectExtent l="0" t="0" r="0" b="0"/>
                <wp:wrapNone/>
                <wp:docPr id="14" name="Frame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9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11"/>
                                                <a:stretch>
                                                  <a:fillRect/>
                                                </a:stretch>
                                              </pic:blipFill>
                                              <pic:spPr bwMode="auto">
                                                <a:xfrm>
                                                  <a:off x="0" y="0"/>
                                                  <a:ext cx="752475" cy="190500"/>
                                                </a:xfrm>
                                                <a:prstGeom prst="rect">
                                                  <a:avLst/>
                                                </a:prstGeom>
                                              </pic:spPr>
                                            </pic:pic>
                                          </a:graphicData>
                                        </a:graphic>
                                      </wp:inline>
                                    </w:drawing>
                                  </w:r>
                                  <w:bookmarkStart w:id="9" w:name="i-7"/>
                                  <w:bookmarkEnd w:id="9"/>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9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12"/>
                                          <a:stretch>
                                            <a:fillRect/>
                                          </a:stretch>
                                        </pic:blipFill>
                                        <pic:spPr bwMode="auto">
                                          <a:xfrm>
                                            <a:off x="0" y="0"/>
                                            <a:ext cx="752475" cy="190500"/>
                                          </a:xfrm>
                                          <a:prstGeom prst="rect">
                                            <a:avLst/>
                                          </a:prstGeom>
                                        </pic:spPr>
                                      </pic:pic>
                                    </a:graphicData>
                                  </a:graphic>
                                </wp:inline>
                              </w:drawing>
                            </w:r>
                            <w:bookmarkStart w:id="10" w:name="i-7"/>
                            <w:bookmarkEnd w:id="10"/>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tbl>
      <w:tblPr>
        <w:tblW w:w="10205" w:type="dxa"/>
        <w:jc w:val="left"/>
        <w:tblInd w:w="0" w:type="dxa"/>
        <w:tblLayout w:type="fixed"/>
        <w:tblCellMar>
          <w:top w:w="28" w:type="dxa"/>
          <w:left w:w="28" w:type="dxa"/>
          <w:bottom w:w="28" w:type="dxa"/>
          <w:right w:w="28" w:type="dxa"/>
        </w:tblCellMar>
      </w:tblPr>
      <w:tblGrid>
        <w:gridCol w:w="2188"/>
        <w:gridCol w:w="1843"/>
        <w:gridCol w:w="1848"/>
        <w:gridCol w:w="374"/>
        <w:gridCol w:w="1569"/>
        <w:gridCol w:w="180"/>
        <w:gridCol w:w="374"/>
        <w:gridCol w:w="1569"/>
        <w:gridCol w:w="260"/>
      </w:tblGrid>
      <w:tr>
        <w:trPr/>
        <w:tc>
          <w:tcPr>
            <w:tcW w:w="218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4054"/>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51555C"/>
                <w:sz w:val="20"/>
              </w:rPr>
            </w:pPr>
            <w:r>
              <w:rPr>
                <w:rFonts w:ascii="sans-serif" w:hAnsi="sans-serif"/>
                <w:b/>
                <w:color w:val="51555C"/>
                <w:sz w:val="20"/>
              </w:rPr>
              <w:t>Blackbaud, Inc.</w:t>
              <w:br/>
              <w:t>Condensed Consolidated Statements of Cash Flows</w:t>
              <w:br/>
              <w:t>(Unaudited)</w:t>
            </w:r>
          </w:p>
        </w:tc>
      </w:tr>
      <w:tr>
        <w:trPr/>
        <w:tc>
          <w:tcPr>
            <w:tcW w:w="5879"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4326"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Nine months ended</w:t>
              <w:br/>
              <w:t>September 30,</w:t>
            </w:r>
          </w:p>
        </w:tc>
      </w:tr>
      <w:tr>
        <w:trPr/>
        <w:tc>
          <w:tcPr>
            <w:tcW w:w="5879"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212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220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r>
      <w:tr>
        <w:trPr/>
        <w:tc>
          <w:tcPr>
            <w:tcW w:w="587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operating activities</w:t>
            </w:r>
          </w:p>
        </w:tc>
        <w:tc>
          <w:tcPr>
            <w:tcW w:w="212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78,281 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46,840 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Adjustments to reconcile net income to net cash provided by operating activities:</w:t>
            </w:r>
          </w:p>
        </w:tc>
        <w:tc>
          <w:tcPr>
            <w:tcW w:w="21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Depreciation and amortization</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64,652 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91,618 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Provision for credit losses and sales returns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3,788 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1,721 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 expense</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71,079 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76,430 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taxes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(16,682)</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(21,776)</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Amortization of deferred financing costs and discount</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1,786 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Loss on disposition of businesses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1,561 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non-cash adjustments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2,462 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Changes in operating assets and liabilities, net of acquisition and disposal of businesses:</w:t>
            </w:r>
          </w:p>
        </w:tc>
        <w:tc>
          <w:tcPr>
            <w:tcW w:w="21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Accounts receivable</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(2,422)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918 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Prepaid expenses and other assets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(9,707)</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(934)</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Trade accounts payable</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(3,233)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18,322 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Accrued expenses and other liabilities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2,033 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(16,089)</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22,991 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19,527 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provided by operating activities</w:t>
            </w:r>
          </w:p>
        </w:tc>
        <w:tc>
          <w:tcPr>
            <w:tcW w:w="194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207,540 </w:t>
            </w:r>
          </w:p>
        </w:tc>
        <w:tc>
          <w:tcPr>
            <w:tcW w:w="18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222,386 </w:t>
            </w:r>
          </w:p>
        </w:tc>
        <w:tc>
          <w:tcPr>
            <w:tcW w:w="26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investing activities</w:t>
            </w:r>
          </w:p>
        </w:tc>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property and equipment</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(4,805)</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(7,235)</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Capitalized software development costs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(40,268)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(42,882)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used in disposition of business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(12,235)</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(1,179)</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investing activities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(5,029)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used in investing activities</w:t>
            </w:r>
          </w:p>
        </w:tc>
        <w:tc>
          <w:tcPr>
            <w:tcW w:w="1943" w:type="dxa"/>
            <w:gridSpan w:val="2"/>
            <w:tcBorders>
              <w:top w:val="single" w:sz="8" w:space="0" w:color="000000"/>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(57,308)</w:t>
            </w:r>
          </w:p>
        </w:tc>
        <w:tc>
          <w:tcPr>
            <w:tcW w:w="180" w:type="dxa"/>
            <w:tcBorders>
              <w:top w:val="single" w:sz="8" w:space="0" w:color="00000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000000"/>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(56,325)</w:t>
            </w:r>
          </w:p>
        </w:tc>
        <w:tc>
          <w:tcPr>
            <w:tcW w:w="260" w:type="dxa"/>
            <w:tcBorders>
              <w:top w:val="single" w:sz="8" w:space="0" w:color="00000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financing activities</w:t>
            </w:r>
          </w:p>
        </w:tc>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Proceeds from issuance of debt</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307,000 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1,303,400 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Payments on debt</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(316,922)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(1,080,192)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Debt issuance costs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(6,458)</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Employee taxes paid for withheld shares upon equity award settlement</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(39,669)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(55,950)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 in due to customers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(323,467)</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(263,732)</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 in customer funds receivable</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(1,676)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(6,777)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stock, including excise tax payments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(133,338)</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(325,408)</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used in financing activities</w:t>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(508,072)</w:t>
            </w:r>
          </w:p>
        </w:tc>
        <w:tc>
          <w:tcPr>
            <w:tcW w:w="18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(435,117)</w:t>
            </w:r>
          </w:p>
        </w:tc>
        <w:tc>
          <w:tcPr>
            <w:tcW w:w="26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Effect of exchange rate on cash, cash equivalents and restricted cash</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5,768 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3,527 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decrease in cash, cash equivalents and restricted cash</w:t>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(352,072)</w:t>
            </w:r>
          </w:p>
        </w:tc>
        <w:tc>
          <w:tcPr>
            <w:tcW w:w="18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(265,529)</w:t>
            </w:r>
          </w:p>
        </w:tc>
        <w:tc>
          <w:tcPr>
            <w:tcW w:w="26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cash equivalents and restricted cash, beginning of period</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809,512 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728,257 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cash equivalents and restricted cash, end of period</w:t>
            </w:r>
          </w:p>
        </w:tc>
        <w:tc>
          <w:tcPr>
            <w:tcW w:w="37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457,440 </w:t>
            </w:r>
          </w:p>
        </w:tc>
        <w:tc>
          <w:tcPr>
            <w:tcW w:w="18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462,728 </w:t>
            </w:r>
          </w:p>
        </w:tc>
        <w:tc>
          <w:tcPr>
            <w:tcW w:w="26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tbl>
      <w:tblPr>
        <w:tblW w:w="10169" w:type="dxa"/>
        <w:jc w:val="left"/>
        <w:tblInd w:w="0" w:type="dxa"/>
        <w:tblLayout w:type="fixed"/>
        <w:tblCellMar>
          <w:top w:w="28" w:type="dxa"/>
          <w:left w:w="28" w:type="dxa"/>
          <w:bottom w:w="28" w:type="dxa"/>
          <w:right w:w="28" w:type="dxa"/>
        </w:tblCellMar>
      </w:tblPr>
      <w:tblGrid>
        <w:gridCol w:w="2640"/>
        <w:gridCol w:w="2321"/>
        <w:gridCol w:w="2329"/>
        <w:gridCol w:w="256"/>
        <w:gridCol w:w="1075"/>
        <w:gridCol w:w="123"/>
        <w:gridCol w:w="243"/>
        <w:gridCol w:w="1017"/>
        <w:gridCol w:w="165"/>
      </w:tblGrid>
      <w:tr>
        <w:trPr/>
        <w:tc>
          <w:tcPr>
            <w:tcW w:w="2640"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4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September 30,</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729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and cash equivalents</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38,255 </w:t>
            </w:r>
          </w:p>
        </w:tc>
        <w:tc>
          <w:tcPr>
            <w:tcW w:w="12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67,628 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cash</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419,185 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741,884 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cash, cash equivalents and restricted cash in the statement of cash flows</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7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457,440 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809,512 </w:t>
            </w:r>
          </w:p>
        </w:tc>
        <w:tc>
          <w:tcPr>
            <w:tcW w:w="16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91540"/>
                <wp:effectExtent l="0" t="0" r="0" b="0"/>
                <wp:wrapNone/>
                <wp:docPr id="17" name="Frame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98" w:type="dxa"/>
                              <w:jc w:val="center"/>
                              <w:tblInd w:w="0" w:type="dxa"/>
                              <w:tblLayout w:type="fixed"/>
                              <w:tblCellMar>
                                <w:top w:w="28" w:type="dxa"/>
                                <w:left w:w="28" w:type="dxa"/>
                                <w:bottom w:w="28" w:type="dxa"/>
                                <w:right w:w="28" w:type="dxa"/>
                              </w:tblCellMar>
                            </w:tblPr>
                            <w:tblGrid>
                              <w:gridCol w:w="962"/>
                              <w:gridCol w:w="843"/>
                              <w:gridCol w:w="850"/>
                              <w:gridCol w:w="423"/>
                              <w:gridCol w:w="423"/>
                              <w:gridCol w:w="42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3"/>
                                                <a:stretch>
                                                  <a:fillRect/>
                                                </a:stretch>
                                              </pic:blipFill>
                                              <pic:spPr bwMode="auto">
                                                <a:xfrm>
                                                  <a:off x="0" y="0"/>
                                                  <a:ext cx="752475" cy="190500"/>
                                                </a:xfrm>
                                                <a:prstGeom prst="rect">
                                                  <a:avLst/>
                                                </a:prstGeom>
                                              </pic:spPr>
                                            </pic:pic>
                                          </a:graphicData>
                                        </a:graphic>
                                      </wp:inline>
                                    </w:drawing>
                                  </w:r>
                                  <w:bookmarkStart w:id="11" w:name="i-8"/>
                                  <w:bookmarkEnd w:id="1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98" w:type="dxa"/>
                        <w:jc w:val="center"/>
                        <w:tblInd w:w="0" w:type="dxa"/>
                        <w:tblLayout w:type="fixed"/>
                        <w:tblCellMar>
                          <w:top w:w="28" w:type="dxa"/>
                          <w:left w:w="28" w:type="dxa"/>
                          <w:bottom w:w="28" w:type="dxa"/>
                          <w:right w:w="28" w:type="dxa"/>
                        </w:tblCellMar>
                      </w:tblPr>
                      <w:tblGrid>
                        <w:gridCol w:w="962"/>
                        <w:gridCol w:w="843"/>
                        <w:gridCol w:w="850"/>
                        <w:gridCol w:w="423"/>
                        <w:gridCol w:w="423"/>
                        <w:gridCol w:w="42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14"/>
                                          <a:stretch>
                                            <a:fillRect/>
                                          </a:stretch>
                                        </pic:blipFill>
                                        <pic:spPr bwMode="auto">
                                          <a:xfrm>
                                            <a:off x="0" y="0"/>
                                            <a:ext cx="752475" cy="190500"/>
                                          </a:xfrm>
                                          <a:prstGeom prst="rect">
                                            <a:avLst/>
                                          </a:prstGeom>
                                        </pic:spPr>
                                      </pic:pic>
                                    </a:graphicData>
                                  </a:graphic>
                                </wp:inline>
                              </w:drawing>
                            </w:r>
                            <w:bookmarkStart w:id="12" w:name="i-8"/>
                            <w:bookmarkEnd w:id="1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Condensed Consolidated Statements of Stockholders' Equity</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13180" w:type="dxa"/>
        <w:jc w:val="left"/>
        <w:tblInd w:w="0" w:type="dxa"/>
        <w:tblLayout w:type="fixed"/>
        <w:tblCellMar>
          <w:top w:w="28" w:type="dxa"/>
          <w:left w:w="28" w:type="dxa"/>
          <w:bottom w:w="28" w:type="dxa"/>
          <w:right w:w="28" w:type="dxa"/>
        </w:tblCellMar>
      </w:tblPr>
      <w:tblGrid>
        <w:gridCol w:w="639"/>
        <w:gridCol w:w="430"/>
        <w:gridCol w:w="432"/>
        <w:gridCol w:w="623"/>
        <w:gridCol w:w="623"/>
        <w:gridCol w:w="246"/>
        <w:gridCol w:w="314"/>
        <w:gridCol w:w="418"/>
        <w:gridCol w:w="109"/>
        <w:gridCol w:w="109"/>
        <w:gridCol w:w="109"/>
        <w:gridCol w:w="109"/>
        <w:gridCol w:w="630"/>
        <w:gridCol w:w="631"/>
        <w:gridCol w:w="246"/>
        <w:gridCol w:w="226"/>
        <w:gridCol w:w="1141"/>
        <w:gridCol w:w="109"/>
        <w:gridCol w:w="109"/>
        <w:gridCol w:w="109"/>
        <w:gridCol w:w="109"/>
        <w:gridCol w:w="226"/>
        <w:gridCol w:w="1126"/>
        <w:gridCol w:w="109"/>
        <w:gridCol w:w="324"/>
        <w:gridCol w:w="1035"/>
        <w:gridCol w:w="157"/>
        <w:gridCol w:w="253"/>
        <w:gridCol w:w="944"/>
        <w:gridCol w:w="124"/>
        <w:gridCol w:w="240"/>
        <w:gridCol w:w="1006"/>
        <w:gridCol w:w="165"/>
      </w:tblGrid>
      <w:tr>
        <w:trPr/>
        <w:tc>
          <w:tcPr>
            <w:tcW w:w="6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233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Common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Treasury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Additional</w:t>
              <w:br/>
              <w:t>paid-in</w:t>
              <w:br/>
              <w:t>capital</w:t>
            </w:r>
          </w:p>
        </w:tc>
        <w:tc>
          <w:tcPr>
            <w:tcW w:w="151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Accumulated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other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comprehensive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w:t>
            </w:r>
          </w:p>
        </w:tc>
        <w:tc>
          <w:tcPr>
            <w:tcW w:w="132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Accumulated deficit</w:t>
            </w:r>
          </w:p>
        </w:tc>
        <w:tc>
          <w:tcPr>
            <w:tcW w:w="141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 stockholders' equity</w:t>
            </w:r>
          </w:p>
        </w:tc>
      </w:tr>
      <w:tr>
        <w:trPr/>
        <w:tc>
          <w:tcPr>
            <w:tcW w:w="1501"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49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8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147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51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32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41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r>
      <w:tr>
        <w:trPr/>
        <w:tc>
          <w:tcPr>
            <w:tcW w:w="150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December 31, 2024</w:t>
            </w:r>
          </w:p>
        </w:tc>
        <w:tc>
          <w:tcPr>
            <w:tcW w:w="124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70,943,373 </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(21,697,785)</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(1,060,348)</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1,291,442 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(4,869)</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(99,457)</w:t>
            </w:r>
          </w:p>
        </w:tc>
        <w:tc>
          <w:tcPr>
            <w:tcW w:w="12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126,839 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(1,513,022)</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(100,425)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(100,425)</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1,023,958 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(532,179)</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(37,948)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(37,948)</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28,120 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299,136 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(8,166)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loss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(3,433)</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(3,433)</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March 31, 2025</w:t>
            </w:r>
          </w:p>
        </w:tc>
        <w:tc>
          <w:tcPr>
            <w:tcW w:w="12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72,258,301 </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(23,742,986)</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(1,198,721)</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1,319,562 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(8,302)</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(95,134)</w:t>
            </w:r>
          </w:p>
        </w:tc>
        <w:tc>
          <w:tcPr>
            <w:tcW w:w="12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17,477 </w:t>
            </w:r>
          </w:p>
        </w:tc>
        <w:tc>
          <w:tcPr>
            <w:tcW w:w="16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26,466 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26,466 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4,951 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(13,939)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(868)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27,672 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27,672 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23,307 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(22,991)</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June 30, 2025</w:t>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72,263,568 </w:t>
            </w:r>
          </w:p>
        </w:tc>
        <w:tc>
          <w:tcPr>
            <w:tcW w:w="24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(23,756,925)</w:t>
            </w:r>
          </w:p>
        </w:tc>
        <w:tc>
          <w:tcPr>
            <w:tcW w:w="24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(1,199,608)</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1,347,234 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(6,292)</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(68,668)</w:t>
            </w:r>
          </w:p>
        </w:tc>
        <w:tc>
          <w:tcPr>
            <w:tcW w:w="12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72,738 </w:t>
            </w:r>
          </w:p>
        </w:tc>
        <w:tc>
          <w:tcPr>
            <w:tcW w:w="16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47,492 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47,492 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(459,528)</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(30,376)</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(30,376)</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14,234 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(21,069)</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(1,332)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(1,332)</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22,573 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35,790 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(18,098)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loss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(2,906)</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(2,906)</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September 30, 2025</w:t>
            </w:r>
          </w:p>
        </w:tc>
        <w:tc>
          <w:tcPr>
            <w:tcW w:w="12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72,295,494 </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(24,237,522)</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(1,231,316)</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1,369,807 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(9,198)</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(21,176)</w:t>
            </w:r>
          </w:p>
        </w:tc>
        <w:tc>
          <w:tcPr>
            <w:tcW w:w="12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108,189 </w:t>
            </w:r>
          </w:p>
        </w:tc>
        <w:tc>
          <w:tcPr>
            <w:tcW w:w="16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91540"/>
                <wp:effectExtent l="0" t="0" r="0" b="0"/>
                <wp:wrapNone/>
                <wp:docPr id="20" name="Frame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5"/>
                                                <a:stretch>
                                                  <a:fillRect/>
                                                </a:stretch>
                                              </pic:blipFill>
                                              <pic:spPr bwMode="auto">
                                                <a:xfrm>
                                                  <a:off x="0" y="0"/>
                                                  <a:ext cx="723900" cy="190500"/>
                                                </a:xfrm>
                                                <a:prstGeom prst="rect">
                                                  <a:avLst/>
                                                </a:prstGeom>
                                              </pic:spPr>
                                            </pic:pic>
                                          </a:graphicData>
                                        </a:graphic>
                                      </wp:inline>
                                    </w:drawing>
                                  </w:r>
                                  <w:bookmarkStart w:id="13" w:name="i-9"/>
                                  <w:bookmarkEnd w:id="13"/>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6"/>
                                          <a:stretch>
                                            <a:fillRect/>
                                          </a:stretch>
                                        </pic:blipFill>
                                        <pic:spPr bwMode="auto">
                                          <a:xfrm>
                                            <a:off x="0" y="0"/>
                                            <a:ext cx="723900" cy="190500"/>
                                          </a:xfrm>
                                          <a:prstGeom prst="rect">
                                            <a:avLst/>
                                          </a:prstGeom>
                                        </pic:spPr>
                                      </pic:pic>
                                    </a:graphicData>
                                  </a:graphic>
                                </wp:inline>
                              </w:drawing>
                            </w:r>
                            <w:bookmarkStart w:id="14" w:name="i-9"/>
                            <w:bookmarkEnd w:id="14"/>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Condensed Consolidated Statements of Stockholders' Equity (continued)</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13049" w:type="dxa"/>
        <w:jc w:val="left"/>
        <w:tblInd w:w="0" w:type="dxa"/>
        <w:tblLayout w:type="fixed"/>
        <w:tblCellMar>
          <w:top w:w="28" w:type="dxa"/>
          <w:left w:w="28" w:type="dxa"/>
          <w:bottom w:w="28" w:type="dxa"/>
          <w:right w:w="28" w:type="dxa"/>
        </w:tblCellMar>
      </w:tblPr>
      <w:tblGrid>
        <w:gridCol w:w="639"/>
        <w:gridCol w:w="430"/>
        <w:gridCol w:w="432"/>
        <w:gridCol w:w="623"/>
        <w:gridCol w:w="623"/>
        <w:gridCol w:w="246"/>
        <w:gridCol w:w="314"/>
        <w:gridCol w:w="418"/>
        <w:gridCol w:w="109"/>
        <w:gridCol w:w="109"/>
        <w:gridCol w:w="109"/>
        <w:gridCol w:w="109"/>
        <w:gridCol w:w="226"/>
        <w:gridCol w:w="1261"/>
        <w:gridCol w:w="109"/>
        <w:gridCol w:w="226"/>
        <w:gridCol w:w="961"/>
        <w:gridCol w:w="109"/>
        <w:gridCol w:w="109"/>
        <w:gridCol w:w="109"/>
        <w:gridCol w:w="109"/>
        <w:gridCol w:w="226"/>
        <w:gridCol w:w="1126"/>
        <w:gridCol w:w="109"/>
        <w:gridCol w:w="324"/>
        <w:gridCol w:w="1035"/>
        <w:gridCol w:w="157"/>
        <w:gridCol w:w="226"/>
        <w:gridCol w:w="946"/>
        <w:gridCol w:w="109"/>
        <w:gridCol w:w="240"/>
        <w:gridCol w:w="1006"/>
        <w:gridCol w:w="165"/>
      </w:tblGrid>
      <w:tr>
        <w:trPr/>
        <w:tc>
          <w:tcPr>
            <w:tcW w:w="6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233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Common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Treasury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Additional</w:t>
              <w:br/>
              <w:t>paid-in</w:t>
              <w:br/>
              <w:t>capital</w:t>
            </w:r>
          </w:p>
        </w:tc>
        <w:tc>
          <w:tcPr>
            <w:tcW w:w="151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Accumulated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other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comprehensive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w:t>
            </w:r>
          </w:p>
        </w:tc>
        <w:tc>
          <w:tcPr>
            <w:tcW w:w="128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Retained earnings</w:t>
            </w:r>
          </w:p>
        </w:tc>
        <w:tc>
          <w:tcPr>
            <w:tcW w:w="141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br/>
              <w:t>stockholders'</w:t>
              <w:br/>
              <w:t>equity</w:t>
            </w:r>
          </w:p>
        </w:tc>
      </w:tr>
      <w:tr>
        <w:trPr/>
        <w:tc>
          <w:tcPr>
            <w:tcW w:w="1501"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49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8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129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51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28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41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r>
      <w:tr>
        <w:trPr/>
        <w:tc>
          <w:tcPr>
            <w:tcW w:w="150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December 31, 2023</w:t>
            </w:r>
          </w:p>
        </w:tc>
        <w:tc>
          <w:tcPr>
            <w:tcW w:w="124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69,188,304 </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(15,562,864)</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6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(591,557)</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1,203,012 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(1,688)</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200,067 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809,903 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7,306 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(2,954,211)</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(211,412)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(52,244)</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(263,656)</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1,357,125 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(720,189)</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(52,723)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(52,723)</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30,286 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335,237 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(19,159)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income</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2,910 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2,910 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March 31, 2024</w:t>
            </w:r>
          </w:p>
        </w:tc>
        <w:tc>
          <w:tcPr>
            <w:tcW w:w="12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70,861,507 </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(19,237,264)</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6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(855,692)</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1,181,054 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1,222 </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207,373 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534,028 </w:t>
            </w:r>
          </w:p>
        </w:tc>
        <w:tc>
          <w:tcPr>
            <w:tcW w:w="16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21,244 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21,244 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10,719 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(22,273)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(1,760)</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(1,760)</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25,019 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21,164 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(9,902)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loss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(1,047)</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(1,047)</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June 30, 2024</w:t>
            </w:r>
          </w:p>
        </w:tc>
        <w:tc>
          <w:tcPr>
            <w:tcW w:w="12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70,883,488 </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(19,259,537)</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6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(857,452)</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1,206,073 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175 </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228,617 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577,484 </w:t>
            </w:r>
          </w:p>
        </w:tc>
        <w:tc>
          <w:tcPr>
            <w:tcW w:w="16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18,290 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18,290 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(807,774)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(63,597)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(63,597)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20,659 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(1,467)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21,125 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21,125 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62,998 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(11,205)</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loss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(7,062)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September 30, 2024</w:t>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70,955,940 </w:t>
            </w:r>
          </w:p>
        </w:tc>
        <w:tc>
          <w:tcPr>
            <w:tcW w:w="24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6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(20,086,722)</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6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(922,516)</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1,227,198 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(6,887)</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246,907 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544,773 </w:t>
            </w:r>
          </w:p>
        </w:tc>
        <w:tc>
          <w:tcPr>
            <w:tcW w:w="16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54" w:type="dxa"/>
        <w:jc w:val="left"/>
        <w:tblInd w:w="0" w:type="dxa"/>
        <w:tblLayout w:type="fixed"/>
        <w:tblCellMar>
          <w:top w:w="28" w:type="dxa"/>
          <w:left w:w="28" w:type="dxa"/>
          <w:bottom w:w="28" w:type="dxa"/>
          <w:right w:w="28" w:type="dxa"/>
        </w:tblCellMar>
      </w:tblPr>
      <w:tblGrid>
        <w:gridCol w:w="2959"/>
        <w:gridCol w:w="2602"/>
        <w:gridCol w:w="3693"/>
      </w:tblGrid>
      <w:tr>
        <w:trPr/>
        <w:tc>
          <w:tcPr>
            <w:tcW w:w="295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693" w:type="dxa"/>
            <w:tcBorders/>
            <w:vAlign w:val="center"/>
          </w:tcPr>
          <w:p>
            <w:pPr>
              <w:pStyle w:val="TableContents"/>
              <w:bidi w:val="0"/>
              <w:spacing w:before="0" w:after="283"/>
              <w:jc w:val="left"/>
              <w:rPr>
                <w:sz w:val="4"/>
                <w:szCs w:val="4"/>
              </w:rPr>
            </w:pPr>
            <w:r>
              <w:rPr>
                <w:sz w:val="4"/>
                <w:szCs w:val="4"/>
              </w:rPr>
            </w:r>
          </w:p>
        </w:tc>
      </w:tr>
      <w:tr>
        <w:trPr/>
        <w:tc>
          <w:tcPr>
            <w:tcW w:w="9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91540"/>
                <wp:effectExtent l="0" t="0" r="0" b="0"/>
                <wp:wrapNone/>
                <wp:docPr id="23" name="Frame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7"/>
                                                <a:stretch>
                                                  <a:fillRect/>
                                                </a:stretch>
                                              </pic:blipFill>
                                              <pic:spPr bwMode="auto">
                                                <a:xfrm>
                                                  <a:off x="0" y="0"/>
                                                  <a:ext cx="733425" cy="190500"/>
                                                </a:xfrm>
                                                <a:prstGeom prst="rect">
                                                  <a:avLst/>
                                                </a:prstGeom>
                                              </pic:spPr>
                                            </pic:pic>
                                          </a:graphicData>
                                        </a:graphic>
                                      </wp:inline>
                                    </w:drawing>
                                  </w:r>
                                  <w:bookmarkStart w:id="15" w:name="i-10"/>
                                  <w:bookmarkEnd w:id="1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8"/>
                                          <a:stretch>
                                            <a:fillRect/>
                                          </a:stretch>
                                        </pic:blipFill>
                                        <pic:spPr bwMode="auto">
                                          <a:xfrm>
                                            <a:off x="0" y="0"/>
                                            <a:ext cx="733425" cy="190500"/>
                                          </a:xfrm>
                                          <a:prstGeom prst="rect">
                                            <a:avLst/>
                                          </a:prstGeom>
                                        </pic:spPr>
                                      </pic:pic>
                                    </a:graphicData>
                                  </a:graphic>
                                </wp:inline>
                              </w:drawing>
                            </w:r>
                            <w:bookmarkStart w:id="16" w:name="i-10"/>
                            <w:bookmarkEnd w:id="1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35" w:type="dxa"/>
        <w:jc w:val="center"/>
        <w:tblInd w:w="0" w:type="dxa"/>
        <w:tblLayout w:type="fixed"/>
        <w:tblCellMar>
          <w:top w:w="28" w:type="dxa"/>
          <w:left w:w="28" w:type="dxa"/>
          <w:bottom w:w="28" w:type="dxa"/>
          <w:right w:w="28" w:type="dxa"/>
        </w:tblCellMar>
      </w:tblPr>
      <w:tblGrid>
        <w:gridCol w:w="715"/>
        <w:gridCol w:w="629"/>
        <w:gridCol w:w="891"/>
      </w:tblGrid>
      <w:tr>
        <w:trP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1. Organization</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the leading software provider exclusively dedicated to powering social impact. Serving the nonprofit and education sectors, companies committed to social responsibility and individual change makers, our essential software is built to accelerate impact in fundraising, nonprofit financial management, digital giving, grantmaking, corporate social responsibility and education management. A remote-first company, we have operations in the United States, Australia, Canada, Costa Rica, India and the United Kingdom, supporting users in 100+ countries.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35" w:type="dxa"/>
        <w:jc w:val="left"/>
        <w:tblInd w:w="0" w:type="dxa"/>
        <w:tblLayout w:type="fixed"/>
        <w:tblCellMar>
          <w:top w:w="28" w:type="dxa"/>
          <w:left w:w="28" w:type="dxa"/>
          <w:bottom w:w="28" w:type="dxa"/>
          <w:right w:w="28" w:type="dxa"/>
        </w:tblCellMar>
      </w:tblPr>
      <w:tblGrid>
        <w:gridCol w:w="1100"/>
        <w:gridCol w:w="967"/>
        <w:gridCol w:w="1368"/>
      </w:tblGrid>
      <w:tr>
        <w:trPr/>
        <w:tc>
          <w:tcPr>
            <w:tcW w:w="110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2. Basis of Presentation</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Unaudited condensed consolidated interim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accompanying condensed consolidated interim financial statements have been prepared pursuant to the rules and regulations of the United States Securities and Exchange Commission ("SEC") for interim financial reporting. These condensed consolidated statements are unaudited and, in the opinion of management, include all adjustments (consisting of normal recurring adjustments and accruals) necessary to state fairly the condensed consolidated balance sheets, condensed consolidated statements of comprehensive income, consolidated statements of cash flows and consolidated statements of stockholders’ equity, for the periods presented in accordance with accounting principles generally accepted in the United States ("U.S.") ("GAAP"). The condensed consolidated balance sheet at December 31, 2024 has been derived from the audited consolidated financial statements at that date. Operating results and cash flows for the three and/or nine months ended September 30, 2025 are not necessarily indicative of the results that may be expected for the fiscal year ending December 31, 2025, or any other future period. Certain information and footnote disclosures normally included in annual financial statements prepared in accordance with GAAP have been omitted in accordance with the rules and regulations for interim reporting of the SEC. These unaudited, condensed consolidated interim financial statements should be read in conjunction with the consolidated financial statements and notes thereto included in our Annual Report on Form 10-K for the year ended December 31, 2024, and other forms filed with the SEC from time to time.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Reclassifications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 from "recurring" and "one-time services and other" have been combined within "revenue" beginning in 2025 due to the immateriality of our one-time services and other revenue. In order to provide comparability between periods presented, our “recurring“ and “one-time services and other" revenue lines have been combined within “revenue" in the previously reported consolidated statements of comprehensive income to conform to the presentation of the current period. Similarly, "cost of recurring" and "cost of one-time services and other" have been combined within "cost of revenue" in the previously reported consolidated statements of comprehensive income to conform to the presentation of the current period.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Revision of prior period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During the three months ended September 30, 2025, we identified a prior period error related to the previously recorded valuation allowance, which resulted in an understatement of the deferred tax liability by $15.5 million as of December 31, 2024, March 31, 2025 and June 30, 2025, and a corresponding overstatement of the income tax benefit and an understatement of the net loss for the year ended December 31, 2024. There was no impact to our income tax provision for the first and second quarters of 2025. We evaluated the materiality of the error and determined that the impact was not material to our previously issued consolidated financial statements for the prior periods impacted but that correcting the error in the current period would have been material to our consolidated results of operations for the three and nine months ended September 30, 2025, and would be material to our forecasted consolidated results of operations for the year ended December 31, 2025. Accordingly, we have revised our prior period financial statements and applicable notes to correct the valuation allowance error as of and for the year ended December 31, 2024, and as of and for the three and six months ended June 30, 2025. Additionally, we corrected other unrelated immaterial errors and related notes as of and for the years ended December 31, 2023 and December 31, 2024, as of and for the three months ended March 31, 2024, as of and for the three and six months ended June 30, 2024, as of and for the three and nine months ended September 30, 2024, as of and for the three months ended March 31, 2025, and as of and for the three and six months ended June 30, 2025. See Note 13 for additional information and a summarized quantification of the revised financial statements. Revisions to our previously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91540"/>
                <wp:effectExtent l="0" t="0" r="0" b="0"/>
                <wp:wrapNone/>
                <wp:docPr id="26" name="Frame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9"/>
                                                <a:stretch>
                                                  <a:fillRect/>
                                                </a:stretch>
                                              </pic:blipFill>
                                              <pic:spPr bwMode="auto">
                                                <a:xfrm>
                                                  <a:off x="0" y="0"/>
                                                  <a:ext cx="723900" cy="190500"/>
                                                </a:xfrm>
                                                <a:prstGeom prst="rect">
                                                  <a:avLst/>
                                                </a:prstGeom>
                                              </pic:spPr>
                                            </pic:pic>
                                          </a:graphicData>
                                        </a:graphic>
                                      </wp:inline>
                                    </w:drawing>
                                  </w:r>
                                  <w:bookmarkStart w:id="17" w:name="i-11"/>
                                  <w:bookmarkEnd w:id="17"/>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20"/>
                                          <a:stretch>
                                            <a:fillRect/>
                                          </a:stretch>
                                        </pic:blipFill>
                                        <pic:spPr bwMode="auto">
                                          <a:xfrm>
                                            <a:off x="0" y="0"/>
                                            <a:ext cx="723900" cy="190500"/>
                                          </a:xfrm>
                                          <a:prstGeom prst="rect">
                                            <a:avLst/>
                                          </a:prstGeom>
                                        </pic:spPr>
                                      </pic:pic>
                                    </a:graphicData>
                                  </a:graphic>
                                </wp:inline>
                              </w:drawing>
                            </w:r>
                            <w:bookmarkStart w:id="18" w:name="i-11"/>
                            <w:bookmarkEnd w:id="18"/>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reported disclosures have been reflected in Note 3, Earnings Per Share, Note 5, Consolidated Financial Statement Details, and Note 12, Revenue Recognition.</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Basis of consolidation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unaudited, condensed consolidated financial statements include the accounts of Blackbaud, Inc. and its wholly owned subsidiaries. All intercompany balances and transactions have been eliminated in consolidation.</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Use of estimates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development costs, our allowances for credit losses and sales returns, costs of obtaining contracts, valuation of derivative instruments, loss contingencies and insurance recoveries, among others. Changes in the facts or circumstances underlying these estimates could result in material changes and actual results could materially differ from these estimates.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Recently issued accounting pronouncements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are no recently issued accounting pronouncements that we expect to have a material impact on our consolidated financial statements when adopted in the future.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Summary of significant accounting policies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have been no material changes to our significant accounting policies described in our Annual Report on Form 10-K for the year ended December 31, 2024, filed with the SEC on February 21,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91540"/>
                <wp:effectExtent l="0" t="0" r="0" b="0"/>
                <wp:wrapNone/>
                <wp:docPr id="29" name="Frame1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21"/>
                                                <a:stretch>
                                                  <a:fillRect/>
                                                </a:stretch>
                                              </pic:blipFill>
                                              <pic:spPr bwMode="auto">
                                                <a:xfrm>
                                                  <a:off x="0" y="0"/>
                                                  <a:ext cx="733425" cy="190500"/>
                                                </a:xfrm>
                                                <a:prstGeom prst="rect">
                                                  <a:avLst/>
                                                </a:prstGeom>
                                              </pic:spPr>
                                            </pic:pic>
                                          </a:graphicData>
                                        </a:graphic>
                                      </wp:inline>
                                    </w:drawing>
                                  </w:r>
                                  <w:bookmarkStart w:id="19" w:name="i-12"/>
                                  <w:bookmarkEnd w:id="1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22"/>
                                          <a:stretch>
                                            <a:fillRect/>
                                          </a:stretch>
                                        </pic:blipFill>
                                        <pic:spPr bwMode="auto">
                                          <a:xfrm>
                                            <a:off x="0" y="0"/>
                                            <a:ext cx="733425" cy="190500"/>
                                          </a:xfrm>
                                          <a:prstGeom prst="rect">
                                            <a:avLst/>
                                          </a:prstGeom>
                                        </pic:spPr>
                                      </pic:pic>
                                    </a:graphicData>
                                  </a:graphic>
                                </wp:inline>
                              </w:drawing>
                            </w:r>
                            <w:bookmarkStart w:id="20" w:name="i-12"/>
                            <w:bookmarkEnd w:id="2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3119" w:type="dxa"/>
        <w:jc w:val="left"/>
        <w:tblInd w:w="0" w:type="dxa"/>
        <w:tblLayout w:type="fixed"/>
        <w:tblCellMar>
          <w:top w:w="28" w:type="dxa"/>
          <w:left w:w="28" w:type="dxa"/>
          <w:bottom w:w="28" w:type="dxa"/>
          <w:right w:w="28" w:type="dxa"/>
        </w:tblCellMar>
      </w:tblPr>
      <w:tblGrid>
        <w:gridCol w:w="999"/>
        <w:gridCol w:w="878"/>
        <w:gridCol w:w="1242"/>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3. Earnings Per Share</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compute basic earnings per share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outstanding during the period. Diluted earnings per share reflects the assumed exercise, settlement and vesting of all dilutive securities using the “treasury stock method,” except when the effect is anti-dilutive. Potentially dilutive securities consist of shares issuable upon vesting of restricted stock awards and units.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sets forth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1671"/>
        <w:gridCol w:w="1368"/>
        <w:gridCol w:w="1372"/>
        <w:gridCol w:w="267"/>
        <w:gridCol w:w="979"/>
        <w:gridCol w:w="109"/>
        <w:gridCol w:w="267"/>
        <w:gridCol w:w="979"/>
        <w:gridCol w:w="109"/>
        <w:gridCol w:w="109"/>
        <w:gridCol w:w="109"/>
        <w:gridCol w:w="109"/>
        <w:gridCol w:w="267"/>
        <w:gridCol w:w="979"/>
        <w:gridCol w:w="109"/>
        <w:gridCol w:w="267"/>
        <w:gridCol w:w="979"/>
        <w:gridCol w:w="156"/>
      </w:tblGrid>
      <w:tr>
        <w:trPr/>
        <w:tc>
          <w:tcPr>
            <w:tcW w:w="167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2710"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Nine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r>
      <w:tr>
        <w:trPr/>
        <w:tc>
          <w:tcPr>
            <w:tcW w:w="441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135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35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402"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441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Numerator:</w:t>
            </w:r>
          </w:p>
        </w:tc>
        <w:tc>
          <w:tcPr>
            <w:tcW w:w="135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Net income</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47,492 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78,281 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46,840 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Denominator:</w:t>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Weighted average common shares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47,680,002 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50,409,292 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47,961,631 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51,067,255 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Add effect of dilutive securities:</w:t>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Restricted stock and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818,283 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1,223,277 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672,396 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1,039,892 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Weighted average common shares assuming dilution</w:t>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48,498,285 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51,632,569 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48,634,027 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52,107,147 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Earnings per share</w:t>
            </w:r>
          </w:p>
        </w:tc>
        <w:tc>
          <w:tcPr>
            <w:tcW w:w="135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Basic</w:t>
            </w:r>
          </w:p>
        </w:tc>
        <w:tc>
          <w:tcPr>
            <w:tcW w:w="26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0.36 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0.92 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Anti-dilutive shares excluded from calculations of diluted earnings per share</w:t>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600,849 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47,210 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667,483 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380,392 </w:t>
            </w:r>
          </w:p>
        </w:tc>
        <w:tc>
          <w:tcPr>
            <w:tcW w:w="15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91540"/>
                <wp:effectExtent l="0" t="0" r="0" b="0"/>
                <wp:wrapNone/>
                <wp:docPr id="32" name="Frame1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23"/>
                                                <a:stretch>
                                                  <a:fillRect/>
                                                </a:stretch>
                                              </pic:blipFill>
                                              <pic:spPr bwMode="auto">
                                                <a:xfrm>
                                                  <a:off x="0" y="0"/>
                                                  <a:ext cx="723900" cy="190500"/>
                                                </a:xfrm>
                                                <a:prstGeom prst="rect">
                                                  <a:avLst/>
                                                </a:prstGeom>
                                              </pic:spPr>
                                            </pic:pic>
                                          </a:graphicData>
                                        </a:graphic>
                                      </wp:inline>
                                    </w:drawing>
                                  </w:r>
                                  <w:bookmarkStart w:id="21" w:name="i-13"/>
                                  <w:bookmarkEnd w:id="21"/>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24"/>
                                          <a:stretch>
                                            <a:fillRect/>
                                          </a:stretch>
                                        </pic:blipFill>
                                        <pic:spPr bwMode="auto">
                                          <a:xfrm>
                                            <a:off x="0" y="0"/>
                                            <a:ext cx="723900" cy="190500"/>
                                          </a:xfrm>
                                          <a:prstGeom prst="rect">
                                            <a:avLst/>
                                          </a:prstGeom>
                                        </pic:spPr>
                                      </pic:pic>
                                    </a:graphicData>
                                  </a:graphic>
                                </wp:inline>
                              </w:drawing>
                            </w:r>
                            <w:bookmarkStart w:id="22" w:name="i-13"/>
                            <w:bookmarkEnd w:id="22"/>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3989" w:type="dxa"/>
        <w:jc w:val="left"/>
        <w:tblInd w:w="0" w:type="dxa"/>
        <w:tblLayout w:type="fixed"/>
        <w:tblCellMar>
          <w:top w:w="28" w:type="dxa"/>
          <w:left w:w="28" w:type="dxa"/>
          <w:bottom w:w="28" w:type="dxa"/>
          <w:right w:w="28" w:type="dxa"/>
        </w:tblCellMar>
      </w:tblPr>
      <w:tblGrid>
        <w:gridCol w:w="1278"/>
        <w:gridCol w:w="1123"/>
        <w:gridCol w:w="1588"/>
      </w:tblGrid>
      <w:tr>
        <w:trPr/>
        <w:tc>
          <w:tcPr>
            <w:tcW w:w="127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4. Fair Value Measurements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use a three-tier fair value hierarchy to measure fair value. This hierarchy prioritizes the inputs into three broad levels as follows:</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 xml:space="preserve">Level 1 - Quoted prices for identical assets or liabilities in active markets; </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Level 3 - Valuations derived from valuation techniques in which one or more significant inputs are unobservable.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Recurring fair value measurements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Financial assets and liabilities that are measured at fair value on a recurring basis consisted of the following, as of the dates indicated below:</w:t>
      </w:r>
    </w:p>
    <w:tbl>
      <w:tblPr>
        <w:tblW w:w="10205" w:type="dxa"/>
        <w:jc w:val="left"/>
        <w:tblInd w:w="0" w:type="dxa"/>
        <w:tblLayout w:type="fixed"/>
        <w:tblCellMar>
          <w:top w:w="28" w:type="dxa"/>
          <w:left w:w="28" w:type="dxa"/>
          <w:bottom w:w="28" w:type="dxa"/>
          <w:right w:w="28" w:type="dxa"/>
        </w:tblCellMar>
      </w:tblPr>
      <w:tblGrid>
        <w:gridCol w:w="830"/>
        <w:gridCol w:w="591"/>
        <w:gridCol w:w="593"/>
        <w:gridCol w:w="109"/>
        <w:gridCol w:w="711"/>
        <w:gridCol w:w="1279"/>
        <w:gridCol w:w="345"/>
        <w:gridCol w:w="109"/>
        <w:gridCol w:w="109"/>
        <w:gridCol w:w="109"/>
        <w:gridCol w:w="337"/>
        <w:gridCol w:w="1235"/>
        <w:gridCol w:w="162"/>
        <w:gridCol w:w="109"/>
        <w:gridCol w:w="109"/>
        <w:gridCol w:w="109"/>
        <w:gridCol w:w="555"/>
        <w:gridCol w:w="996"/>
        <w:gridCol w:w="268"/>
        <w:gridCol w:w="109"/>
        <w:gridCol w:w="109"/>
        <w:gridCol w:w="109"/>
        <w:gridCol w:w="226"/>
        <w:gridCol w:w="826"/>
        <w:gridCol w:w="161"/>
      </w:tblGrid>
      <w:tr>
        <w:trPr/>
        <w:tc>
          <w:tcPr>
            <w:tcW w:w="83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2" w:type="dxa"/>
            <w:gridSpan w:val="15"/>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Fair value measurement using</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Quoted Prices in Active Markets for Identical Assets and Liabilities</w:t>
              <w:br/>
              <w:t>(Level 1)</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Significant Other Observable Inputs </w:t>
              <w:br/>
              <w:t>(Level 2)</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Significant Unobservable Inputs </w:t>
              <w:br/>
              <w:t>(Level 3)</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r>
          </w:p>
        </w:tc>
      </w:tr>
      <w:tr>
        <w:trPr/>
        <w:tc>
          <w:tcPr>
            <w:tcW w:w="201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Fair value as of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7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4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3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882 </w:t>
            </w:r>
          </w:p>
        </w:tc>
        <w:tc>
          <w:tcPr>
            <w:tcW w:w="16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9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6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882 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7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4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3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926 </w:t>
            </w:r>
          </w:p>
        </w:tc>
        <w:tc>
          <w:tcPr>
            <w:tcW w:w="16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6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926 </w:t>
            </w:r>
          </w:p>
        </w:tc>
        <w:tc>
          <w:tcPr>
            <w:tcW w:w="16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Fair value as of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7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4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3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3,112 </w:t>
            </w:r>
          </w:p>
        </w:tc>
        <w:tc>
          <w:tcPr>
            <w:tcW w:w="16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9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6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3,112 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7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4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3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3,286 </w:t>
            </w:r>
          </w:p>
        </w:tc>
        <w:tc>
          <w:tcPr>
            <w:tcW w:w="16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6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3,286 </w:t>
            </w:r>
          </w:p>
        </w:tc>
        <w:tc>
          <w:tcPr>
            <w:tcW w:w="16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Fair value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7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4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3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9,262 </w:t>
            </w:r>
          </w:p>
        </w:tc>
        <w:tc>
          <w:tcPr>
            <w:tcW w:w="16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9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6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9,262 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7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34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3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10,550 </w:t>
            </w:r>
          </w:p>
        </w:tc>
        <w:tc>
          <w:tcPr>
            <w:tcW w:w="16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9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26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10,550 </w:t>
            </w:r>
          </w:p>
        </w:tc>
        <w:tc>
          <w:tcPr>
            <w:tcW w:w="16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 xml:space="preserve">Our derivative instruments within the scope of Accounting Standards Codification ("ASC") 815, </w:t>
      </w:r>
      <w:r>
        <w:rPr>
          <w:rFonts w:ascii="sans-serif" w:hAnsi="sans-serif"/>
          <w:b w:val="false"/>
          <w:i/>
          <w:color w:val="51555C"/>
          <w:sz w:val="20"/>
        </w:rPr>
        <w:t>Derivatives and Hedging</w:t>
      </w:r>
      <w:r>
        <w:rPr>
          <w:rFonts w:ascii="sans-serif" w:hAnsi="sans-serif"/>
          <w:b w:val="false"/>
          <w:color w:val="51555C"/>
          <w:sz w:val="20"/>
        </w:rPr>
        <w:t>, are required to be recorded at fair value. Our derivative instruments that are recorded at fair value include interest rate swaps and foreign currency forward contracts. See Note 7 to these unaudited, condensed consolidated financial statements for additional information about our derivative instruments.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fair value of our interest rate swaps and foreign currency forward contracts are based on model-driven valuations using Secured Overnight Financing Rate ("SOFR") rates and foreign currency forward rates, respectively, which are observable at commonly quoted intervals. Accordingly, our interest rate swaps and foreign currency forward contracts are classified within Level 2 of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91540"/>
                <wp:effectExtent l="0" t="0" r="0" b="0"/>
                <wp:wrapNone/>
                <wp:docPr id="35" name="Frame1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25"/>
                                                <a:stretch>
                                                  <a:fillRect/>
                                                </a:stretch>
                                              </pic:blipFill>
                                              <pic:spPr bwMode="auto">
                                                <a:xfrm>
                                                  <a:off x="0" y="0"/>
                                                  <a:ext cx="733425" cy="190500"/>
                                                </a:xfrm>
                                                <a:prstGeom prst="rect">
                                                  <a:avLst/>
                                                </a:prstGeom>
                                              </pic:spPr>
                                            </pic:pic>
                                          </a:graphicData>
                                        </a:graphic>
                                      </wp:inline>
                                    </w:drawing>
                                  </w:r>
                                  <w:bookmarkStart w:id="23" w:name="i-14"/>
                                  <w:bookmarkEnd w:id="2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26"/>
                                          <a:stretch>
                                            <a:fillRect/>
                                          </a:stretch>
                                        </pic:blipFill>
                                        <pic:spPr bwMode="auto">
                                          <a:xfrm>
                                            <a:off x="0" y="0"/>
                                            <a:ext cx="733425" cy="190500"/>
                                          </a:xfrm>
                                          <a:prstGeom prst="rect">
                                            <a:avLst/>
                                          </a:prstGeom>
                                        </pic:spPr>
                                      </pic:pic>
                                    </a:graphicData>
                                  </a:graphic>
                                </wp:inline>
                              </w:drawing>
                            </w:r>
                            <w:bookmarkStart w:id="24" w:name="i-14"/>
                            <w:bookmarkEnd w:id="2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the carrying amounts of our cash and cash equivalents, restricted cash, accounts receivable, trade accounts payable, accrued expenses and other current liabilities and due to customers approximate their fair values at September 30, 2025 and December 31, 2024, due to the immediate or short-term maturity of these instruments.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the carrying amount of our debt approximates its fair value at September 30, 2025 and December 31, 2024, as the debt bears interest rates that approximate market value. As SOFR rates are observable at commonly quoted intervals, our debt under the 2024 Credit Facilities (as defined below) is classified within Level 2 of the fair value hierarchy. The fair value of our fixed rate debt does not exceed the carrying amount.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did not transfer any assets or liabilities among the levels within the fair value hierarchy during the nine months ended September 30, 2025.</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Non-recurring fair value measurements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were no significant non-recurring fair value adjustments to our long-lived assets, intangible assets, goodwill or operating lease ROU assets during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19" w:type="dxa"/>
        <w:jc w:val="left"/>
        <w:tblInd w:w="0" w:type="dxa"/>
        <w:tblLayout w:type="fixed"/>
        <w:tblCellMar>
          <w:top w:w="28" w:type="dxa"/>
          <w:left w:w="28" w:type="dxa"/>
          <w:bottom w:w="28" w:type="dxa"/>
          <w:right w:w="28" w:type="dxa"/>
        </w:tblCellMar>
      </w:tblPr>
      <w:tblGrid>
        <w:gridCol w:w="1959"/>
        <w:gridCol w:w="1723"/>
        <w:gridCol w:w="2437"/>
      </w:tblGrid>
      <w:tr>
        <w:trPr/>
        <w:tc>
          <w:tcPr>
            <w:tcW w:w="195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5. Consolidated Financial Statement Details</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Restricted cash</w:t>
      </w:r>
    </w:p>
    <w:tbl>
      <w:tblPr>
        <w:tblW w:w="6779" w:type="dxa"/>
        <w:jc w:val="left"/>
        <w:tblInd w:w="0" w:type="dxa"/>
        <w:tblLayout w:type="fixed"/>
        <w:tblCellMar>
          <w:top w:w="28" w:type="dxa"/>
          <w:left w:w="28" w:type="dxa"/>
          <w:bottom w:w="28" w:type="dxa"/>
          <w:right w:w="28" w:type="dxa"/>
        </w:tblCellMar>
      </w:tblPr>
      <w:tblGrid>
        <w:gridCol w:w="1412"/>
        <w:gridCol w:w="1242"/>
        <w:gridCol w:w="1246"/>
        <w:gridCol w:w="256"/>
        <w:gridCol w:w="1075"/>
        <w:gridCol w:w="123"/>
        <w:gridCol w:w="243"/>
        <w:gridCol w:w="1017"/>
        <w:gridCol w:w="165"/>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4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September 30,</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390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Restricted cash due to customers</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417,824 </w:t>
            </w:r>
          </w:p>
        </w:tc>
        <w:tc>
          <w:tcPr>
            <w:tcW w:w="12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740,370 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Real estate escrow balances and other</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restricted cash</w:t>
            </w:r>
          </w:p>
        </w:tc>
        <w:tc>
          <w:tcPr>
            <w:tcW w:w="2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7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419,185 </w:t>
            </w:r>
          </w:p>
        </w:tc>
        <w:tc>
          <w:tcPr>
            <w:tcW w:w="12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741,884 </w:t>
            </w:r>
          </w:p>
        </w:tc>
        <w:tc>
          <w:tcPr>
            <w:tcW w:w="16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91540"/>
                <wp:effectExtent l="0" t="0" r="0" b="0"/>
                <wp:wrapNone/>
                <wp:docPr id="38" name="Frame1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5" descr=""/>
                                                <pic:cNvPicPr>
                                                  <a:picLocks noChangeAspect="1" noChangeArrowheads="1"/>
                                                </pic:cNvPicPr>
                                              </pic:nvPicPr>
                                              <pic:blipFill>
                                                <a:blip r:embed="rId27"/>
                                                <a:stretch>
                                                  <a:fillRect/>
                                                </a:stretch>
                                              </pic:blipFill>
                                              <pic:spPr bwMode="auto">
                                                <a:xfrm>
                                                  <a:off x="0" y="0"/>
                                                  <a:ext cx="723900" cy="190500"/>
                                                </a:xfrm>
                                                <a:prstGeom prst="rect">
                                                  <a:avLst/>
                                                </a:prstGeom>
                                              </pic:spPr>
                                            </pic:pic>
                                          </a:graphicData>
                                        </a:graphic>
                                      </wp:inline>
                                    </w:drawing>
                                  </w:r>
                                  <w:bookmarkStart w:id="25" w:name="i-15"/>
                                  <w:bookmarkEnd w:id="25"/>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28"/>
                                          <a:stretch>
                                            <a:fillRect/>
                                          </a:stretch>
                                        </pic:blipFill>
                                        <pic:spPr bwMode="auto">
                                          <a:xfrm>
                                            <a:off x="0" y="0"/>
                                            <a:ext cx="723900" cy="190500"/>
                                          </a:xfrm>
                                          <a:prstGeom prst="rect">
                                            <a:avLst/>
                                          </a:prstGeom>
                                        </pic:spPr>
                                      </pic:pic>
                                    </a:graphicData>
                                  </a:graphic>
                                </wp:inline>
                              </w:drawing>
                            </w:r>
                            <w:bookmarkStart w:id="26" w:name="i-15"/>
                            <w:bookmarkEnd w:id="26"/>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Prepaid expenses and other assets</w:t>
      </w:r>
    </w:p>
    <w:tbl>
      <w:tblPr>
        <w:tblW w:w="9419" w:type="dxa"/>
        <w:jc w:val="left"/>
        <w:tblInd w:w="0" w:type="dxa"/>
        <w:tblLayout w:type="fixed"/>
        <w:tblCellMar>
          <w:top w:w="28" w:type="dxa"/>
          <w:left w:w="28" w:type="dxa"/>
          <w:bottom w:w="28" w:type="dxa"/>
          <w:right w:w="28" w:type="dxa"/>
        </w:tblCellMar>
      </w:tblPr>
      <w:tblGrid>
        <w:gridCol w:w="2369"/>
        <w:gridCol w:w="2082"/>
        <w:gridCol w:w="2089"/>
        <w:gridCol w:w="283"/>
        <w:gridCol w:w="1035"/>
        <w:gridCol w:w="136"/>
        <w:gridCol w:w="267"/>
        <w:gridCol w:w="976"/>
        <w:gridCol w:w="182"/>
      </w:tblGrid>
      <w:tr>
        <w:trPr/>
        <w:tc>
          <w:tcPr>
            <w:tcW w:w="236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4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September 30,</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65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Costs of obtaining contracts</w:t>
            </w:r>
            <w:r>
              <w:rPr>
                <w:rFonts w:ascii="sans-serif" w:hAnsi="sans-serif"/>
                <w:b w:val="false"/>
                <w:color w:val="51555C"/>
                <w:sz w:val="13"/>
              </w:rPr>
              <w:t>(1)(2)</w:t>
            </w:r>
          </w:p>
        </w:tc>
        <w:tc>
          <w:tcPr>
            <w:tcW w:w="28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3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55,325 </w:t>
            </w:r>
          </w:p>
        </w:tc>
        <w:tc>
          <w:tcPr>
            <w:tcW w:w="13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57,911 </w:t>
            </w:r>
          </w:p>
        </w:tc>
        <w:tc>
          <w:tcPr>
            <w:tcW w:w="18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Prepaid software maintenance and subscriptions</w:t>
            </w:r>
            <w:r>
              <w:rPr>
                <w:rFonts w:ascii="sans-serif" w:hAnsi="sans-serif"/>
                <w:b w:val="false"/>
                <w:color w:val="51555C"/>
                <w:sz w:val="13"/>
              </w:rPr>
              <w:t>(3)</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30,723 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36,277 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Taxes, prepaid and receivable</w:t>
            </w:r>
          </w:p>
        </w:tc>
        <w:tc>
          <w:tcPr>
            <w:tcW w:w="13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15,303 </w:t>
            </w:r>
          </w:p>
        </w:tc>
        <w:tc>
          <w:tcPr>
            <w:tcW w:w="13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4,257 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Implementation costs for cloud computing arrangements, net</w:t>
            </w:r>
            <w:r>
              <w:rPr>
                <w:rFonts w:ascii="sans-serif" w:hAnsi="sans-serif"/>
                <w:b w:val="false"/>
                <w:color w:val="51555C"/>
                <w:sz w:val="13"/>
              </w:rPr>
              <w:t>(4)(5)</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11,098 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10,450 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Unbilled accounts receivable</w:t>
            </w:r>
          </w:p>
        </w:tc>
        <w:tc>
          <w:tcPr>
            <w:tcW w:w="13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8,824 </w:t>
            </w:r>
          </w:p>
        </w:tc>
        <w:tc>
          <w:tcPr>
            <w:tcW w:w="13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7,352 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Investment in equity securities</w:t>
            </w:r>
            <w:r>
              <w:rPr>
                <w:rFonts w:ascii="sans-serif" w:hAnsi="sans-serif"/>
                <w:b w:val="false"/>
                <w:color w:val="51555C"/>
                <w:sz w:val="13"/>
              </w:rPr>
              <w:t>(6)</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4,943 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4,943 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Prepaid insurance</w:t>
            </w:r>
          </w:p>
        </w:tc>
        <w:tc>
          <w:tcPr>
            <w:tcW w:w="13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3,403 </w:t>
            </w:r>
          </w:p>
        </w:tc>
        <w:tc>
          <w:tcPr>
            <w:tcW w:w="13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3,027 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Derivative instruments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10,550 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Other assets</w:t>
            </w:r>
          </w:p>
        </w:tc>
        <w:tc>
          <w:tcPr>
            <w:tcW w:w="13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16,209 </w:t>
            </w:r>
          </w:p>
        </w:tc>
        <w:tc>
          <w:tcPr>
            <w:tcW w:w="13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14,026 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prepaid expenses and other assets</w:t>
            </w:r>
          </w:p>
        </w:tc>
        <w:tc>
          <w:tcPr>
            <w:tcW w:w="131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146,754 </w:t>
            </w:r>
          </w:p>
        </w:tc>
        <w:tc>
          <w:tcPr>
            <w:tcW w:w="13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148,793 </w:t>
            </w:r>
          </w:p>
        </w:tc>
        <w:tc>
          <w:tcPr>
            <w:tcW w:w="18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Less: Long-term portion</w:t>
            </w:r>
          </w:p>
        </w:tc>
        <w:tc>
          <w:tcPr>
            <w:tcW w:w="13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51,916 </w:t>
            </w:r>
          </w:p>
        </w:tc>
        <w:tc>
          <w:tcPr>
            <w:tcW w:w="13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67,221 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Prepaid expenses and other current assets</w:t>
            </w:r>
          </w:p>
        </w:tc>
        <w:tc>
          <w:tcPr>
            <w:tcW w:w="28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3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94,838 </w:t>
            </w:r>
          </w:p>
        </w:tc>
        <w:tc>
          <w:tcPr>
            <w:tcW w:w="13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81,572 </w:t>
            </w:r>
          </w:p>
        </w:tc>
        <w:tc>
          <w:tcPr>
            <w:tcW w:w="18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(1)Amortization expense from costs of obtaining contracts was $5.1 million and $15.2 million for the three and nine months ended September 30, 2025, respectively, and $5.1 million and $14.8 million for the three and nine months ended September 30, 2024,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(2)The current portion of costs of obtaining contracts as of September 30, 2025 and December 31, 2024 was $18.3 million and $18.4 million,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(3)The current portion of prepaid software maintenance and subscriptions as of September 30, 2025 and December 31, 2024 was $29.8 million and $34.0 million,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(4)These costs primarily relate to the multi-year implementations of our global enterprise resource planning, customer relationship management systems and other cloud-based systems.</w:t>
      </w:r>
    </w:p>
    <w:p>
      <w:pPr>
        <w:pStyle w:val="TextBody"/>
        <w:bidi w:val="0"/>
        <w:spacing w:lineRule="auto" w:line="288" w:before="0" w:after="0"/>
        <w:ind w:left="0" w:right="0" w:hanging="360"/>
        <w:jc w:val="both"/>
        <w:rPr/>
      </w:pPr>
      <w:r>
        <w:rPr>
          <w:rFonts w:ascii="sans-serif" w:hAnsi="sans-serif"/>
          <w:b w:val="false"/>
          <w:color w:val="51555C"/>
          <w:sz w:val="16"/>
        </w:rPr>
        <w:t>(5)Amortization expense from capitalized cloud computing implementation costs was insignificant for the three months ended September 30, 2025 and 2024, and $2.5 million and $2.1 million</w:t>
      </w:r>
      <w:r>
        <w:rPr>
          <w:color w:val="51555C"/>
        </w:rPr>
        <w:t xml:space="preserve"> </w:t>
      </w:r>
      <w:r>
        <w:rPr>
          <w:rFonts w:ascii="sans-serif" w:hAnsi="sans-serif"/>
          <w:b w:val="false"/>
          <w:color w:val="51555C"/>
          <w:sz w:val="16"/>
        </w:rPr>
        <w:t>for the nine months ended September 30, 2025 and 2024, respectively. Accumulated amortization for these costs was $13.1 million and $10.6 million as of September 30, 2025 and December 31, 2024,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(6)Represents a strategic investment that did not result in Blackbaud having significant influence over the investee.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Accrued expenses and other liabilities</w:t>
      </w:r>
    </w:p>
    <w:tbl>
      <w:tblPr>
        <w:tblW w:w="9073" w:type="dxa"/>
        <w:jc w:val="left"/>
        <w:tblInd w:w="0" w:type="dxa"/>
        <w:tblLayout w:type="fixed"/>
        <w:tblCellMar>
          <w:top w:w="28" w:type="dxa"/>
          <w:left w:w="28" w:type="dxa"/>
          <w:bottom w:w="28" w:type="dxa"/>
          <w:right w:w="28" w:type="dxa"/>
        </w:tblCellMar>
      </w:tblPr>
      <w:tblGrid>
        <w:gridCol w:w="2242"/>
        <w:gridCol w:w="1973"/>
        <w:gridCol w:w="1979"/>
        <w:gridCol w:w="283"/>
        <w:gridCol w:w="1035"/>
        <w:gridCol w:w="136"/>
        <w:gridCol w:w="267"/>
        <w:gridCol w:w="976"/>
        <w:gridCol w:w="182"/>
      </w:tblGrid>
      <w:tr>
        <w:trPr/>
        <w:tc>
          <w:tcPr>
            <w:tcW w:w="224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4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September 30,</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619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Taxes payable</w:t>
            </w:r>
          </w:p>
        </w:tc>
        <w:tc>
          <w:tcPr>
            <w:tcW w:w="28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3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21,681 </w:t>
            </w:r>
          </w:p>
        </w:tc>
        <w:tc>
          <w:tcPr>
            <w:tcW w:w="13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16,295 </w:t>
            </w:r>
          </w:p>
        </w:tc>
        <w:tc>
          <w:tcPr>
            <w:tcW w:w="18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Customer credit balances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9,629 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9,269 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Unrecognized tax benefit</w:t>
            </w:r>
          </w:p>
        </w:tc>
        <w:tc>
          <w:tcPr>
            <w:tcW w:w="13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5,120 </w:t>
            </w:r>
          </w:p>
        </w:tc>
        <w:tc>
          <w:tcPr>
            <w:tcW w:w="13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4,285 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Derivative instruments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3,286 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Accrued health care costs</w:t>
            </w:r>
          </w:p>
        </w:tc>
        <w:tc>
          <w:tcPr>
            <w:tcW w:w="13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3,149 </w:t>
            </w:r>
          </w:p>
        </w:tc>
        <w:tc>
          <w:tcPr>
            <w:tcW w:w="13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3,151 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Accrued vacation costs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2,654 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Accrued commissions and salaries</w:t>
            </w:r>
          </w:p>
        </w:tc>
        <w:tc>
          <w:tcPr>
            <w:tcW w:w="13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2,291 </w:t>
            </w:r>
          </w:p>
        </w:tc>
        <w:tc>
          <w:tcPr>
            <w:tcW w:w="13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4,012 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Operating lease liabilities, current portion</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4,489 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Accrued transaction-based costs related to payments services</w:t>
            </w:r>
          </w:p>
        </w:tc>
        <w:tc>
          <w:tcPr>
            <w:tcW w:w="13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608 </w:t>
            </w:r>
          </w:p>
        </w:tc>
        <w:tc>
          <w:tcPr>
            <w:tcW w:w="13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3,903 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Accrued legal costs</w:t>
            </w:r>
            <w:r>
              <w:rPr>
                <w:rFonts w:ascii="sans-serif" w:hAnsi="sans-serif"/>
                <w:b w:val="false"/>
                <w:color w:val="51555C"/>
                <w:sz w:val="13"/>
              </w:rPr>
              <w:t>(1)</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2,504 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Stock-based compensation liability</w:t>
            </w:r>
          </w:p>
        </w:tc>
        <w:tc>
          <w:tcPr>
            <w:tcW w:w="13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3 </w:t>
            </w:r>
          </w:p>
        </w:tc>
        <w:tc>
          <w:tcPr>
            <w:tcW w:w="13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7,292 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Accrued costs to sell EVERFI</w:t>
            </w:r>
            <w:r>
              <w:rPr>
                <w:rFonts w:ascii="sans-serif" w:hAnsi="sans-serif"/>
                <w:b w:val="false"/>
                <w:color w:val="51555C"/>
                <w:sz w:val="13"/>
              </w:rPr>
              <w:t>(2)</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13,985 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Other liabilities</w:t>
            </w:r>
          </w:p>
        </w:tc>
        <w:tc>
          <w:tcPr>
            <w:tcW w:w="13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11,319 </w:t>
            </w:r>
          </w:p>
        </w:tc>
        <w:tc>
          <w:tcPr>
            <w:tcW w:w="13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10,035 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accrued expenses and other liabilities</w:t>
            </w:r>
          </w:p>
        </w:tc>
        <w:tc>
          <w:tcPr>
            <w:tcW w:w="131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61,866 </w:t>
            </w:r>
          </w:p>
        </w:tc>
        <w:tc>
          <w:tcPr>
            <w:tcW w:w="13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81,280 </w:t>
            </w:r>
          </w:p>
        </w:tc>
        <w:tc>
          <w:tcPr>
            <w:tcW w:w="18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Less: Long-term portion</w:t>
            </w:r>
          </w:p>
        </w:tc>
        <w:tc>
          <w:tcPr>
            <w:tcW w:w="13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8,816 </w:t>
            </w:r>
          </w:p>
        </w:tc>
        <w:tc>
          <w:tcPr>
            <w:tcW w:w="13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4,796 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Accrued expenses and other current liabilities</w:t>
            </w:r>
          </w:p>
        </w:tc>
        <w:tc>
          <w:tcPr>
            <w:tcW w:w="28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3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53,050 </w:t>
            </w:r>
          </w:p>
        </w:tc>
        <w:tc>
          <w:tcPr>
            <w:tcW w:w="13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76,484 </w:t>
            </w:r>
          </w:p>
        </w:tc>
        <w:tc>
          <w:tcPr>
            <w:tcW w:w="18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shd w:fill="FFFFFF" w:val="clear"/>
        </w:rPr>
      </w:pPr>
      <w:r>
        <w:rPr>
          <w:rFonts w:ascii="sans-serif" w:hAnsi="sans-serif"/>
          <w:b w:val="false"/>
          <w:color w:val="51555C"/>
          <w:sz w:val="16"/>
          <w:shd w:fill="FFFFFF" w:val="clear"/>
        </w:rPr>
        <w:t>(1)All accrued legal costs are classified as current. See Note 8 to these unaudited, condensed consolidated financial statements for additional information about our loss contingency accruals and other legal expenses.</w:t>
      </w:r>
    </w:p>
    <w:p>
      <w:pPr>
        <w:pStyle w:val="TextBody"/>
        <w:bidi w:val="0"/>
        <w:spacing w:lineRule="auto" w:line="288" w:before="0" w:after="0"/>
        <w:ind w:left="0" w:right="0" w:hanging="360"/>
        <w:jc w:val="both"/>
        <w:rPr>
          <w:rFonts w:ascii="sans-serif" w:hAnsi="sans-serif"/>
          <w:b w:val="false"/>
          <w:color w:val="51555C"/>
          <w:sz w:val="16"/>
          <w:shd w:fill="FFFFFF" w:val="clear"/>
        </w:rPr>
      </w:pPr>
      <w:r>
        <w:rPr>
          <w:rFonts w:ascii="sans-serif" w:hAnsi="sans-serif"/>
          <w:b w:val="false"/>
          <w:color w:val="51555C"/>
          <w:sz w:val="16"/>
          <w:shd w:fill="FFFFFF" w:val="clear"/>
        </w:rPr>
        <w:t>(2)As previously disclosed, on December 31, 2024, we disposed of our EVERFI business, formerly a wholly-owned subsidiary of Blackbaud, Inc, to a private investment firm that is unaffiliated with Blackbaud for nominal cash consideration. The results of operations of EVERFI are not included in our consolidated results of operations subsequent to the date of disposition.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91540"/>
                <wp:effectExtent l="0" t="0" r="0" b="0"/>
                <wp:wrapNone/>
                <wp:docPr id="41" name="Frame1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6" descr=""/>
                                                <pic:cNvPicPr>
                                                  <a:picLocks noChangeAspect="1" noChangeArrowheads="1"/>
                                                </pic:cNvPicPr>
                                              </pic:nvPicPr>
                                              <pic:blipFill>
                                                <a:blip r:embed="rId29"/>
                                                <a:stretch>
                                                  <a:fillRect/>
                                                </a:stretch>
                                              </pic:blipFill>
                                              <pic:spPr bwMode="auto">
                                                <a:xfrm>
                                                  <a:off x="0" y="0"/>
                                                  <a:ext cx="733425" cy="190500"/>
                                                </a:xfrm>
                                                <a:prstGeom prst="rect">
                                                  <a:avLst/>
                                                </a:prstGeom>
                                              </pic:spPr>
                                            </pic:pic>
                                          </a:graphicData>
                                        </a:graphic>
                                      </wp:inline>
                                    </w:drawing>
                                  </w:r>
                                  <w:bookmarkStart w:id="27" w:name="i-16"/>
                                  <w:bookmarkEnd w:id="2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30"/>
                                          <a:stretch>
                                            <a:fillRect/>
                                          </a:stretch>
                                        </pic:blipFill>
                                        <pic:spPr bwMode="auto">
                                          <a:xfrm>
                                            <a:off x="0" y="0"/>
                                            <a:ext cx="733425" cy="190500"/>
                                          </a:xfrm>
                                          <a:prstGeom prst="rect">
                                            <a:avLst/>
                                          </a:prstGeom>
                                        </pic:spPr>
                                      </pic:pic>
                                    </a:graphicData>
                                  </a:graphic>
                                </wp:inline>
                              </w:drawing>
                            </w:r>
                            <w:bookmarkStart w:id="28" w:name="i-16"/>
                            <w:bookmarkEnd w:id="2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ind w:left="0" w:right="0" w:firstLine="720"/>
        <w:jc w:val="both"/>
        <w:rPr/>
      </w:pPr>
      <w:r>
        <w:rPr>
          <w:rFonts w:ascii="sans-serif" w:hAnsi="sans-serif"/>
          <w:b/>
          <w:color w:val="51555C"/>
          <w:sz w:val="20"/>
        </w:rPr>
        <w:t>Other income, net</w:t>
      </w:r>
      <w:r>
        <w:rPr>
          <w:color w:val="51555C"/>
        </w:rPr>
        <w:t xml:space="preserve"> </w:t>
      </w:r>
    </w:p>
    <w:tbl>
      <w:tblPr>
        <w:tblW w:w="8105" w:type="dxa"/>
        <w:jc w:val="left"/>
        <w:tblInd w:w="0" w:type="dxa"/>
        <w:tblLayout w:type="fixed"/>
        <w:tblCellMar>
          <w:top w:w="28" w:type="dxa"/>
          <w:left w:w="28" w:type="dxa"/>
          <w:bottom w:w="28" w:type="dxa"/>
          <w:right w:w="28" w:type="dxa"/>
        </w:tblCellMar>
      </w:tblPr>
      <w:tblGrid>
        <w:gridCol w:w="1292"/>
        <w:gridCol w:w="1137"/>
        <w:gridCol w:w="1140"/>
        <w:gridCol w:w="226"/>
        <w:gridCol w:w="706"/>
        <w:gridCol w:w="109"/>
        <w:gridCol w:w="226"/>
        <w:gridCol w:w="706"/>
        <w:gridCol w:w="109"/>
        <w:gridCol w:w="109"/>
        <w:gridCol w:w="109"/>
        <w:gridCol w:w="109"/>
        <w:gridCol w:w="226"/>
        <w:gridCol w:w="706"/>
        <w:gridCol w:w="109"/>
        <w:gridCol w:w="226"/>
        <w:gridCol w:w="706"/>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Nine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r>
      <w:tr>
        <w:trPr/>
        <w:tc>
          <w:tcPr>
            <w:tcW w:w="356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08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356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Interest income</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2,371 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3,118 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5,994 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7,981 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Currency revaluation gains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Other income, net</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610 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1,194 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3,109 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3,085 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Other income, net</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3,245 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2,997 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6,468 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9,654 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6. Debt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summarizes our debt balances and the related weighted average effective interest rates, which includes the effect of interest rate swap agreements.</w:t>
      </w:r>
    </w:p>
    <w:tbl>
      <w:tblPr>
        <w:tblW w:w="10205" w:type="dxa"/>
        <w:jc w:val="left"/>
        <w:tblInd w:w="0" w:type="dxa"/>
        <w:tblLayout w:type="fixed"/>
        <w:tblCellMar>
          <w:top w:w="28" w:type="dxa"/>
          <w:left w:w="28" w:type="dxa"/>
          <w:bottom w:w="28" w:type="dxa"/>
          <w:right w:w="28" w:type="dxa"/>
        </w:tblCellMar>
      </w:tblPr>
      <w:tblGrid>
        <w:gridCol w:w="1518"/>
        <w:gridCol w:w="1335"/>
        <w:gridCol w:w="1339"/>
        <w:gridCol w:w="226"/>
        <w:gridCol w:w="1126"/>
        <w:gridCol w:w="109"/>
        <w:gridCol w:w="226"/>
        <w:gridCol w:w="1126"/>
        <w:gridCol w:w="109"/>
        <w:gridCol w:w="109"/>
        <w:gridCol w:w="109"/>
        <w:gridCol w:w="109"/>
        <w:gridCol w:w="314"/>
        <w:gridCol w:w="303"/>
        <w:gridCol w:w="771"/>
        <w:gridCol w:w="293"/>
        <w:gridCol w:w="293"/>
        <w:gridCol w:w="790"/>
      </w:tblGrid>
      <w:tr>
        <w:trPr/>
        <w:tc>
          <w:tcPr>
            <w:tcW w:w="1518"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4192"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Debt balance at</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Weighted average</w:t>
              <w:br/>
              <w:t>effective interest rate at</w:t>
            </w:r>
          </w:p>
        </w:tc>
      </w:tr>
      <w:tr>
        <w:trPr/>
        <w:tc>
          <w:tcPr>
            <w:tcW w:w="419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September 30,</w:t>
              <w:br/>
              <w:t>2025</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327"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September 30,</w:t>
              <w:br/>
              <w:t>2025</w:t>
            </w:r>
          </w:p>
        </w:tc>
        <w:tc>
          <w:tcPr>
            <w:tcW w:w="137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4192"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Credit facility:</w:t>
            </w:r>
          </w:p>
        </w:tc>
        <w:tc>
          <w:tcPr>
            <w:tcW w:w="14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Revolving credit loans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236,300 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6.05 </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6.37 </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19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Term loans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775,000 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790,000 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5.49 </w:t>
            </w:r>
          </w:p>
        </w:tc>
        <w:tc>
          <w:tcPr>
            <w:tcW w:w="77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5.59 </w:t>
            </w:r>
          </w:p>
        </w:tc>
        <w:tc>
          <w:tcPr>
            <w:tcW w:w="79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Real estate loans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5.23 </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5.23 </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19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Other debt</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691 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2,783 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9.13 </w:t>
            </w:r>
          </w:p>
        </w:tc>
        <w:tc>
          <w:tcPr>
            <w:tcW w:w="77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8.77 </w:t>
            </w:r>
          </w:p>
        </w:tc>
        <w:tc>
          <w:tcPr>
            <w:tcW w:w="79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debt</w:t>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1,065,805 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1,077,818 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5.61 </w:t>
            </w:r>
          </w:p>
        </w:tc>
        <w:tc>
          <w:tcPr>
            <w:tcW w:w="7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5.75 </w:t>
            </w:r>
          </w:p>
        </w:tc>
        <w:tc>
          <w:tcPr>
            <w:tcW w:w="79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19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Less: Unamortized discount and debt issuance costs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1,187 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2,833 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Less: Debt, current portion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6.00 </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6.21 </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192"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Debt, net of current portion</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1,042,005 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1,051,110 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5.60 </w:t>
            </w:r>
          </w:p>
        </w:tc>
        <w:tc>
          <w:tcPr>
            <w:tcW w:w="77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5.73 </w:t>
            </w:r>
          </w:p>
        </w:tc>
        <w:tc>
          <w:tcPr>
            <w:tcW w:w="79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2024 Credit Facilities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April 2024, we entered into a five-year $1.5 billion senior credit facility (the "2024 Credit Facilities"). At September 30, 2025, we were in compliance with our debt covenants under the 2024 Credit Facilities.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Real estate loans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August 2020, we completed the purchase of our global headquarters facility. As part of the purchase price, we assumed the seller’s obligations under two senior secured notes with a then-aggregate outstanding principal amount of $61.1 million (collectively, the “Real Estate Loans”). The Real Estate Loans require periodic principal payments and the balance of the Real Estate Loans are due upon maturity in April 2038. At September 30, 2025, we were in compliance with our debt covenants under the Real Estate Loans.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Other 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91540"/>
                <wp:effectExtent l="0" t="0" r="0" b="0"/>
                <wp:wrapNone/>
                <wp:docPr id="44" name="Frame1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31"/>
                                                <a:stretch>
                                                  <a:fillRect/>
                                                </a:stretch>
                                              </pic:blipFill>
                                              <pic:spPr bwMode="auto">
                                                <a:xfrm>
                                                  <a:off x="0" y="0"/>
                                                  <a:ext cx="723900" cy="190500"/>
                                                </a:xfrm>
                                                <a:prstGeom prst="rect">
                                                  <a:avLst/>
                                                </a:prstGeom>
                                              </pic:spPr>
                                            </pic:pic>
                                          </a:graphicData>
                                        </a:graphic>
                                      </wp:inline>
                                    </w:drawing>
                                  </w:r>
                                  <w:bookmarkStart w:id="29" w:name="i-17"/>
                                  <w:bookmarkEnd w:id="29"/>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32"/>
                                          <a:stretch>
                                            <a:fillRect/>
                                          </a:stretch>
                                        </pic:blipFill>
                                        <pic:spPr bwMode="auto">
                                          <a:xfrm>
                                            <a:off x="0" y="0"/>
                                            <a:ext cx="723900" cy="190500"/>
                                          </a:xfrm>
                                          <a:prstGeom prst="rect">
                                            <a:avLst/>
                                          </a:prstGeom>
                                        </pic:spPr>
                                      </pic:pic>
                                    </a:graphicData>
                                  </a:graphic>
                                </wp:inline>
                              </w:drawing>
                            </w:r>
                            <w:bookmarkStart w:id="30" w:name="i-17"/>
                            <w:bookmarkEnd w:id="30"/>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summarizes our currently effective supplier financing agreements as of September 30, 2025:</w:t>
      </w:r>
    </w:p>
    <w:tbl>
      <w:tblPr>
        <w:tblW w:w="9431" w:type="dxa"/>
        <w:jc w:val="left"/>
        <w:tblInd w:w="0" w:type="dxa"/>
        <w:tblLayout w:type="fixed"/>
        <w:tblCellMar>
          <w:top w:w="28" w:type="dxa"/>
          <w:left w:w="28" w:type="dxa"/>
          <w:bottom w:w="28" w:type="dxa"/>
          <w:right w:w="28" w:type="dxa"/>
        </w:tblCellMar>
      </w:tblPr>
      <w:tblGrid>
        <w:gridCol w:w="1385"/>
        <w:gridCol w:w="1218"/>
        <w:gridCol w:w="1222"/>
        <w:gridCol w:w="369"/>
        <w:gridCol w:w="369"/>
        <w:gridCol w:w="371"/>
        <w:gridCol w:w="574"/>
        <w:gridCol w:w="574"/>
        <w:gridCol w:w="576"/>
        <w:gridCol w:w="459"/>
        <w:gridCol w:w="459"/>
        <w:gridCol w:w="461"/>
        <w:gridCol w:w="290"/>
        <w:gridCol w:w="907"/>
        <w:gridCol w:w="197"/>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0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Term</w:t>
              <w:br/>
              <w:t> in Months</w:t>
            </w:r>
          </w:p>
        </w:tc>
        <w:tc>
          <w:tcPr>
            <w:tcW w:w="172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Number of</w:t>
              <w:br/>
              <w:t>Annual Payments</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First Annual</w:t>
              <w:br/>
              <w:t>Payment Due</w:t>
            </w:r>
          </w:p>
        </w:tc>
        <w:tc>
          <w:tcPr>
            <w:tcW w:w="139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Original Loan</w:t>
              <w:br/>
              <w:t>Value</w:t>
            </w:r>
          </w:p>
        </w:tc>
      </w:tr>
      <w:tr>
        <w:trPr/>
        <w:tc>
          <w:tcPr>
            <w:tcW w:w="382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180" w:after="283"/>
              <w:jc w:val="left"/>
              <w:rPr/>
            </w:pPr>
            <w:r>
              <w:rPr>
                <w:rFonts w:ascii="sans-serif" w:hAnsi="sans-serif"/>
                <w:b/>
                <w:color w:val="51555C"/>
                <w:sz w:val="20"/>
              </w:rPr>
              <w:t xml:space="preserve">Effective dates of agreements </w:t>
            </w:r>
            <w:r>
              <w:rPr>
                <w:rFonts w:ascii="sans-serif" w:hAnsi="sans-serif"/>
                <w:b/>
                <w:color w:val="51555C"/>
                <w:sz w:val="13"/>
              </w:rPr>
              <w:t>(1)</w:t>
            </w:r>
            <w:r>
              <w:rPr>
                <w:rFonts w:ascii="sans-serif" w:hAnsi="sans-serif"/>
                <w:b/>
                <w:color w:val="51555C"/>
                <w:sz w:val="20"/>
              </w:rPr>
              <w:t>:</w:t>
            </w:r>
          </w:p>
        </w:tc>
        <w:tc>
          <w:tcPr>
            <w:tcW w:w="110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December 2022</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39</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January 2023</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January 2023</w:t>
            </w:r>
          </w:p>
        </w:tc>
        <w:tc>
          <w:tcPr>
            <w:tcW w:w="110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36</w:t>
            </w:r>
          </w:p>
        </w:tc>
        <w:tc>
          <w:tcPr>
            <w:tcW w:w="114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3 </w:t>
            </w:r>
          </w:p>
        </w:tc>
        <w:tc>
          <w:tcPr>
            <w:tcW w:w="5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April 2023</w:t>
            </w:r>
          </w:p>
        </w:tc>
        <w:tc>
          <w:tcPr>
            <w:tcW w:w="29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0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2,491 </w:t>
            </w:r>
          </w:p>
        </w:tc>
        <w:tc>
          <w:tcPr>
            <w:tcW w:w="19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April 2024</w:t>
            </w:r>
          </w:p>
        </w:tc>
        <w:tc>
          <w:tcPr>
            <w:tcW w:w="110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36</w:t>
            </w:r>
          </w:p>
        </w:tc>
        <w:tc>
          <w:tcPr>
            <w:tcW w:w="1148"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3 </w:t>
            </w:r>
          </w:p>
        </w:tc>
        <w:tc>
          <w:tcPr>
            <w:tcW w:w="57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May 2024</w:t>
            </w:r>
          </w:p>
        </w:tc>
        <w:tc>
          <w:tcPr>
            <w:tcW w:w="290"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07"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2,073 </w:t>
            </w:r>
          </w:p>
        </w:tc>
        <w:tc>
          <w:tcPr>
            <w:tcW w:w="197"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shd w:fill="FFFFFF" w:val="clear"/>
        </w:rPr>
      </w:pPr>
      <w:r>
        <w:rPr>
          <w:rFonts w:ascii="sans-serif" w:hAnsi="sans-serif"/>
          <w:b w:val="false"/>
          <w:color w:val="51555C"/>
          <w:sz w:val="16"/>
          <w:shd w:fill="FFFFFF" w:val="clear"/>
        </w:rPr>
        <w:t>(1)Represent noncash investing and financing transactions during the periods indicated as we purchased software and services by assuming directly related liabilities.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changes in supplier financing obligations during the nine months ended September 30, 2025, consisted of the following:</w:t>
      </w:r>
    </w:p>
    <w:tbl>
      <w:tblPr>
        <w:tblW w:w="4686" w:type="dxa"/>
        <w:jc w:val="left"/>
        <w:tblInd w:w="0" w:type="dxa"/>
        <w:tblLayout w:type="fixed"/>
        <w:tblCellMar>
          <w:top w:w="28" w:type="dxa"/>
          <w:left w:w="28" w:type="dxa"/>
          <w:bottom w:w="28" w:type="dxa"/>
          <w:right w:w="28" w:type="dxa"/>
        </w:tblCellMar>
      </w:tblPr>
      <w:tblGrid>
        <w:gridCol w:w="1303"/>
        <w:gridCol w:w="1147"/>
        <w:gridCol w:w="1150"/>
        <w:gridCol w:w="226"/>
        <w:gridCol w:w="706"/>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86"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r>
          </w:p>
        </w:tc>
      </w:tr>
      <w:tr>
        <w:trPr/>
        <w:tc>
          <w:tcPr>
            <w:tcW w:w="360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Balance at December 31, 2024</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2,783 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Payments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(2,092)</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Balance at September 30, 2025</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691 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44" w:type="dxa"/>
        <w:jc w:val="left"/>
        <w:tblInd w:w="0" w:type="dxa"/>
        <w:tblLayout w:type="fixed"/>
        <w:tblCellMar>
          <w:top w:w="28" w:type="dxa"/>
          <w:left w:w="28" w:type="dxa"/>
          <w:bottom w:w="28" w:type="dxa"/>
          <w:right w:w="28" w:type="dxa"/>
        </w:tblCellMar>
      </w:tblPr>
      <w:tblGrid>
        <w:gridCol w:w="1166"/>
        <w:gridCol w:w="1025"/>
        <w:gridCol w:w="1453"/>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7. Derivative Instruments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generally use derivative instruments to manage our interest rate and foreign currency exchange risk. We currently have derivatives classified as cash flow hedges and net investment hedges. We do not enter into any derivatives for trading or speculative purposes.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All of our derivative instruments are governed by International Swap Dealers Association, Inc. master agreements with our counterparties. As of September 30, 2025 and December 31, 2024, we have presented the fair value of our derivative instruments at the gross amounts in the unaudited, condensed consolidated balance sheets as the gross fair values of our derivative instruments equaled their net fair values.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Cash flow hedges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entered into interest rate swap agreements, which effectively convert portions of our variable rate debt under the 2024 Credit Facilities to a fixed rate for the term of the swap agreements. We designated each of the interest rate swaps as cash flow hedges at the inception of the contracts. Our entry into the 2024 Credit Agreement in April 2024 did not affect our interest rate swap agreements, including their designation as cash flow hedges, as the 2024 Credit Agreement has substantially the same critical terms as the 2020 Credit Agreement. As of September 30, 2025 and December 31, 2024, the aggregate notional values of the interest rate swaps were $700.0 million. All of the contracts have maturities on or before October 2028.</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have entered into foreign currency forward contracts to hedge revenues denominated in the Canadian Dollar ("CAD") against changes in the exchange rate with the United States Dollar ("USD"). We designated each of these foreign currency forward contracts as cash flow hedges at the inception of the contracts. As of September 30, 2025 and December 31, 2024, the aggregate notional values of the foreign currency forward contracts designated as cash flow hedges that we held to buy USD in exchange for Canadian Dollars were $34.8 million CAD and $32.8 million CAD, respectively. All of the contracts have maturities of 12 months or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91540"/>
                <wp:effectExtent l="0" t="0" r="0" b="0"/>
                <wp:wrapNone/>
                <wp:docPr id="47" name="Frame1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33"/>
                                                <a:stretch>
                                                  <a:fillRect/>
                                                </a:stretch>
                                              </pic:blipFill>
                                              <pic:spPr bwMode="auto">
                                                <a:xfrm>
                                                  <a:off x="0" y="0"/>
                                                  <a:ext cx="733425" cy="190500"/>
                                                </a:xfrm>
                                                <a:prstGeom prst="rect">
                                                  <a:avLst/>
                                                </a:prstGeom>
                                              </pic:spPr>
                                            </pic:pic>
                                          </a:graphicData>
                                        </a:graphic>
                                      </wp:inline>
                                    </w:drawing>
                                  </w:r>
                                  <w:bookmarkStart w:id="31" w:name="i-18"/>
                                  <w:bookmarkEnd w:id="3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8" descr=""/>
                                          <pic:cNvPicPr>
                                            <a:picLocks noChangeAspect="1" noChangeArrowheads="1"/>
                                          </pic:cNvPicPr>
                                        </pic:nvPicPr>
                                        <pic:blipFill>
                                          <a:blip r:embed="rId34"/>
                                          <a:stretch>
                                            <a:fillRect/>
                                          </a:stretch>
                                        </pic:blipFill>
                                        <pic:spPr bwMode="auto">
                                          <a:xfrm>
                                            <a:off x="0" y="0"/>
                                            <a:ext cx="733425" cy="190500"/>
                                          </a:xfrm>
                                          <a:prstGeom prst="rect">
                                            <a:avLst/>
                                          </a:prstGeom>
                                        </pic:spPr>
                                      </pic:pic>
                                    </a:graphicData>
                                  </a:graphic>
                                </wp:inline>
                              </w:drawing>
                            </w:r>
                            <w:bookmarkStart w:id="32" w:name="i-18"/>
                            <w:bookmarkEnd w:id="3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Net investment hedges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entered into foreign currency forward contracts to hedge a portion of the foreign currency exposure that arises on translation of our investments denominated in British Pounds ("GBP") into USD. We designated each of these foreign currency forward contracts as net investment hedges at the inception of the contracts. As of September 30, 2025 and December 31, 2024, the aggregate notional values of the foreign currency forward contracts designated as net investment hedges to reduce the volatility of the U.S. dollar value of a portion of our GBP-denominated investments was £12.2 million and £12.9 million, respectively.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fair values of our derivative instruments were as follows as of:</w:t>
      </w:r>
    </w:p>
    <w:tbl>
      <w:tblPr>
        <w:tblW w:w="10205" w:type="dxa"/>
        <w:jc w:val="left"/>
        <w:tblInd w:w="0" w:type="dxa"/>
        <w:tblLayout w:type="fixed"/>
        <w:tblCellMar>
          <w:top w:w="28" w:type="dxa"/>
          <w:left w:w="28" w:type="dxa"/>
          <w:bottom w:w="28" w:type="dxa"/>
          <w:right w:w="28" w:type="dxa"/>
        </w:tblCellMar>
      </w:tblPr>
      <w:tblGrid>
        <w:gridCol w:w="1089"/>
        <w:gridCol w:w="723"/>
        <w:gridCol w:w="725"/>
        <w:gridCol w:w="525"/>
        <w:gridCol w:w="392"/>
        <w:gridCol w:w="393"/>
        <w:gridCol w:w="304"/>
        <w:gridCol w:w="710"/>
        <w:gridCol w:w="148"/>
        <w:gridCol w:w="234"/>
        <w:gridCol w:w="855"/>
        <w:gridCol w:w="112"/>
        <w:gridCol w:w="109"/>
        <w:gridCol w:w="109"/>
        <w:gridCol w:w="109"/>
        <w:gridCol w:w="542"/>
        <w:gridCol w:w="409"/>
        <w:gridCol w:w="410"/>
        <w:gridCol w:w="258"/>
        <w:gridCol w:w="788"/>
        <w:gridCol w:w="117"/>
        <w:gridCol w:w="325"/>
        <w:gridCol w:w="585"/>
        <w:gridCol w:w="234"/>
      </w:tblGrid>
      <w:tr>
        <w:trPr/>
        <w:tc>
          <w:tcPr>
            <w:tcW w:w="108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53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Asset derivatives</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Liability derivatives</w:t>
            </w:r>
          </w:p>
        </w:tc>
      </w:tr>
      <w:tr>
        <w:trPr/>
        <w:tc>
          <w:tcPr>
            <w:tcW w:w="253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31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Balance sheet location</w:t>
            </w:r>
          </w:p>
        </w:tc>
        <w:tc>
          <w:tcPr>
            <w:tcW w:w="116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September 30,</w:t>
              <w:br/>
              <w:t>2025</w:t>
            </w:r>
          </w:p>
        </w:tc>
        <w:tc>
          <w:tcPr>
            <w:tcW w:w="120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Balance sheet location</w:t>
            </w:r>
          </w:p>
        </w:tc>
        <w:tc>
          <w:tcPr>
            <w:tcW w:w="116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September 30,</w:t>
              <w:br/>
              <w:t>2025</w:t>
            </w:r>
          </w:p>
        </w:tc>
        <w:tc>
          <w:tcPr>
            <w:tcW w:w="1144"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253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Derivative instruments designated as hedging instruments:</w:t>
            </w:r>
          </w:p>
        </w:tc>
        <w:tc>
          <w:tcPr>
            <w:tcW w:w="131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Interest rate swaps, current portion</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Prepaid expenses</w:t>
              <w:br/>
              <w:t>and other current assets</w:t>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Accrued expenses</w:t>
              <w:br/>
              <w:t>and other current liabilities</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 current portion</w:t>
            </w:r>
          </w:p>
        </w:tc>
        <w:tc>
          <w:tcPr>
            <w:tcW w:w="13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Prepaid expenses</w:t>
            </w:r>
          </w:p>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and other current assets</w:t>
            </w:r>
          </w:p>
        </w:tc>
        <w:tc>
          <w:tcPr>
            <w:tcW w:w="304"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1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44 </w:t>
            </w:r>
          </w:p>
        </w:tc>
        <w:tc>
          <w:tcPr>
            <w:tcW w:w="14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5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1,288 </w:t>
            </w:r>
          </w:p>
        </w:tc>
        <w:tc>
          <w:tcPr>
            <w:tcW w:w="11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Accrued expenses</w:t>
              <w:br/>
              <w:t>and other</w:t>
              <w:br/>
              <w:t>current liabilities</w:t>
            </w:r>
          </w:p>
        </w:tc>
        <w:tc>
          <w:tcPr>
            <w:tcW w:w="25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8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174 </w:t>
            </w:r>
          </w:p>
        </w:tc>
        <w:tc>
          <w:tcPr>
            <w:tcW w:w="11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58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3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 long-term</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Other assets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9,262 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Other liabilities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3,112 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Total derivative instruments designated as hedging instruments</w:t>
            </w:r>
          </w:p>
        </w:tc>
        <w:tc>
          <w:tcPr>
            <w:tcW w:w="1310"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1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926 </w:t>
            </w:r>
          </w:p>
        </w:tc>
        <w:tc>
          <w:tcPr>
            <w:tcW w:w="14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5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10,550 </w:t>
            </w:r>
          </w:p>
        </w:tc>
        <w:tc>
          <w:tcPr>
            <w:tcW w:w="11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8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3,286 </w:t>
            </w:r>
          </w:p>
        </w:tc>
        <w:tc>
          <w:tcPr>
            <w:tcW w:w="11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58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23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effects of derivative instruments in cash flow and net investment hedging relationships were as follows:</w:t>
      </w:r>
    </w:p>
    <w:tbl>
      <w:tblPr>
        <w:tblW w:w="10205" w:type="dxa"/>
        <w:jc w:val="left"/>
        <w:tblInd w:w="0" w:type="dxa"/>
        <w:tblLayout w:type="fixed"/>
        <w:tblCellMar>
          <w:top w:w="28" w:type="dxa"/>
          <w:left w:w="28" w:type="dxa"/>
          <w:bottom w:w="28" w:type="dxa"/>
          <w:right w:w="28" w:type="dxa"/>
        </w:tblCellMar>
      </w:tblPr>
      <w:tblGrid>
        <w:gridCol w:w="1000"/>
        <w:gridCol w:w="781"/>
        <w:gridCol w:w="783"/>
        <w:gridCol w:w="409"/>
        <w:gridCol w:w="1309"/>
        <w:gridCol w:w="198"/>
        <w:gridCol w:w="577"/>
        <w:gridCol w:w="577"/>
        <w:gridCol w:w="578"/>
        <w:gridCol w:w="392"/>
        <w:gridCol w:w="1215"/>
        <w:gridCol w:w="166"/>
        <w:gridCol w:w="137"/>
        <w:gridCol w:w="137"/>
        <w:gridCol w:w="137"/>
        <w:gridCol w:w="360"/>
        <w:gridCol w:w="1228"/>
        <w:gridCol w:w="221"/>
      </w:tblGrid>
      <w:tr>
        <w:trPr/>
        <w:tc>
          <w:tcPr>
            <w:tcW w:w="100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gain recognized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in accumulated other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comprehensive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as of</w:t>
            </w:r>
          </w:p>
        </w:tc>
        <w:tc>
          <w:tcPr>
            <w:tcW w:w="1732"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Location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of (loss) gain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reclassified from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accumulated other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comprehensive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into</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income</w:t>
            </w:r>
          </w:p>
        </w:tc>
        <w:tc>
          <w:tcPr>
            <w:tcW w:w="3993" w:type="dxa"/>
            <w:gridSpan w:val="9"/>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Gain reclassified from accumulated</w:t>
            </w:r>
          </w:p>
          <w:p>
            <w:pPr>
              <w:pStyle w:val="TableContents"/>
              <w:bidi w:val="0"/>
              <w:spacing w:lineRule="auto" w:line="288" w:before="0" w:after="0"/>
              <w:jc w:val="right"/>
              <w:rPr>
                <w:color w:val="FFFFFF"/>
              </w:rPr>
            </w:pPr>
            <w:r>
              <w:rPr>
                <w:color w:val="FFFFFF"/>
              </w:rPr>
              <w:t> </w:t>
            </w:r>
            <w:r>
              <w:rPr>
                <w:rFonts w:ascii="sans-serif" w:hAnsi="sans-serif"/>
                <w:b/>
                <w:color w:val="FFFFFF"/>
                <w:sz w:val="16"/>
              </w:rPr>
              <w:t>other comprehensive loss into income</w:t>
            </w:r>
          </w:p>
        </w:tc>
      </w:tr>
      <w:tr>
        <w:trPr/>
        <w:tc>
          <w:tcPr>
            <w:tcW w:w="256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91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September 30,</w:t>
              <w:br/>
              <w:t>2025</w:t>
            </w:r>
          </w:p>
        </w:tc>
        <w:tc>
          <w:tcPr>
            <w:tcW w:w="1732"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77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 2025</w:t>
            </w:r>
          </w:p>
        </w:tc>
        <w:tc>
          <w:tcPr>
            <w:tcW w:w="411"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Nine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 2025</w:t>
            </w:r>
          </w:p>
        </w:tc>
      </w:tr>
      <w:tr>
        <w:trPr/>
        <w:tc>
          <w:tcPr>
            <w:tcW w:w="256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Cash Flow Hedges</w:t>
            </w:r>
          </w:p>
        </w:tc>
        <w:tc>
          <w:tcPr>
            <w:tcW w:w="191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Interest rate swaps</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Interest expense</w:t>
            </w:r>
          </w:p>
        </w:tc>
        <w:tc>
          <w:tcPr>
            <w:tcW w:w="3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3,986 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0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30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(63)</w:t>
            </w:r>
          </w:p>
        </w:tc>
        <w:tc>
          <w:tcPr>
            <w:tcW w:w="19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Revenue</w:t>
            </w:r>
          </w:p>
        </w:tc>
        <w:tc>
          <w:tcPr>
            <w:tcW w:w="392"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1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186 </w:t>
            </w:r>
          </w:p>
        </w:tc>
        <w:tc>
          <w:tcPr>
            <w:tcW w:w="16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2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620 </w:t>
            </w:r>
          </w:p>
        </w:tc>
        <w:tc>
          <w:tcPr>
            <w:tcW w:w="22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Net Investment Hedges</w:t>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0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30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(67)</w:t>
            </w:r>
          </w:p>
        </w:tc>
        <w:tc>
          <w:tcPr>
            <w:tcW w:w="19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1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2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September 30,</w:t>
              <w:br/>
              <w:t>2024</w:t>
            </w:r>
          </w:p>
        </w:tc>
        <w:tc>
          <w:tcPr>
            <w:tcW w:w="1732"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 2024</w:t>
            </w:r>
          </w:p>
        </w:tc>
        <w:tc>
          <w:tcPr>
            <w:tcW w:w="411"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Nine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 2024</w:t>
            </w:r>
          </w:p>
        </w:tc>
      </w:tr>
      <w:tr>
        <w:trPr/>
        <w:tc>
          <w:tcPr>
            <w:tcW w:w="256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Cash Flow Hedges</w:t>
            </w:r>
          </w:p>
        </w:tc>
        <w:tc>
          <w:tcPr>
            <w:tcW w:w="191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Interest rate swaps</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(3,818)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Interest expense</w:t>
            </w:r>
          </w:p>
        </w:tc>
        <w:tc>
          <w:tcPr>
            <w:tcW w:w="3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5,653 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16,582 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0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30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21 </w:t>
            </w:r>
          </w:p>
        </w:tc>
        <w:tc>
          <w:tcPr>
            <w:tcW w:w="19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Revenue</w:t>
            </w:r>
          </w:p>
        </w:tc>
        <w:tc>
          <w:tcPr>
            <w:tcW w:w="392"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1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87 </w:t>
            </w:r>
          </w:p>
        </w:tc>
        <w:tc>
          <w:tcPr>
            <w:tcW w:w="16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2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250 </w:t>
            </w:r>
          </w:p>
        </w:tc>
        <w:tc>
          <w:tcPr>
            <w:tcW w:w="22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Net Investment Hedges</w:t>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3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(444)</w:t>
            </w:r>
          </w:p>
        </w:tc>
        <w:tc>
          <w:tcPr>
            <w:tcW w:w="198"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2"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1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16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28"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221"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91540"/>
                <wp:effectExtent l="0" t="0" r="0" b="0"/>
                <wp:wrapNone/>
                <wp:docPr id="50" name="Frame1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9" descr=""/>
                                                <pic:cNvPicPr>
                                                  <a:picLocks noChangeAspect="1" noChangeArrowheads="1"/>
                                                </pic:cNvPicPr>
                                              </pic:nvPicPr>
                                              <pic:blipFill>
                                                <a:blip r:embed="rId35"/>
                                                <a:stretch>
                                                  <a:fillRect/>
                                                </a:stretch>
                                              </pic:blipFill>
                                              <pic:spPr bwMode="auto">
                                                <a:xfrm>
                                                  <a:off x="0" y="0"/>
                                                  <a:ext cx="723900" cy="190500"/>
                                                </a:xfrm>
                                                <a:prstGeom prst="rect">
                                                  <a:avLst/>
                                                </a:prstGeom>
                                              </pic:spPr>
                                            </pic:pic>
                                          </a:graphicData>
                                        </a:graphic>
                                      </wp:inline>
                                    </w:drawing>
                                  </w:r>
                                  <w:bookmarkStart w:id="33" w:name="i-19"/>
                                  <w:bookmarkEnd w:id="33"/>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36"/>
                                          <a:stretch>
                                            <a:fillRect/>
                                          </a:stretch>
                                        </pic:blipFill>
                                        <pic:spPr bwMode="auto">
                                          <a:xfrm>
                                            <a:off x="0" y="0"/>
                                            <a:ext cx="723900" cy="190500"/>
                                          </a:xfrm>
                                          <a:prstGeom prst="rect">
                                            <a:avLst/>
                                          </a:prstGeom>
                                        </pic:spPr>
                                      </pic:pic>
                                    </a:graphicData>
                                  </a:graphic>
                                </wp:inline>
                              </w:drawing>
                            </w:r>
                            <w:bookmarkStart w:id="34" w:name="i-19"/>
                            <w:bookmarkEnd w:id="34"/>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Excluding net investment hedges,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and related tax effects are reclassified from accumulated other comprehensive income (loss) to current earnings. For net investment hedges, changes in the fair value measurements of the derivative instruments and the related income tax expense or benefit are reflected as adjustments to translation adjustment, a component of accumulated other comprehensive income (loss), and recognized in earnings only when the hedged GBP investment is liquidated. The estimated accumulated other comprehensive income as of September 30, 2025 that is expected to be reclassified into earnings within the next twelve months is insignificant. There were no ineffective portions of our interest rate swap or foreign currency forward derivatives during the nine months ended September 30, 2025 and 2024. See Note 10 to these unaudited, condensed consolidated financial statements for a summary of the changes in accumulated other comprehensive income (loss) by component. We classify cash flows related to derivative instruments as operating activities in the unaudited,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80" w:type="dxa"/>
        <w:jc w:val="left"/>
        <w:tblInd w:w="0" w:type="dxa"/>
        <w:tblLayout w:type="fixed"/>
        <w:tblCellMar>
          <w:top w:w="28" w:type="dxa"/>
          <w:left w:w="28" w:type="dxa"/>
          <w:bottom w:w="28" w:type="dxa"/>
          <w:right w:w="28" w:type="dxa"/>
        </w:tblCellMar>
      </w:tblPr>
      <w:tblGrid>
        <w:gridCol w:w="1594"/>
        <w:gridCol w:w="1402"/>
        <w:gridCol w:w="1984"/>
      </w:tblGrid>
      <w:tr>
        <w:trPr/>
        <w:tc>
          <w:tcPr>
            <w:tcW w:w="159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8. Commitments and Contingencies</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Leases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operating leases for corporate offices and subleased offices. As of September 30, 2025, we did not have any operating leases that had not yet commenced.</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Release from Washington, DC lease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In February 2025, we made a one-time cash release payment of $28.0 million to the lessor in connection with a release from our lease for office space in Washington, DC (which was acquired as part of our acquisition of EVERFI in December 2021). Due to our remote-first workforce strategy, we had not used the office space since February 2023 and had subleased a portion of the space. During the nine months ended September 30, 2025, we recorded a loss on lease termination of $24.3 million in general and administrative expense. </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The following table summarizes the components of our lease expense:</w:t>
      </w:r>
    </w:p>
    <w:tbl>
      <w:tblPr>
        <w:tblW w:w="6817" w:type="dxa"/>
        <w:jc w:val="left"/>
        <w:tblInd w:w="0" w:type="dxa"/>
        <w:tblLayout w:type="fixed"/>
        <w:tblCellMar>
          <w:top w:w="28" w:type="dxa"/>
          <w:left w:w="28" w:type="dxa"/>
          <w:bottom w:w="28" w:type="dxa"/>
          <w:right w:w="28" w:type="dxa"/>
        </w:tblCellMar>
      </w:tblPr>
      <w:tblGrid>
        <w:gridCol w:w="847"/>
        <w:gridCol w:w="745"/>
        <w:gridCol w:w="747"/>
        <w:gridCol w:w="240"/>
        <w:gridCol w:w="560"/>
        <w:gridCol w:w="116"/>
        <w:gridCol w:w="240"/>
        <w:gridCol w:w="752"/>
        <w:gridCol w:w="116"/>
        <w:gridCol w:w="109"/>
        <w:gridCol w:w="109"/>
        <w:gridCol w:w="109"/>
        <w:gridCol w:w="226"/>
        <w:gridCol w:w="706"/>
        <w:gridCol w:w="109"/>
        <w:gridCol w:w="226"/>
        <w:gridCol w:w="70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Nine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r>
      <w:tr>
        <w:trPr/>
        <w:tc>
          <w:tcPr>
            <w:tcW w:w="233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91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10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08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233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Operating lease cost</w:t>
            </w:r>
            <w:r>
              <w:rPr>
                <w:rFonts w:ascii="sans-serif" w:hAnsi="sans-serif"/>
                <w:b w:val="false"/>
                <w:color w:val="51555C"/>
                <w:sz w:val="13"/>
              </w:rPr>
              <w:t>(1)</w:t>
            </w:r>
          </w:p>
        </w:tc>
        <w:tc>
          <w:tcPr>
            <w:tcW w:w="2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56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450 </w:t>
            </w:r>
          </w:p>
        </w:tc>
        <w:tc>
          <w:tcPr>
            <w:tcW w:w="11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5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1,417 </w:t>
            </w:r>
          </w:p>
        </w:tc>
        <w:tc>
          <w:tcPr>
            <w:tcW w:w="11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1,390 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5,028 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Variable lease cost</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Sublease income</w:t>
            </w:r>
          </w:p>
        </w:tc>
        <w:tc>
          <w:tcPr>
            <w:tcW w:w="80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(244)</w:t>
            </w:r>
          </w:p>
        </w:tc>
        <w:tc>
          <w:tcPr>
            <w:tcW w:w="11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(914)</w:t>
            </w:r>
          </w:p>
        </w:tc>
        <w:tc>
          <w:tcPr>
            <w:tcW w:w="11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(1,413)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(2,518)</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Net lease cost</w:t>
            </w:r>
          </w:p>
        </w:tc>
        <w:tc>
          <w:tcPr>
            <w:tcW w:w="24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56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424 </w:t>
            </w:r>
          </w:p>
        </w:tc>
        <w:tc>
          <w:tcPr>
            <w:tcW w:w="1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5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774 </w:t>
            </w:r>
          </w:p>
        </w:tc>
        <w:tc>
          <w:tcPr>
            <w:tcW w:w="1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547 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3,393 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(1)Includes short-term lease costs, which were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91540"/>
                <wp:effectExtent l="0" t="0" r="0" b="0"/>
                <wp:wrapNone/>
                <wp:docPr id="53" name="Frame1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0" descr=""/>
                                                <pic:cNvPicPr>
                                                  <a:picLocks noChangeAspect="1" noChangeArrowheads="1"/>
                                                </pic:cNvPicPr>
                                              </pic:nvPicPr>
                                              <pic:blipFill>
                                                <a:blip r:embed="rId37"/>
                                                <a:stretch>
                                                  <a:fillRect/>
                                                </a:stretch>
                                              </pic:blipFill>
                                              <pic:spPr bwMode="auto">
                                                <a:xfrm>
                                                  <a:off x="0" y="0"/>
                                                  <a:ext cx="733425" cy="190500"/>
                                                </a:xfrm>
                                                <a:prstGeom prst="rect">
                                                  <a:avLst/>
                                                </a:prstGeom>
                                              </pic:spPr>
                                            </pic:pic>
                                          </a:graphicData>
                                        </a:graphic>
                                      </wp:inline>
                                    </w:drawing>
                                  </w:r>
                                  <w:bookmarkStart w:id="35" w:name="i-20"/>
                                  <w:bookmarkEnd w:id="3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38"/>
                                          <a:stretch>
                                            <a:fillRect/>
                                          </a:stretch>
                                        </pic:blipFill>
                                        <pic:spPr bwMode="auto">
                                          <a:xfrm>
                                            <a:off x="0" y="0"/>
                                            <a:ext cx="733425" cy="190500"/>
                                          </a:xfrm>
                                          <a:prstGeom prst="rect">
                                            <a:avLst/>
                                          </a:prstGeom>
                                        </pic:spPr>
                                      </pic:pic>
                                    </a:graphicData>
                                  </a:graphic>
                                </wp:inline>
                              </w:drawing>
                            </w:r>
                            <w:bookmarkStart w:id="36" w:name="i-20"/>
                            <w:bookmarkEnd w:id="3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Maturities of our operating lease liabilities as of September 30, 2025 were as follows:</w:t>
      </w:r>
    </w:p>
    <w:tbl>
      <w:tblPr>
        <w:tblW w:w="5467" w:type="dxa"/>
        <w:jc w:val="left"/>
        <w:tblInd w:w="0" w:type="dxa"/>
        <w:tblLayout w:type="fixed"/>
        <w:tblCellMar>
          <w:top w:w="28" w:type="dxa"/>
          <w:left w:w="28" w:type="dxa"/>
          <w:bottom w:w="28" w:type="dxa"/>
          <w:right w:w="28" w:type="dxa"/>
        </w:tblCellMar>
      </w:tblPr>
      <w:tblGrid>
        <w:gridCol w:w="1281"/>
        <w:gridCol w:w="1128"/>
        <w:gridCol w:w="1131"/>
        <w:gridCol w:w="361"/>
        <w:gridCol w:w="1129"/>
        <w:gridCol w:w="174"/>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Years ending December 31,</w:t>
              <w:br/>
              <w:t>(dollars in thousands)</w:t>
            </w:r>
          </w:p>
        </w:tc>
        <w:tc>
          <w:tcPr>
            <w:tcW w:w="166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2025 - remaining</w:t>
            </w:r>
          </w:p>
        </w:tc>
        <w:tc>
          <w:tcPr>
            <w:tcW w:w="36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2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517 </w:t>
            </w:r>
          </w:p>
        </w:tc>
        <w:tc>
          <w:tcPr>
            <w:tcW w:w="17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2026 </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1,928 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2027 </w:t>
            </w:r>
          </w:p>
        </w:tc>
        <w:tc>
          <w:tcPr>
            <w:tcW w:w="149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1,898 </w:t>
            </w:r>
          </w:p>
        </w:tc>
        <w:tc>
          <w:tcPr>
            <w:tcW w:w="17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2028 </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1,729 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2029 </w:t>
            </w:r>
          </w:p>
        </w:tc>
        <w:tc>
          <w:tcPr>
            <w:tcW w:w="149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1,019 </w:t>
            </w:r>
          </w:p>
        </w:tc>
        <w:tc>
          <w:tcPr>
            <w:tcW w:w="17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Thereafter</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509 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lease payments</w:t>
            </w:r>
          </w:p>
        </w:tc>
        <w:tc>
          <w:tcPr>
            <w:tcW w:w="1490"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7,600 </w:t>
            </w:r>
          </w:p>
        </w:tc>
        <w:tc>
          <w:tcPr>
            <w:tcW w:w="17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Less: Amount representing interest</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(983)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Present value of future payments</w:t>
            </w:r>
          </w:p>
        </w:tc>
        <w:tc>
          <w:tcPr>
            <w:tcW w:w="36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2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6,617 </w:t>
            </w:r>
          </w:p>
        </w:tc>
        <w:tc>
          <w:tcPr>
            <w:tcW w:w="17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Other commitments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term loans under the 2024 Credit Facilities require periodic principal payments. The balance of the term loans and any amounts drawn on the revolving credit loans are due upon maturity of the 2024 Credit Facilities in April 2029. The Real Estate Loans also require periodic principal payments and the balance of the Real Estate Loans are due upon maturity in April 2038.</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contractual obligations for third-party technology used in our solutions and for other services we purchase as part of our normal operations. In certain cases, these arrangements require a minimum annual purchase commitment by us. As of September 30, 2025, the remaining aggregate minimum purchase commitment under these arrangements was approximately $157.8 million through 2030.</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Solution and service indemnifications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the ordinary course of business, we provide certain indemnifications of varying scope to customers against claims of intellectual property infringement made by third parties arising from the use of our solutions or services. We have not identified any losses that might be covered by these indemnifications.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Legal proceedings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subject to legal proceedings and claims that arise in the ordinary course of business, as well as certain other non-ordinary course proceedings, claims and investigations,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91540"/>
                <wp:effectExtent l="0" t="0" r="0" b="0"/>
                <wp:wrapNone/>
                <wp:docPr id="56" name="Frame1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1" descr=""/>
                                                <pic:cNvPicPr>
                                                  <a:picLocks noChangeAspect="1" noChangeArrowheads="1"/>
                                                </pic:cNvPicPr>
                                              </pic:nvPicPr>
                                              <pic:blipFill>
                                                <a:blip r:embed="rId39"/>
                                                <a:stretch>
                                                  <a:fillRect/>
                                                </a:stretch>
                                              </pic:blipFill>
                                              <pic:spPr bwMode="auto">
                                                <a:xfrm>
                                                  <a:off x="0" y="0"/>
                                                  <a:ext cx="723900" cy="190500"/>
                                                </a:xfrm>
                                                <a:prstGeom prst="rect">
                                                  <a:avLst/>
                                                </a:prstGeom>
                                              </pic:spPr>
                                            </pic:pic>
                                          </a:graphicData>
                                        </a:graphic>
                                      </wp:inline>
                                    </w:drawing>
                                  </w:r>
                                  <w:bookmarkStart w:id="37" w:name="i-21"/>
                                  <w:bookmarkEnd w:id="37"/>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 descr=""/>
                                          <pic:cNvPicPr>
                                            <a:picLocks noChangeAspect="1" noChangeArrowheads="1"/>
                                          </pic:cNvPicPr>
                                        </pic:nvPicPr>
                                        <pic:blipFill>
                                          <a:blip r:embed="rId40"/>
                                          <a:stretch>
                                            <a:fillRect/>
                                          </a:stretch>
                                        </pic:blipFill>
                                        <pic:spPr bwMode="auto">
                                          <a:xfrm>
                                            <a:off x="0" y="0"/>
                                            <a:ext cx="723900" cy="190500"/>
                                          </a:xfrm>
                                          <a:prstGeom prst="rect">
                                            <a:avLst/>
                                          </a:prstGeom>
                                        </pic:spPr>
                                      </pic:pic>
                                    </a:graphicData>
                                  </a:graphic>
                                </wp:inline>
                              </w:drawing>
                            </w:r>
                            <w:bookmarkStart w:id="38" w:name="i-21"/>
                            <w:bookmarkEnd w:id="38"/>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Security incident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previously disclosed, we are subject to risks and uncertainties as a result of a ransomware attack against us in May 2020 in which a cybercriminal removed a copy of a subset of data from our self-hosted environment (the "Security Incident"). For the three months ended September 30, 2025, we incurred insignificant net pre-tax expenses related to the Security Incident for ongoing legal fees. For the nine months ended September 30, 2025, we incurred net pre-tax expenses of $2.8 million related to the Security Incident for ongoing legal fees and recorded accruals for loss contingencies of $1.1 million. During the nine months ended September 30, 2025, we had net cash outlays of $4.3 million related to the Security Incident for ongoing legal fees and $1.8 million paid during the third quarter of 2025 related to previously recorded accruals for loss contingencies related to the Security Incident. As of September 30, 2025, we do not have any recorded liabilities for loss contingencies related to the Security Incident.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the three months ended September 30, 2025, we paid an insignificant settlement amount to the plaintiffs in the previously disclosed multi-district litigation filed in the United States District Court of South Carolina. On September 22, 2025, that court issued an order definitively closing that case. As a result, all customer constituent class actions related to the Security Incident are now resolved and closed. In addition, as previously reported, insurance companies representing various customers’ interests through subrogation claims contacted us, and certain insurance companies filed subrogation claims in court. A subset of insurance carriers has appealed a dismissal of their claims to the Delaware Supreme Court. These appeals are the only customer claims currently pending. For more information about the completed government investigations and related actions, see Note 11 to our audited consolidated financial statements contained in our Annual Report on Form 10-K filed with the SEC on February 21, 2025 and Note 8 to our unaudited, condensed consolidated financial statements contained in our Quarterly Report on Form 10-Q filed with the SEC on 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70" w:type="dxa"/>
        <w:jc w:val="left"/>
        <w:tblInd w:w="0" w:type="dxa"/>
        <w:tblLayout w:type="fixed"/>
        <w:tblCellMar>
          <w:top w:w="28" w:type="dxa"/>
          <w:left w:w="28" w:type="dxa"/>
          <w:bottom w:w="28" w:type="dxa"/>
          <w:right w:w="28" w:type="dxa"/>
        </w:tblCellMar>
      </w:tblPr>
      <w:tblGrid>
        <w:gridCol w:w="758"/>
        <w:gridCol w:w="667"/>
        <w:gridCol w:w="945"/>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9. Income Taxes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income tax (benefit) provision and effective income tax rates, including the effects of period-specific events, were:</w:t>
      </w:r>
    </w:p>
    <w:tbl>
      <w:tblPr>
        <w:tblW w:w="8633" w:type="dxa"/>
        <w:jc w:val="left"/>
        <w:tblInd w:w="0" w:type="dxa"/>
        <w:tblLayout w:type="fixed"/>
        <w:tblCellMar>
          <w:top w:w="28" w:type="dxa"/>
          <w:left w:w="28" w:type="dxa"/>
          <w:bottom w:w="28" w:type="dxa"/>
          <w:right w:w="28" w:type="dxa"/>
        </w:tblCellMar>
      </w:tblPr>
      <w:tblGrid>
        <w:gridCol w:w="1108"/>
        <w:gridCol w:w="974"/>
        <w:gridCol w:w="977"/>
        <w:gridCol w:w="226"/>
        <w:gridCol w:w="796"/>
        <w:gridCol w:w="286"/>
        <w:gridCol w:w="226"/>
        <w:gridCol w:w="826"/>
        <w:gridCol w:w="286"/>
        <w:gridCol w:w="109"/>
        <w:gridCol w:w="109"/>
        <w:gridCol w:w="109"/>
        <w:gridCol w:w="226"/>
        <w:gridCol w:w="706"/>
        <w:gridCol w:w="286"/>
        <w:gridCol w:w="226"/>
        <w:gridCol w:w="826"/>
        <w:gridCol w:w="331"/>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2646"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Nine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r>
      <w:tr>
        <w:trPr/>
        <w:tc>
          <w:tcPr>
            <w:tcW w:w="305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30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33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38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305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Income tax (benefit) provision</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(6,448)</w:t>
            </w:r>
          </w:p>
        </w:tc>
        <w:tc>
          <w:tcPr>
            <w:tcW w:w="2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11,714 </w:t>
            </w:r>
          </w:p>
        </w:tc>
        <w:tc>
          <w:tcPr>
            <w:tcW w:w="2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7,669 </w:t>
            </w:r>
          </w:p>
        </w:tc>
        <w:tc>
          <w:tcPr>
            <w:tcW w:w="2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18,568 </w:t>
            </w:r>
          </w:p>
        </w:tc>
        <w:tc>
          <w:tcPr>
            <w:tcW w:w="33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Effective income tax rate</w:t>
            </w:r>
          </w:p>
        </w:tc>
        <w:tc>
          <w:tcPr>
            <w:tcW w:w="102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(15.7)</w:t>
            </w:r>
          </w:p>
        </w:tc>
        <w:tc>
          <w:tcPr>
            <w:tcW w:w="28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105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39.0 </w:t>
            </w:r>
          </w:p>
        </w:tc>
        <w:tc>
          <w:tcPr>
            <w:tcW w:w="28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8.9 </w:t>
            </w:r>
          </w:p>
        </w:tc>
        <w:tc>
          <w:tcPr>
            <w:tcW w:w="28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105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28.4 </w:t>
            </w:r>
          </w:p>
        </w:tc>
        <w:tc>
          <w:tcPr>
            <w:tcW w:w="331"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decreases in our effective income tax rate for the three and nine months ended September 30, 2025 when compared to the same periods in 2024 were primarily due to the favorable impact of a valuation allowance reduction recorded against our net U.S. deferred tax assets.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One Big Beautiful Bill Act (“OBBBA”) was signed into law. The legislation makes permanent certain provisions of the 2017 Tax Cuts and Jobs Act, including 100% bonus depreciation and restoring immediate expensing of research and development expenditures for activities performed within the United States. Under ASC 740, we recognized the impact of the first phase of the law in the third quarter of 2025. As a result, we recorded a reduction of our estimated annual effective tax rate from 31.4% reported in the second quarter of 2025 to 8.9%, primarily due to the permanent extension of research and development expensing. The impacts of OBBBA on our deferred tax assets resulted in a net downward adjustment of the valuation allowance. Based on our analysis, no further material impact is expected to the tax provision for fiscal year 2025. We currently expect a material impact from future phases in fiscal years 2026 and 2027, but not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91540"/>
                <wp:effectExtent l="0" t="0" r="0" b="0"/>
                <wp:wrapNone/>
                <wp:docPr id="59" name="Frame2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 descr=""/>
                                                <pic:cNvPicPr>
                                                  <a:picLocks noChangeAspect="1" noChangeArrowheads="1"/>
                                                </pic:cNvPicPr>
                                              </pic:nvPicPr>
                                              <pic:blipFill>
                                                <a:blip r:embed="rId41"/>
                                                <a:stretch>
                                                  <a:fillRect/>
                                                </a:stretch>
                                              </pic:blipFill>
                                              <pic:spPr bwMode="auto">
                                                <a:xfrm>
                                                  <a:off x="0" y="0"/>
                                                  <a:ext cx="733425" cy="190500"/>
                                                </a:xfrm>
                                                <a:prstGeom prst="rect">
                                                  <a:avLst/>
                                                </a:prstGeom>
                                              </pic:spPr>
                                            </pic:pic>
                                          </a:graphicData>
                                        </a:graphic>
                                      </wp:inline>
                                    </w:drawing>
                                  </w:r>
                                  <w:bookmarkStart w:id="39" w:name="i-22"/>
                                  <w:bookmarkEnd w:id="3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2" descr=""/>
                                          <pic:cNvPicPr>
                                            <a:picLocks noChangeAspect="1" noChangeArrowheads="1"/>
                                          </pic:cNvPicPr>
                                        </pic:nvPicPr>
                                        <pic:blipFill>
                                          <a:blip r:embed="rId42"/>
                                          <a:stretch>
                                            <a:fillRect/>
                                          </a:stretch>
                                        </pic:blipFill>
                                        <pic:spPr bwMode="auto">
                                          <a:xfrm>
                                            <a:off x="0" y="0"/>
                                            <a:ext cx="733425" cy="190500"/>
                                          </a:xfrm>
                                          <a:prstGeom prst="rect">
                                            <a:avLst/>
                                          </a:prstGeom>
                                        </pic:spPr>
                                      </pic:pic>
                                    </a:graphicData>
                                  </a:graphic>
                                </wp:inline>
                              </w:drawing>
                            </w:r>
                            <w:bookmarkStart w:id="40" w:name="i-22"/>
                            <w:bookmarkEnd w:id="4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3450" w:type="dxa"/>
        <w:jc w:val="left"/>
        <w:tblInd w:w="0" w:type="dxa"/>
        <w:tblLayout w:type="fixed"/>
        <w:tblCellMar>
          <w:top w:w="28" w:type="dxa"/>
          <w:left w:w="28" w:type="dxa"/>
          <w:bottom w:w="28" w:type="dxa"/>
          <w:right w:w="28" w:type="dxa"/>
        </w:tblCellMar>
      </w:tblPr>
      <w:tblGrid>
        <w:gridCol w:w="1105"/>
        <w:gridCol w:w="971"/>
        <w:gridCol w:w="1374"/>
      </w:tblGrid>
      <w:tr>
        <w:trPr/>
        <w:tc>
          <w:tcPr>
            <w:tcW w:w="110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10. Stockholders' Equity</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Stock repurchase program</w:t>
      </w:r>
    </w:p>
    <w:p>
      <w:pPr>
        <w:pStyle w:val="TextBody"/>
        <w:bidi w:val="0"/>
        <w:spacing w:lineRule="auto" w:line="288" w:before="180" w:after="283"/>
        <w:jc w:val="both"/>
        <w:rPr/>
      </w:pPr>
      <w:r>
        <w:rPr>
          <w:rFonts w:ascii="sans-serif" w:hAnsi="sans-serif"/>
          <w:b w:val="false"/>
          <w:color w:val="51555C"/>
          <w:sz w:val="20"/>
        </w:rPr>
        <w:t xml:space="preserve">Under our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does not have an expiration date and may be limited, suspended or discontinued at any time without prior notice. Under the 2024 Credit Agreement, we have restrictions on our ability to repurchase shares of our common stock, which are summarized on page </w:t>
      </w:r>
      <w:hyperlink w:anchor="i9f0a17843f2c4b2fa8d7abf2308f75bb_190">
        <w:r>
          <w:rPr>
            <w:rStyle w:val="InternetLink"/>
            <w:rFonts w:ascii="sans-serif" w:hAnsi="sans-serif"/>
            <w:b w:val="false"/>
            <w:strike w:val="false"/>
            <w:dstrike w:val="false"/>
            <w:color w:val="51555C"/>
            <w:sz w:val="20"/>
            <w:u w:val="none"/>
            <w:effect w:val="none"/>
          </w:rPr>
          <w:t>47</w:t>
        </w:r>
      </w:hyperlink>
      <w:r>
        <w:rPr>
          <w:rFonts w:ascii="sans-serif" w:hAnsi="sans-serif"/>
          <w:b w:val="false"/>
          <w:color w:val="51555C"/>
          <w:sz w:val="20"/>
        </w:rPr>
        <w:t xml:space="preserve"> in this report.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account for purchases of treasury stock under the cost method. On July 16, 2024, our Board of Directors reauthorized, expanded and replenished our stock repurchase program by expanding the total capacity under the program to $800.0 million available for repurchases.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three months ended September 30, 2025, we repurchased 459,528 shares for $30.1 million. During the nine months ended September 30, 2025, we repurchased an aggregate of 1,972,550 shares for $130.2 million. The remaining amount available to purchase stock under the approved stock repurchase program was $514.4 million as of September 30, 2025.</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Changes in accumulated other comprehensive (loss) income by component</w:t>
      </w:r>
    </w:p>
    <w:p>
      <w:pPr>
        <w:pStyle w:val="TextBody"/>
        <w:bidi w:val="0"/>
        <w:spacing w:lineRule="auto" w:line="288" w:before="180" w:after="283"/>
        <w:jc w:val="both"/>
        <w:rPr/>
      </w:pPr>
      <w:r>
        <w:rPr>
          <w:rFonts w:ascii="sans-serif" w:hAnsi="sans-serif"/>
          <w:b w:val="false"/>
          <w:color w:val="51555C"/>
          <w:sz w:val="20"/>
        </w:rPr>
        <w:t xml:space="preserve">The changes in accumulated other comprehensive </w:t>
      </w:r>
      <w:r>
        <w:rPr>
          <w:rFonts w:ascii="sans-serif" w:hAnsi="sans-serif"/>
          <w:b/>
          <w:color w:val="51555C"/>
          <w:sz w:val="20"/>
        </w:rPr>
        <w:t>(loss) income</w:t>
      </w:r>
      <w:r>
        <w:rPr>
          <w:color w:val="51555C"/>
        </w:rPr>
        <w:t xml:space="preserve"> </w:t>
      </w:r>
      <w:r>
        <w:rPr>
          <w:rFonts w:ascii="sans-serif" w:hAnsi="sans-serif"/>
          <w:b w:val="false"/>
          <w:color w:val="51555C"/>
          <w:sz w:val="20"/>
        </w:rPr>
        <w:t>by component, consisted of the following:</w:t>
      </w:r>
    </w:p>
    <w:tbl>
      <w:tblPr>
        <w:tblW w:w="10205" w:type="dxa"/>
        <w:jc w:val="left"/>
        <w:tblInd w:w="0" w:type="dxa"/>
        <w:tblLayout w:type="fixed"/>
        <w:tblCellMar>
          <w:top w:w="28" w:type="dxa"/>
          <w:left w:w="28" w:type="dxa"/>
          <w:bottom w:w="28" w:type="dxa"/>
          <w:right w:w="28" w:type="dxa"/>
        </w:tblCellMar>
      </w:tblPr>
      <w:tblGrid>
        <w:gridCol w:w="1901"/>
        <w:gridCol w:w="1674"/>
        <w:gridCol w:w="1680"/>
        <w:gridCol w:w="226"/>
        <w:gridCol w:w="749"/>
        <w:gridCol w:w="109"/>
        <w:gridCol w:w="226"/>
        <w:gridCol w:w="869"/>
        <w:gridCol w:w="109"/>
        <w:gridCol w:w="109"/>
        <w:gridCol w:w="109"/>
        <w:gridCol w:w="109"/>
        <w:gridCol w:w="226"/>
        <w:gridCol w:w="869"/>
        <w:gridCol w:w="109"/>
        <w:gridCol w:w="226"/>
        <w:gridCol w:w="749"/>
        <w:gridCol w:w="156"/>
      </w:tblGrid>
      <w:tr>
        <w:trPr/>
        <w:tc>
          <w:tcPr>
            <w:tcW w:w="1901"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Nine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r>
      <w:tr>
        <w:trPr/>
        <w:tc>
          <w:tcPr>
            <w:tcW w:w="525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thousands)</w:t>
            </w:r>
          </w:p>
        </w:tc>
        <w:tc>
          <w:tcPr>
            <w:tcW w:w="108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20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13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525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Accumulated other comprehensive (loss) income, beginning of period</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(6,292)</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(4,869)</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(1,688)</w:t>
            </w:r>
          </w:p>
        </w:tc>
        <w:tc>
          <w:tcPr>
            <w:tcW w:w="1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By component:</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Gains and losses on cash flow hedges:</w:t>
            </w:r>
          </w:p>
        </w:tc>
        <w:tc>
          <w:tcPr>
            <w:tcW w:w="10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Accumulated other comprehensive (loss) income balance, beginning of period</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comprehensive income (loss) before reclassifications, net of tax effects of $—, $3,315, $2,763 and $(625)</w:t>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1,113 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(9,294)</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(5,259)</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1,558 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Amounts reclassified from accumulated other comprehensive income (loss)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(16,832)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Tax expense (benefit) included in provision for income taxes</w:t>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1,509 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(2,763)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4,458 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amounts reclassified from accumulated other comprehensive income (loss)</w:t>
            </w:r>
          </w:p>
        </w:tc>
        <w:tc>
          <w:tcPr>
            <w:tcW w:w="97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(1,735)</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(4,231)</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(7,369)</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(12,374)</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Net current-period other comprehensive loss</w:t>
            </w:r>
          </w:p>
        </w:tc>
        <w:tc>
          <w:tcPr>
            <w:tcW w:w="975"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(622)</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(13,525)</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(12,628)</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(10,816)</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Accumulated other comprehensive loss balance, end of period</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(4,829)</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(2,658)</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(4,829)</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(2,658)</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Foreign currency translation adjustment:</w:t>
            </w:r>
          </w:p>
        </w:tc>
        <w:tc>
          <w:tcPr>
            <w:tcW w:w="1084"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Accumulated other comprehensive loss balance, beginning of period</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(9,846)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Translation adjustment</w:t>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(2,284)</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6,463 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8,299 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5,617 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Accumulated other comprehensive loss balance, end of period</w:t>
            </w:r>
          </w:p>
        </w:tc>
        <w:tc>
          <w:tcPr>
            <w:tcW w:w="97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(4,369)</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(4,229)</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(4,369)</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(4,229)</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Accumulated other comprehensive loss, end of period</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(9,198)</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(6,887)</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(9,198)</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(6,887)</w:t>
            </w:r>
          </w:p>
        </w:tc>
        <w:tc>
          <w:tcPr>
            <w:tcW w:w="1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91540"/>
                <wp:effectExtent l="0" t="0" r="0" b="0"/>
                <wp:wrapNone/>
                <wp:docPr id="62" name="Frame2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43"/>
                                                <a:stretch>
                                                  <a:fillRect/>
                                                </a:stretch>
                                              </pic:blipFill>
                                              <pic:spPr bwMode="auto">
                                                <a:xfrm>
                                                  <a:off x="0" y="0"/>
                                                  <a:ext cx="723900" cy="190500"/>
                                                </a:xfrm>
                                                <a:prstGeom prst="rect">
                                                  <a:avLst/>
                                                </a:prstGeom>
                                              </pic:spPr>
                                            </pic:pic>
                                          </a:graphicData>
                                        </a:graphic>
                                      </wp:inline>
                                    </w:drawing>
                                  </w:r>
                                  <w:bookmarkStart w:id="41" w:name="i-23"/>
                                  <w:bookmarkEnd w:id="41"/>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3" descr=""/>
                                          <pic:cNvPicPr>
                                            <a:picLocks noChangeAspect="1" noChangeArrowheads="1"/>
                                          </pic:cNvPicPr>
                                        </pic:nvPicPr>
                                        <pic:blipFill>
                                          <a:blip r:embed="rId44"/>
                                          <a:stretch>
                                            <a:fillRect/>
                                          </a:stretch>
                                        </pic:blipFill>
                                        <pic:spPr bwMode="auto">
                                          <a:xfrm>
                                            <a:off x="0" y="0"/>
                                            <a:ext cx="723900" cy="190500"/>
                                          </a:xfrm>
                                          <a:prstGeom prst="rect">
                                            <a:avLst/>
                                          </a:prstGeom>
                                        </pic:spPr>
                                      </pic:pic>
                                    </a:graphicData>
                                  </a:graphic>
                                </wp:inline>
                              </w:drawing>
                            </w:r>
                            <w:bookmarkStart w:id="42" w:name="i-23"/>
                            <w:bookmarkEnd w:id="42"/>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3569" w:type="dxa"/>
        <w:jc w:val="left"/>
        <w:tblInd w:w="0" w:type="dxa"/>
        <w:tblLayout w:type="fixed"/>
        <w:tblCellMar>
          <w:top w:w="28" w:type="dxa"/>
          <w:left w:w="28" w:type="dxa"/>
          <w:bottom w:w="28" w:type="dxa"/>
          <w:right w:w="28" w:type="dxa"/>
        </w:tblCellMar>
      </w:tblPr>
      <w:tblGrid>
        <w:gridCol w:w="1142"/>
        <w:gridCol w:w="1004"/>
        <w:gridCol w:w="1423"/>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11. Segment Information</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one operating segment and one reportable segment. Our chief operating decision maker is our chief executive officer ("CEO"), who reviews financial information presented on a consolidated basis, accompanied by disaggregated information about our revenue, for purposes of making decisions about assessing financial performance and allocating resources. Our CEO considers costs of revenue, sales, marketing and customer success, research and development, and general and administrative expense categories on our consolidated statements of comprehensive income as significant. Our CEO uses consolidated operating margin and net income as the primary measures of profit or loss. These financial metrics are used by our CEO to make key operating decisions, such as the allocation of budget between costs of revenues and our different operating expense categories.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other segment items include amortization, interest expense, other income, net, and income tax (benefit) provision on our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94" w:type="dxa"/>
        <w:jc w:val="left"/>
        <w:tblInd w:w="0" w:type="dxa"/>
        <w:tblLayout w:type="fixed"/>
        <w:tblCellMar>
          <w:top w:w="28" w:type="dxa"/>
          <w:left w:w="28" w:type="dxa"/>
          <w:bottom w:w="28" w:type="dxa"/>
          <w:right w:w="28" w:type="dxa"/>
        </w:tblCellMar>
      </w:tblPr>
      <w:tblGrid>
        <w:gridCol w:w="1118"/>
        <w:gridCol w:w="983"/>
        <w:gridCol w:w="1393"/>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12. Revenue Recognition</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Transaction price allocated to the remaining performance obligations</w:t>
      </w:r>
    </w:p>
    <w:p>
      <w:pPr>
        <w:pStyle w:val="TextBody"/>
        <w:bidi w:val="0"/>
        <w:spacing w:lineRule="auto" w:line="288" w:before="180" w:after="283"/>
        <w:jc w:val="both"/>
        <w:rPr/>
      </w:pPr>
      <w:r>
        <w:rPr>
          <w:rFonts w:ascii="sans-serif" w:hAnsi="sans-serif"/>
          <w:b w:val="false"/>
          <w:color w:val="51555C"/>
          <w:sz w:val="20"/>
        </w:rPr>
        <w:t xml:space="preserve">As of September 30, 2025, approximately </w:t>
      </w:r>
      <w:r>
        <w:rPr>
          <w:rFonts w:ascii="sans-serif" w:hAnsi="sans-serif"/>
          <w:b w:val="false"/>
          <w:color w:val="51555C"/>
          <w:sz w:val="20"/>
          <w:shd w:fill="FFFFFF" w:val="clear"/>
        </w:rPr>
        <w:t>$1.3 billion</w:t>
      </w:r>
      <w:r>
        <w:rPr>
          <w:color w:val="51555C"/>
        </w:rPr>
        <w:t xml:space="preserve"> </w:t>
      </w:r>
      <w:r>
        <w:rPr>
          <w:rFonts w:ascii="sans-serif" w:hAnsi="sans-serif"/>
          <w:b w:val="false"/>
          <w:color w:val="51555C"/>
          <w:sz w:val="20"/>
        </w:rPr>
        <w:t xml:space="preserve">of revenue under contract is expected to be recognized from remaining performance obligations. We expect to recognize revenue on approximately </w:t>
      </w:r>
      <w:r>
        <w:rPr>
          <w:rFonts w:ascii="sans-serif" w:hAnsi="sans-serif"/>
          <w:b w:val="false"/>
          <w:color w:val="51555C"/>
          <w:sz w:val="20"/>
          <w:shd w:fill="FFFFFF" w:val="clear"/>
        </w:rPr>
        <w:t>50%</w:t>
      </w:r>
      <w:r>
        <w:rPr>
          <w:color w:val="51555C"/>
        </w:rPr>
        <w:t xml:space="preserve"> </w:t>
      </w:r>
      <w:r>
        <w:rPr>
          <w:rFonts w:ascii="sans-serif" w:hAnsi="sans-serif"/>
          <w:b w:val="false"/>
          <w:color w:val="51555C"/>
          <w:sz w:val="20"/>
        </w:rPr>
        <w:t>of these remaining performance obligations over the next 12 months, with the remainder recognized thereafter.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applied the practical expedient in ASC 606-10-50-14 and have excluded the value of unsatisfied performance obligations for which we recognize revenue at the amount to which we have the right to invoice for services performed (transactional revenue).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Contract balances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closing balances of deferred revenue were as follows:</w:t>
      </w:r>
    </w:p>
    <w:tbl>
      <w:tblPr>
        <w:tblW w:w="5233" w:type="dxa"/>
        <w:jc w:val="left"/>
        <w:tblInd w:w="0" w:type="dxa"/>
        <w:tblLayout w:type="fixed"/>
        <w:tblCellMar>
          <w:top w:w="28" w:type="dxa"/>
          <w:left w:w="28" w:type="dxa"/>
          <w:bottom w:w="28" w:type="dxa"/>
          <w:right w:w="28" w:type="dxa"/>
        </w:tblCellMar>
      </w:tblPr>
      <w:tblGrid>
        <w:gridCol w:w="852"/>
        <w:gridCol w:w="750"/>
        <w:gridCol w:w="752"/>
        <w:gridCol w:w="256"/>
        <w:gridCol w:w="1075"/>
        <w:gridCol w:w="123"/>
        <w:gridCol w:w="243"/>
        <w:gridCol w:w="1017"/>
        <w:gridCol w:w="165"/>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thousands)</w:t>
            </w:r>
          </w:p>
        </w:tc>
        <w:tc>
          <w:tcPr>
            <w:tcW w:w="14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September 30,</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2354"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deferred revenue</w:t>
            </w:r>
          </w:p>
        </w:tc>
        <w:tc>
          <w:tcPr>
            <w:tcW w:w="25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75"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384,911 </w:t>
            </w:r>
          </w:p>
        </w:tc>
        <w:tc>
          <w:tcPr>
            <w:tcW w:w="123"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360,561 </w:t>
            </w:r>
          </w:p>
        </w:tc>
        <w:tc>
          <w:tcPr>
            <w:tcW w:w="165"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The increase in deferred revenue during the nine months ended September 30, 2025 was primarily due to a seasonal increase in customer contract billings.</w:t>
      </w:r>
      <w:r>
        <w:rPr>
          <w:color w:val="51555C"/>
          <w:shd w:fill="FFFFFF" w:val="clear"/>
        </w:rPr>
        <w:t xml:space="preserve"> </w:t>
      </w:r>
      <w:r>
        <w:rPr>
          <w:rFonts w:ascii="sans-serif" w:hAnsi="sans-serif"/>
          <w:b w:val="false"/>
          <w:color w:val="51555C"/>
          <w:sz w:val="20"/>
          <w:shd w:fill="FFFFFF" w:val="clear"/>
        </w:rPr>
        <w:t>Historically, due to the timing of customer budget cycles, we have an increase in billings and customer contract renewals at or near the beginning of our third quarter. Generally, our lowest balance of deferred revenue during the year is at the end of our first quarter. The amount of revenue recognized during the nine months ended September 30, 2025 that was included in the deferred reven</w:t>
      </w:r>
      <w:r>
        <w:rPr>
          <w:rFonts w:ascii="sans-serif" w:hAnsi="sans-serif"/>
          <w:b w:val="false"/>
          <w:color w:val="51555C"/>
          <w:sz w:val="20"/>
        </w:rPr>
        <w:t xml:space="preserve">ue balance at the beginning of the period was approximately $324 million. The amount of revenue recognized during the nine months ended September 30, 2025 from performance obligations satisfied in prior periods was </w:t>
      </w:r>
      <w:r>
        <w:rPr>
          <w:rFonts w:ascii="sans-serif" w:hAnsi="sans-serif"/>
          <w:b w:val="false"/>
          <w:color w:val="51555C"/>
          <w:sz w:val="20"/>
          <w:shd w:fill="FFFFFF" w:val="clear"/>
        </w:rPr>
        <w:t>insignificant</w:t>
      </w:r>
      <w:r>
        <w:rPr>
          <w:rFonts w:ascii="sans-serif" w:hAnsi="sans-serif"/>
          <w:b w:val="false"/>
          <w:color w:val="51555C"/>
          <w:sz w:val="20"/>
        </w:rPr>
        <w:t>.</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Disaggregation of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location of our customers:</w:t>
      </w:r>
    </w:p>
    <w:tbl>
      <w:tblPr>
        <w:tblW w:w="7700" w:type="dxa"/>
        <w:jc w:val="left"/>
        <w:tblInd w:w="0" w:type="dxa"/>
        <w:tblLayout w:type="fixed"/>
        <w:tblCellMar>
          <w:top w:w="28" w:type="dxa"/>
          <w:left w:w="28" w:type="dxa"/>
          <w:bottom w:w="28" w:type="dxa"/>
          <w:right w:w="28" w:type="dxa"/>
        </w:tblCellMar>
      </w:tblPr>
      <w:tblGrid>
        <w:gridCol w:w="798"/>
        <w:gridCol w:w="702"/>
        <w:gridCol w:w="704"/>
        <w:gridCol w:w="226"/>
        <w:gridCol w:w="946"/>
        <w:gridCol w:w="109"/>
        <w:gridCol w:w="226"/>
        <w:gridCol w:w="946"/>
        <w:gridCol w:w="109"/>
        <w:gridCol w:w="109"/>
        <w:gridCol w:w="109"/>
        <w:gridCol w:w="109"/>
        <w:gridCol w:w="226"/>
        <w:gridCol w:w="946"/>
        <w:gridCol w:w="109"/>
        <w:gridCol w:w="226"/>
        <w:gridCol w:w="94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Nine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r>
      <w:tr>
        <w:trPr/>
        <w:tc>
          <w:tcPr>
            <w:tcW w:w="220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pPr>
            <w:r>
              <w:rPr>
                <w:rFonts w:ascii="sans-serif" w:hAnsi="sans-serif"/>
                <w:b/>
                <w:color w:val="FFFFFF"/>
                <w:sz w:val="16"/>
              </w:rPr>
              <w:t>2024</w:t>
            </w:r>
            <w:r>
              <w:rPr>
                <w:rFonts w:ascii="sans-serif" w:hAnsi="sans-serif"/>
                <w:b/>
                <w:color w:val="FFFFFF"/>
                <w:sz w:val="10"/>
              </w:rPr>
              <w:t>(1)</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32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pPr>
            <w:r>
              <w:rPr>
                <w:rFonts w:ascii="sans-serif" w:hAnsi="sans-serif"/>
                <w:b/>
                <w:color w:val="FFFFFF"/>
                <w:sz w:val="16"/>
              </w:rPr>
              <w:t>2024</w:t>
            </w:r>
            <w:r>
              <w:rPr>
                <w:rFonts w:ascii="sans-serif" w:hAnsi="sans-serif"/>
                <w:b/>
                <w:color w:val="FFFFFF"/>
                <w:sz w:val="10"/>
              </w:rPr>
              <w:t>(1)</w:t>
            </w:r>
          </w:p>
        </w:tc>
      </w:tr>
      <w:tr>
        <w:trPr/>
        <w:tc>
          <w:tcPr>
            <w:tcW w:w="220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United States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237,678 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243,523 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697,819 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722,840 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United Kingdom</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83,252 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Other countries</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15,971 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15,932 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47,966 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46,419 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revenue</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281,143 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286,598 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833,109 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852,511 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(1)We have revised certain amounts for the three and nine months ended September 30, 2024. See Note 2 and Note 13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891540"/>
                <wp:effectExtent l="0" t="0" r="0" b="0"/>
                <wp:wrapNone/>
                <wp:docPr id="65" name="Frame2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4" descr=""/>
                                                <pic:cNvPicPr>
                                                  <a:picLocks noChangeAspect="1" noChangeArrowheads="1"/>
                                                </pic:cNvPicPr>
                                              </pic:nvPicPr>
                                              <pic:blipFill>
                                                <a:blip r:embed="rId45"/>
                                                <a:stretch>
                                                  <a:fillRect/>
                                                </a:stretch>
                                              </pic:blipFill>
                                              <pic:spPr bwMode="auto">
                                                <a:xfrm>
                                                  <a:off x="0" y="0"/>
                                                  <a:ext cx="733425" cy="190500"/>
                                                </a:xfrm>
                                                <a:prstGeom prst="rect">
                                                  <a:avLst/>
                                                </a:prstGeom>
                                              </pic:spPr>
                                            </pic:pic>
                                          </a:graphicData>
                                        </a:graphic>
                                      </wp:inline>
                                    </w:drawing>
                                  </w:r>
                                  <w:bookmarkStart w:id="43" w:name="i-24"/>
                                  <w:bookmarkEnd w:id="4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4" descr=""/>
                                          <pic:cNvPicPr>
                                            <a:picLocks noChangeAspect="1" noChangeArrowheads="1"/>
                                          </pic:cNvPicPr>
                                        </pic:nvPicPr>
                                        <pic:blipFill>
                                          <a:blip r:embed="rId46"/>
                                          <a:stretch>
                                            <a:fillRect/>
                                          </a:stretch>
                                        </pic:blipFill>
                                        <pic:spPr bwMode="auto">
                                          <a:xfrm>
                                            <a:off x="0" y="0"/>
                                            <a:ext cx="733425" cy="190500"/>
                                          </a:xfrm>
                                          <a:prstGeom prst="rect">
                                            <a:avLst/>
                                          </a:prstGeom>
                                        </pic:spPr>
                                      </pic:pic>
                                    </a:graphicData>
                                  </a:graphic>
                                </wp:inline>
                              </w:drawing>
                            </w:r>
                            <w:bookmarkStart w:id="44" w:name="i-24"/>
                            <w:bookmarkEnd w:id="4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our revenue by type:</w:t>
      </w:r>
    </w:p>
    <w:tbl>
      <w:tblPr>
        <w:tblW w:w="8391" w:type="dxa"/>
        <w:jc w:val="left"/>
        <w:tblInd w:w="0" w:type="dxa"/>
        <w:tblLayout w:type="fixed"/>
        <w:tblCellMar>
          <w:top w:w="28" w:type="dxa"/>
          <w:left w:w="28" w:type="dxa"/>
          <w:bottom w:w="28" w:type="dxa"/>
          <w:right w:w="28" w:type="dxa"/>
        </w:tblCellMar>
      </w:tblPr>
      <w:tblGrid>
        <w:gridCol w:w="1049"/>
        <w:gridCol w:w="922"/>
        <w:gridCol w:w="924"/>
        <w:gridCol w:w="226"/>
        <w:gridCol w:w="946"/>
        <w:gridCol w:w="109"/>
        <w:gridCol w:w="226"/>
        <w:gridCol w:w="946"/>
        <w:gridCol w:w="109"/>
        <w:gridCol w:w="109"/>
        <w:gridCol w:w="109"/>
        <w:gridCol w:w="109"/>
        <w:gridCol w:w="226"/>
        <w:gridCol w:w="946"/>
        <w:gridCol w:w="109"/>
        <w:gridCol w:w="226"/>
        <w:gridCol w:w="94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Nine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r>
      <w:tr>
        <w:trPr/>
        <w:tc>
          <w:tcPr>
            <w:tcW w:w="289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pPr>
            <w:r>
              <w:rPr>
                <w:rFonts w:ascii="sans-serif" w:hAnsi="sans-serif"/>
                <w:b/>
                <w:color w:val="FFFFFF"/>
                <w:sz w:val="16"/>
              </w:rPr>
              <w:t>2024</w:t>
            </w:r>
            <w:r>
              <w:rPr>
                <w:rFonts w:ascii="sans-serif" w:hAnsi="sans-serif"/>
                <w:b/>
                <w:color w:val="FFFFFF"/>
                <w:sz w:val="10"/>
              </w:rPr>
              <w:t>(1)</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32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pPr>
            <w:r>
              <w:rPr>
                <w:rFonts w:ascii="sans-serif" w:hAnsi="sans-serif"/>
                <w:b/>
                <w:color w:val="FFFFFF"/>
                <w:sz w:val="16"/>
              </w:rPr>
              <w:t>2024</w:t>
            </w:r>
            <w:r>
              <w:rPr>
                <w:rFonts w:ascii="sans-serif" w:hAnsi="sans-serif"/>
                <w:b/>
                <w:color w:val="FFFFFF"/>
                <w:sz w:val="10"/>
              </w:rPr>
              <w:t>(1)</w:t>
            </w:r>
          </w:p>
        </w:tc>
      </w:tr>
      <w:tr>
        <w:trPr/>
        <w:tc>
          <w:tcPr>
            <w:tcW w:w="289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Contractual recurring</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182,984 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194,724 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538,577 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578,726 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Transactional recurring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85,165 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253,434 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recurring revenue</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275,802 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279,889 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815,406 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832,160 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One-time services and other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Total revenue</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281,143 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286,598 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833,109 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852,511 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(1)We have revised certain amounts for the three and nine months ended September 30, 2024. See Note 2 and Note 13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91540"/>
                <wp:effectExtent l="0" t="0" r="0" b="0"/>
                <wp:wrapNone/>
                <wp:docPr id="68" name="Frame2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5" descr=""/>
                                                <pic:cNvPicPr>
                                                  <a:picLocks noChangeAspect="1" noChangeArrowheads="1"/>
                                                </pic:cNvPicPr>
                                              </pic:nvPicPr>
                                              <pic:blipFill>
                                                <a:blip r:embed="rId47"/>
                                                <a:stretch>
                                                  <a:fillRect/>
                                                </a:stretch>
                                              </pic:blipFill>
                                              <pic:spPr bwMode="auto">
                                                <a:xfrm>
                                                  <a:off x="0" y="0"/>
                                                  <a:ext cx="723900" cy="190500"/>
                                                </a:xfrm>
                                                <a:prstGeom prst="rect">
                                                  <a:avLst/>
                                                </a:prstGeom>
                                              </pic:spPr>
                                            </pic:pic>
                                          </a:graphicData>
                                        </a:graphic>
                                      </wp:inline>
                                    </w:drawing>
                                  </w:r>
                                  <w:bookmarkStart w:id="45" w:name="i-25"/>
                                  <w:bookmarkEnd w:id="45"/>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5" descr=""/>
                                          <pic:cNvPicPr>
                                            <a:picLocks noChangeAspect="1" noChangeArrowheads="1"/>
                                          </pic:cNvPicPr>
                                        </pic:nvPicPr>
                                        <pic:blipFill>
                                          <a:blip r:embed="rId48"/>
                                          <a:stretch>
                                            <a:fillRect/>
                                          </a:stretch>
                                        </pic:blipFill>
                                        <pic:spPr bwMode="auto">
                                          <a:xfrm>
                                            <a:off x="0" y="0"/>
                                            <a:ext cx="723900" cy="190500"/>
                                          </a:xfrm>
                                          <a:prstGeom prst="rect">
                                            <a:avLst/>
                                          </a:prstGeom>
                                        </pic:spPr>
                                      </pic:pic>
                                    </a:graphicData>
                                  </a:graphic>
                                </wp:inline>
                              </w:drawing>
                            </w:r>
                            <w:bookmarkStart w:id="46" w:name="i-25"/>
                            <w:bookmarkEnd w:id="46"/>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6840" w:type="dxa"/>
        <w:jc w:val="left"/>
        <w:tblInd w:w="0" w:type="dxa"/>
        <w:tblLayout w:type="fixed"/>
        <w:tblCellMar>
          <w:top w:w="28" w:type="dxa"/>
          <w:left w:w="28" w:type="dxa"/>
          <w:bottom w:w="28" w:type="dxa"/>
          <w:right w:w="28" w:type="dxa"/>
        </w:tblCellMar>
      </w:tblPr>
      <w:tblGrid>
        <w:gridCol w:w="2190"/>
        <w:gridCol w:w="1923"/>
        <w:gridCol w:w="2727"/>
      </w:tblGrid>
      <w:tr>
        <w:trPr/>
        <w:tc>
          <w:tcPr>
            <w:tcW w:w="219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13. Revision of Prior Period Financial Statements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three months ended September 30, 2025, we identified a prior period error related to the previously recorded valuation allowance. This error resulted in an understatement of the deferred tax liability by $15.5 million as of December 31, 2024, March 31, 2025 and June 30, 2025, and a corresponding overstatement of the income tax benefit and an understatement of the net loss for the year ended December 31, 2024. There was no impact to our income tax provision for the first and second quarters of 2025.</w:t>
      </w:r>
    </w:p>
    <w:p>
      <w:pPr>
        <w:pStyle w:val="TextBody"/>
        <w:bidi w:val="0"/>
        <w:spacing w:lineRule="auto" w:line="288" w:before="180" w:after="283"/>
        <w:jc w:val="both"/>
        <w:rPr/>
      </w:pPr>
      <w:r>
        <w:rPr>
          <w:rFonts w:ascii="sans-serif" w:hAnsi="sans-serif"/>
          <w:b w:val="false"/>
          <w:color w:val="51555C"/>
          <w:sz w:val="20"/>
        </w:rPr>
        <w:t xml:space="preserve">In evaluating whether our previously issued consolidated financial statements were materially misstated, we considered the guidance in Accounting Standard Codification (ASC) Topic 250, </w:t>
      </w:r>
      <w:r>
        <w:rPr>
          <w:rFonts w:ascii="sans-serif" w:hAnsi="sans-serif"/>
          <w:b w:val="false"/>
          <w:i/>
          <w:color w:val="51555C"/>
          <w:sz w:val="20"/>
        </w:rPr>
        <w:t>Accounting Changes and Error Corrections</w:t>
      </w:r>
      <w:r>
        <w:rPr>
          <w:rFonts w:ascii="sans-serif" w:hAnsi="sans-serif"/>
          <w:b w:val="false"/>
          <w:color w:val="51555C"/>
          <w:sz w:val="20"/>
        </w:rPr>
        <w:t xml:space="preserve">, including ASC Topic 250-10-S99-1 (SAB Topic 1.M), </w:t>
      </w:r>
      <w:r>
        <w:rPr>
          <w:rFonts w:ascii="sans-serif" w:hAnsi="sans-serif"/>
          <w:b w:val="false"/>
          <w:i/>
          <w:color w:val="51555C"/>
          <w:sz w:val="20"/>
        </w:rPr>
        <w:t>Assessing Materiality</w:t>
      </w:r>
      <w:r>
        <w:rPr>
          <w:rFonts w:ascii="sans-serif" w:hAnsi="sans-serif"/>
          <w:b w:val="false"/>
          <w:color w:val="51555C"/>
          <w:sz w:val="20"/>
        </w:rPr>
        <w:t xml:space="preserve">, and ASC Topic 250-10-S99-2 (SAB Topic 1.N), </w:t>
      </w:r>
      <w:r>
        <w:rPr>
          <w:rFonts w:ascii="sans-serif" w:hAnsi="sans-serif"/>
          <w:b w:val="false"/>
          <w:i/>
          <w:color w:val="51555C"/>
          <w:sz w:val="20"/>
        </w:rPr>
        <w:t>Considering the Effects of Prior Year Misstatements when Quantifying Misstatements in Current Year Financial Statements</w:t>
      </w:r>
      <w:r>
        <w:rPr>
          <w:rFonts w:ascii="sans-serif" w:hAnsi="sans-serif"/>
          <w:b w:val="false"/>
          <w:color w:val="51555C"/>
          <w:sz w:val="20"/>
          <w:shd w:fill="FFFFFF" w:val="clear"/>
        </w:rPr>
        <w:t>. We concluded that the valuation allowance error was not material to any of the prior reporting periods impacted an</w:t>
      </w:r>
      <w:r>
        <w:rPr>
          <w:rFonts w:ascii="sans-serif" w:hAnsi="sans-serif"/>
          <w:b w:val="false"/>
          <w:color w:val="51555C"/>
          <w:sz w:val="20"/>
        </w:rPr>
        <w:t>d, therefore, amendments of previously filed reports were not required. However, the effect of correcting the valuation allowance error in the current period would have been material to the consolidated financial statements for the three and nine months ended September 30, 2025, and would be material to the forecasted consolidated results of operations for the year ending December 31, 2025. Accordingly, the correction of the valuation allowance error, along with other unrelated immaterial prior period errors, has been reflected as a revision to the applicable prior periods in the financial information presented herein and will be reflected in future filings that include such periods.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accordance with Rule 10D-1(b) under the Securities Exchange Act of 1934, we performed a recovery analysis of incentive-based compensation received by our executive officers during the applicable recovery period. Based on this analysis, no clawback of compensation was required by applicable SEC rules.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revised certain prior period financial statements to correct for an accounting error related to the valuation allowance as well as other unrelated immaterial errors. See Note 2, Basis of Presentation, for further information. A summary of revisions to our previously reported financial statements is presented below.</w:t>
      </w:r>
    </w:p>
    <w:p>
      <w:pPr>
        <w:pStyle w:val="TextBody"/>
        <w:bidi w:val="0"/>
        <w:spacing w:lineRule="auto" w:line="288" w:before="120" w:after="120"/>
        <w:jc w:val="both"/>
        <w:rPr>
          <w:rFonts w:ascii="sans-serif" w:hAnsi="sans-serif"/>
          <w:b w:val="false"/>
          <w:i/>
          <w:color w:val="51555C"/>
          <w:sz w:val="20"/>
        </w:rPr>
      </w:pPr>
      <w:r>
        <w:rPr>
          <w:rFonts w:ascii="sans-serif" w:hAnsi="sans-serif"/>
          <w:b w:val="false"/>
          <w:i/>
          <w:color w:val="51555C"/>
          <w:sz w:val="20"/>
        </w:rPr>
        <w:t>Revised consolidated balance sheets</w:t>
      </w:r>
    </w:p>
    <w:tbl>
      <w:tblPr>
        <w:tblW w:w="6972" w:type="dxa"/>
        <w:jc w:val="left"/>
        <w:tblInd w:w="0" w:type="dxa"/>
        <w:tblLayout w:type="fixed"/>
        <w:tblCellMar>
          <w:top w:w="28" w:type="dxa"/>
          <w:left w:w="28" w:type="dxa"/>
          <w:bottom w:w="28" w:type="dxa"/>
          <w:right w:w="28" w:type="dxa"/>
        </w:tblCellMar>
      </w:tblPr>
      <w:tblGrid>
        <w:gridCol w:w="1433"/>
        <w:gridCol w:w="1259"/>
        <w:gridCol w:w="1268"/>
        <w:gridCol w:w="228"/>
        <w:gridCol w:w="554"/>
        <w:gridCol w:w="119"/>
        <w:gridCol w:w="344"/>
        <w:gridCol w:w="663"/>
        <w:gridCol w:w="179"/>
        <w:gridCol w:w="223"/>
        <w:gridCol w:w="543"/>
        <w:gridCol w:w="159"/>
      </w:tblGrid>
      <w:tr>
        <w:trPr/>
        <w:tc>
          <w:tcPr>
            <w:tcW w:w="143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60"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3012" w:type="dxa"/>
            <w:gridSpan w:val="9"/>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 of December 31, 2023</w:t>
            </w:r>
          </w:p>
        </w:tc>
      </w:tr>
      <w:tr>
        <w:trPr/>
        <w:tc>
          <w:tcPr>
            <w:tcW w:w="3960"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901"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25" w:type="dxa"/>
            <w:gridSpan w:val="3"/>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r>
      <w:tr>
        <w:trPr/>
        <w:tc>
          <w:tcPr>
            <w:tcW w:w="396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Prepaid expenses and other current assets</w:t>
            </w:r>
          </w:p>
        </w:tc>
        <w:tc>
          <w:tcPr>
            <w:tcW w:w="22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5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99.3 </w:t>
            </w:r>
          </w:p>
        </w:tc>
        <w:tc>
          <w:tcPr>
            <w:tcW w:w="11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99.4 </w:t>
            </w:r>
          </w:p>
        </w:tc>
        <w:tc>
          <w:tcPr>
            <w:tcW w:w="15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current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929.8 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929.9 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assets</w:t>
            </w:r>
          </w:p>
        </w:tc>
        <w:tc>
          <w:tcPr>
            <w:tcW w:w="78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2,912.3 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2,912.4 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Accrued expenses and other current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Deferred revenue, current portion</w:t>
            </w:r>
          </w:p>
        </w:tc>
        <w:tc>
          <w:tcPr>
            <w:tcW w:w="78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392.5 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390.9 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current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1,197.1 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1,196.1 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liabilities</w:t>
            </w:r>
          </w:p>
        </w:tc>
        <w:tc>
          <w:tcPr>
            <w:tcW w:w="78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2,103.6 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2,102.5 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Retained earnings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stockholders' equity</w:t>
            </w:r>
          </w:p>
        </w:tc>
        <w:tc>
          <w:tcPr>
            <w:tcW w:w="78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808.7 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809.9 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liabilities and stockholders’ equity</w:t>
            </w:r>
          </w:p>
        </w:tc>
        <w:tc>
          <w:tcPr>
            <w:tcW w:w="78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2,912.3 </w:t>
            </w:r>
          </w:p>
        </w:tc>
        <w:tc>
          <w:tcPr>
            <w:tcW w:w="11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2,912.4 </w:t>
            </w:r>
          </w:p>
        </w:tc>
        <w:tc>
          <w:tcPr>
            <w:tcW w:w="15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891540"/>
                <wp:effectExtent l="0" t="0" r="0" b="0"/>
                <wp:wrapNone/>
                <wp:docPr id="71" name="Frame2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6" descr=""/>
                                                <pic:cNvPicPr>
                                                  <a:picLocks noChangeAspect="1" noChangeArrowheads="1"/>
                                                </pic:cNvPicPr>
                                              </pic:nvPicPr>
                                              <pic:blipFill>
                                                <a:blip r:embed="rId49"/>
                                                <a:stretch>
                                                  <a:fillRect/>
                                                </a:stretch>
                                              </pic:blipFill>
                                              <pic:spPr bwMode="auto">
                                                <a:xfrm>
                                                  <a:off x="0" y="0"/>
                                                  <a:ext cx="733425" cy="190500"/>
                                                </a:xfrm>
                                                <a:prstGeom prst="rect">
                                                  <a:avLst/>
                                                </a:prstGeom>
                                              </pic:spPr>
                                            </pic:pic>
                                          </a:graphicData>
                                        </a:graphic>
                                      </wp:inline>
                                    </w:drawing>
                                  </w:r>
                                  <w:bookmarkStart w:id="47" w:name="i-26"/>
                                  <w:bookmarkEnd w:id="4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6" descr=""/>
                                          <pic:cNvPicPr>
                                            <a:picLocks noChangeAspect="1" noChangeArrowheads="1"/>
                                          </pic:cNvPicPr>
                                        </pic:nvPicPr>
                                        <pic:blipFill>
                                          <a:blip r:embed="rId50"/>
                                          <a:stretch>
                                            <a:fillRect/>
                                          </a:stretch>
                                        </pic:blipFill>
                                        <pic:spPr bwMode="auto">
                                          <a:xfrm>
                                            <a:off x="0" y="0"/>
                                            <a:ext cx="733425" cy="190500"/>
                                          </a:xfrm>
                                          <a:prstGeom prst="rect">
                                            <a:avLst/>
                                          </a:prstGeom>
                                        </pic:spPr>
                                      </pic:pic>
                                    </a:graphicData>
                                  </a:graphic>
                                </wp:inline>
                              </w:drawing>
                            </w:r>
                            <w:bookmarkStart w:id="48" w:name="i-26"/>
                            <w:bookmarkEnd w:id="4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0" w:after="120"/>
        <w:jc w:val="both"/>
        <w:rPr>
          <w:rFonts w:ascii="sans-serif" w:hAnsi="sans-serif"/>
          <w:b w:val="false"/>
          <w:i/>
          <w:color w:val="51555C"/>
          <w:sz w:val="20"/>
        </w:rPr>
      </w:pPr>
      <w:r>
        <w:rPr>
          <w:rFonts w:ascii="sans-serif" w:hAnsi="sans-serif"/>
          <w:b w:val="false"/>
          <w:i/>
          <w:color w:val="51555C"/>
          <w:sz w:val="20"/>
        </w:rPr>
        <w:t>Revised consolidated balance sheets (continued)</w:t>
      </w:r>
    </w:p>
    <w:tbl>
      <w:tblPr>
        <w:tblW w:w="13154" w:type="dxa"/>
        <w:jc w:val="left"/>
        <w:tblInd w:w="0" w:type="dxa"/>
        <w:tblLayout w:type="fixed"/>
        <w:tblCellMar>
          <w:top w:w="28" w:type="dxa"/>
          <w:left w:w="28" w:type="dxa"/>
          <w:bottom w:w="28" w:type="dxa"/>
          <w:right w:w="28" w:type="dxa"/>
        </w:tblCellMar>
      </w:tblPr>
      <w:tblGrid>
        <w:gridCol w:w="705"/>
        <w:gridCol w:w="277"/>
        <w:gridCol w:w="279"/>
        <w:gridCol w:w="228"/>
        <w:gridCol w:w="554"/>
        <w:gridCol w:w="119"/>
        <w:gridCol w:w="344"/>
        <w:gridCol w:w="663"/>
        <w:gridCol w:w="179"/>
        <w:gridCol w:w="223"/>
        <w:gridCol w:w="543"/>
        <w:gridCol w:w="109"/>
        <w:gridCol w:w="228"/>
        <w:gridCol w:w="554"/>
        <w:gridCol w:w="119"/>
        <w:gridCol w:w="344"/>
        <w:gridCol w:w="663"/>
        <w:gridCol w:w="179"/>
        <w:gridCol w:w="223"/>
        <w:gridCol w:w="543"/>
        <w:gridCol w:w="109"/>
        <w:gridCol w:w="228"/>
        <w:gridCol w:w="554"/>
        <w:gridCol w:w="119"/>
        <w:gridCol w:w="344"/>
        <w:gridCol w:w="663"/>
        <w:gridCol w:w="179"/>
        <w:gridCol w:w="225"/>
        <w:gridCol w:w="541"/>
        <w:gridCol w:w="109"/>
        <w:gridCol w:w="228"/>
        <w:gridCol w:w="554"/>
        <w:gridCol w:w="119"/>
        <w:gridCol w:w="344"/>
        <w:gridCol w:w="663"/>
        <w:gridCol w:w="179"/>
        <w:gridCol w:w="223"/>
        <w:gridCol w:w="543"/>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2962" w:type="dxa"/>
            <w:gridSpan w:val="9"/>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 of March 31, 2024</w:t>
            </w:r>
          </w:p>
        </w:tc>
        <w:tc>
          <w:tcPr>
            <w:tcW w:w="2962" w:type="dxa"/>
            <w:gridSpan w:val="9"/>
            <w:tcBorders>
              <w:top w:val="single" w:sz="8" w:space="0" w:color="004054"/>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 of June 30, 2024</w:t>
            </w:r>
          </w:p>
        </w:tc>
        <w:tc>
          <w:tcPr>
            <w:tcW w:w="2962" w:type="dxa"/>
            <w:gridSpan w:val="9"/>
            <w:tcBorders>
              <w:top w:val="single" w:sz="8" w:space="0" w:color="004054"/>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 of September 30, 2024</w:t>
            </w:r>
          </w:p>
        </w:tc>
        <w:tc>
          <w:tcPr>
            <w:tcW w:w="3007" w:type="dxa"/>
            <w:gridSpan w:val="9"/>
            <w:tcBorders>
              <w:top w:val="single" w:sz="8" w:space="0" w:color="004054"/>
              <w:left w:val="single" w:sz="8" w:space="0" w:color="51555C"/>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 of December 31, 2024</w:t>
            </w:r>
          </w:p>
        </w:tc>
      </w:tr>
      <w:tr>
        <w:trPr/>
        <w:tc>
          <w:tcPr>
            <w:tcW w:w="1261"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901"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875"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01"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875"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01"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875"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01"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20" w:type="dxa"/>
            <w:gridSpan w:val="3"/>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r>
      <w:tr>
        <w:trPr/>
        <w:tc>
          <w:tcPr>
            <w:tcW w:w="126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Prepaid expenses and other current assets</w:t>
            </w:r>
          </w:p>
        </w:tc>
        <w:tc>
          <w:tcPr>
            <w:tcW w:w="22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5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94.6 </w:t>
            </w:r>
          </w:p>
        </w:tc>
        <w:tc>
          <w:tcPr>
            <w:tcW w:w="11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94.7 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4054"/>
              <w:left w:val="single" w:sz="8" w:space="0" w:color="51555C"/>
            </w:tcBorders>
            <w:shd w:fill="EBFBFF" w:val="clear"/>
            <w:tcMar>
              <w:top w:w="3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5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92.3 </w:t>
            </w:r>
          </w:p>
        </w:tc>
        <w:tc>
          <w:tcPr>
            <w:tcW w:w="11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92.4 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4054"/>
              <w:left w:val="single" w:sz="8" w:space="0" w:color="51555C"/>
            </w:tcBorders>
            <w:shd w:fill="EBFBFF" w:val="clear"/>
            <w:tcMar>
              <w:top w:w="3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5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87.5 </w:t>
            </w:r>
          </w:p>
        </w:tc>
        <w:tc>
          <w:tcPr>
            <w:tcW w:w="11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87.7 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4054"/>
              <w:left w:val="single" w:sz="8" w:space="0" w:color="51555C"/>
            </w:tcBorders>
            <w:shd w:fill="EBFBFF" w:val="clear"/>
            <w:tcMar>
              <w:top w:w="3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5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81.3 </w:t>
            </w:r>
          </w:p>
        </w:tc>
        <w:tc>
          <w:tcPr>
            <w:tcW w:w="11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81.6 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current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1,079.2 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655.6 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976.3 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assets</w:t>
            </w:r>
          </w:p>
        </w:tc>
        <w:tc>
          <w:tcPr>
            <w:tcW w:w="78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2,549.1 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2,549.3 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3,042.7 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3,042.9 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2,601.0 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2,601.2 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2,495.7 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2,496.0 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Accrued expenses and other current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Deferred revenue, current portion</w:t>
            </w:r>
          </w:p>
        </w:tc>
        <w:tc>
          <w:tcPr>
            <w:tcW w:w="78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360.4 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359.2 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427.1 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425.8 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411.6 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410.4 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359.5 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358.5 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current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862.6 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1,349.0 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962.2 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1,252.1 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Deferred tax liability</w:t>
            </w:r>
          </w:p>
        </w:tc>
        <w:tc>
          <w:tcPr>
            <w:tcW w:w="78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82.4 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83.0 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75.4 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75.8 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68.2 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68.2 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9.5 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15.5 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noncurrent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1,152.5 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1,116.4 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1,094.4 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1,101.6 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liabilities</w:t>
            </w:r>
          </w:p>
        </w:tc>
        <w:tc>
          <w:tcPr>
            <w:tcW w:w="78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2,015.1 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2,015.2 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2,465.4 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2,465.4 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2,056.6 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2,056.4 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2,353.7 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15.4 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2,369.2 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Additional paid-in capital</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1,184.3 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1,208.6 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1,227.2 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1,291.4 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Retained earnings (accumulated deficit)</w:t>
            </w:r>
          </w:p>
        </w:tc>
        <w:tc>
          <w:tcPr>
            <w:tcW w:w="78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204.1 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207.4 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225.9 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228.6 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246.5 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246.9 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(84.3)</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(99.5)</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stockholders' equity</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544.3 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liabilities and stockholders’ equity</w:t>
            </w:r>
          </w:p>
        </w:tc>
        <w:tc>
          <w:tcPr>
            <w:tcW w:w="782"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2,549.1 </w:t>
            </w:r>
          </w:p>
        </w:tc>
        <w:tc>
          <w:tcPr>
            <w:tcW w:w="11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2,549.3 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bottom w:val="single" w:sz="8" w:space="0" w:color="0CD973"/>
            </w:tcBorders>
            <w:shd w:fill="EBFB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3,042.7 </w:t>
            </w:r>
          </w:p>
        </w:tc>
        <w:tc>
          <w:tcPr>
            <w:tcW w:w="11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3,042.9 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bottom w:val="single" w:sz="8" w:space="0" w:color="0CD973"/>
            </w:tcBorders>
            <w:shd w:fill="EBFB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2,601.0 </w:t>
            </w:r>
          </w:p>
        </w:tc>
        <w:tc>
          <w:tcPr>
            <w:tcW w:w="11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0.2 </w:t>
            </w:r>
          </w:p>
        </w:tc>
        <w:tc>
          <w:tcPr>
            <w:tcW w:w="17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2,601.2 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bottom w:val="single" w:sz="8" w:space="0" w:color="0CD973"/>
            </w:tcBorders>
            <w:shd w:fill="EBFB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2,495.7 </w:t>
            </w:r>
          </w:p>
        </w:tc>
        <w:tc>
          <w:tcPr>
            <w:tcW w:w="11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17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2,496.0 </w:t>
            </w:r>
          </w:p>
        </w:tc>
        <w:tc>
          <w:tcPr>
            <w:tcW w:w="15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25" w:type="dxa"/>
        <w:jc w:val="left"/>
        <w:tblInd w:w="0" w:type="dxa"/>
        <w:tblLayout w:type="fixed"/>
        <w:tblCellMar>
          <w:top w:w="28" w:type="dxa"/>
          <w:left w:w="28" w:type="dxa"/>
          <w:bottom w:w="28" w:type="dxa"/>
          <w:right w:w="28" w:type="dxa"/>
        </w:tblCellMar>
      </w:tblPr>
      <w:tblGrid>
        <w:gridCol w:w="1433"/>
        <w:gridCol w:w="1259"/>
        <w:gridCol w:w="1268"/>
        <w:gridCol w:w="228"/>
        <w:gridCol w:w="554"/>
        <w:gridCol w:w="119"/>
        <w:gridCol w:w="344"/>
        <w:gridCol w:w="663"/>
        <w:gridCol w:w="179"/>
        <w:gridCol w:w="223"/>
        <w:gridCol w:w="543"/>
        <w:gridCol w:w="109"/>
        <w:gridCol w:w="211"/>
        <w:gridCol w:w="616"/>
        <w:gridCol w:w="109"/>
        <w:gridCol w:w="344"/>
        <w:gridCol w:w="663"/>
        <w:gridCol w:w="179"/>
        <w:gridCol w:w="211"/>
        <w:gridCol w:w="616"/>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2962" w:type="dxa"/>
            <w:gridSpan w:val="9"/>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 of March 31, 2025</w:t>
            </w:r>
          </w:p>
        </w:tc>
        <w:tc>
          <w:tcPr>
            <w:tcW w:w="3103" w:type="dxa"/>
            <w:gridSpan w:val="9"/>
            <w:tcBorders>
              <w:top w:val="single" w:sz="8" w:space="0" w:color="004054"/>
              <w:left w:val="single" w:sz="8" w:space="0" w:color="51555C"/>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 of June 30, 2025</w:t>
            </w:r>
          </w:p>
        </w:tc>
      </w:tr>
      <w:tr>
        <w:trPr/>
        <w:tc>
          <w:tcPr>
            <w:tcW w:w="3960"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901"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875"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36"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81" w:type="dxa"/>
            <w:gridSpan w:val="3"/>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r>
      <w:tr>
        <w:trPr/>
        <w:tc>
          <w:tcPr>
            <w:tcW w:w="396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Accounts receivable, net of allowance</w:t>
            </w:r>
          </w:p>
        </w:tc>
        <w:tc>
          <w:tcPr>
            <w:tcW w:w="22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5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78.1 </w:t>
            </w:r>
          </w:p>
        </w:tc>
        <w:tc>
          <w:tcPr>
            <w:tcW w:w="11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78.1 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left w:val="single" w:sz="8" w:space="0" w:color="51555C"/>
            </w:tcBorders>
            <w:shd w:fill="EBFBFF" w:val="clear"/>
            <w:tcMar>
              <w:top w:w="3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145.2 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0.8 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146.0 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Prepaid expenses and other current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current assets</w:t>
            </w:r>
          </w:p>
        </w:tc>
        <w:tc>
          <w:tcPr>
            <w:tcW w:w="78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627.5 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627.6 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1,154.0 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1,155.1 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2,102.2 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Accrued expenses and other current liabilities</w:t>
            </w:r>
          </w:p>
        </w:tc>
        <w:tc>
          <w:tcPr>
            <w:tcW w:w="78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45.1 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40.9 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42.1 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Deferred revenue, current portion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326.2 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current liabilities</w:t>
            </w:r>
          </w:p>
        </w:tc>
        <w:tc>
          <w:tcPr>
            <w:tcW w:w="78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863.9 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864.3 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1,380.1 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1,380.9 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Deferred tax liability</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noncurrent liabilities</w:t>
            </w:r>
          </w:p>
        </w:tc>
        <w:tc>
          <w:tcPr>
            <w:tcW w:w="78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1,205.1 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15.5 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1,220.6 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1,161.4 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15.5 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1,176.9 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2,069.0 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Accumulated deficit</w:t>
            </w:r>
          </w:p>
        </w:tc>
        <w:tc>
          <w:tcPr>
            <w:tcW w:w="78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(79.4)</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(15.7)</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(95.1)</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(68.7)</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stockholders' equity</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liabilities and stockholders’ equity</w:t>
            </w:r>
          </w:p>
        </w:tc>
        <w:tc>
          <w:tcPr>
            <w:tcW w:w="782"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2,102.2 </w:t>
            </w:r>
          </w:p>
        </w:tc>
        <w:tc>
          <w:tcPr>
            <w:tcW w:w="11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2,102.4 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bottom w:val="single" w:sz="8" w:space="0" w:color="0CD973"/>
            </w:tcBorders>
            <w:shd w:fill="EBFB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2,629.4 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1.1 </w:t>
            </w:r>
          </w:p>
        </w:tc>
        <w:tc>
          <w:tcPr>
            <w:tcW w:w="17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2,630.5 </w:t>
            </w:r>
          </w:p>
        </w:tc>
        <w:tc>
          <w:tcPr>
            <w:tcW w:w="15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91540"/>
                <wp:effectExtent l="0" t="0" r="0" b="0"/>
                <wp:wrapNone/>
                <wp:docPr id="74" name="Frame2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7" descr=""/>
                                                <pic:cNvPicPr>
                                                  <a:picLocks noChangeAspect="1" noChangeArrowheads="1"/>
                                                </pic:cNvPicPr>
                                              </pic:nvPicPr>
                                              <pic:blipFill>
                                                <a:blip r:embed="rId51"/>
                                                <a:stretch>
                                                  <a:fillRect/>
                                                </a:stretch>
                                              </pic:blipFill>
                                              <pic:spPr bwMode="auto">
                                                <a:xfrm>
                                                  <a:off x="0" y="0"/>
                                                  <a:ext cx="723900" cy="190500"/>
                                                </a:xfrm>
                                                <a:prstGeom prst="rect">
                                                  <a:avLst/>
                                                </a:prstGeom>
                                              </pic:spPr>
                                            </pic:pic>
                                          </a:graphicData>
                                        </a:graphic>
                                      </wp:inline>
                                    </w:drawing>
                                  </w:r>
                                  <w:bookmarkStart w:id="49" w:name="i-27"/>
                                  <w:bookmarkEnd w:id="49"/>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7" descr=""/>
                                          <pic:cNvPicPr>
                                            <a:picLocks noChangeAspect="1" noChangeArrowheads="1"/>
                                          </pic:cNvPicPr>
                                        </pic:nvPicPr>
                                        <pic:blipFill>
                                          <a:blip r:embed="rId52"/>
                                          <a:stretch>
                                            <a:fillRect/>
                                          </a:stretch>
                                        </pic:blipFill>
                                        <pic:spPr bwMode="auto">
                                          <a:xfrm>
                                            <a:off x="0" y="0"/>
                                            <a:ext cx="723900" cy="190500"/>
                                          </a:xfrm>
                                          <a:prstGeom prst="rect">
                                            <a:avLst/>
                                          </a:prstGeom>
                                        </pic:spPr>
                                      </pic:pic>
                                    </a:graphicData>
                                  </a:graphic>
                                </wp:inline>
                              </w:drawing>
                            </w:r>
                            <w:bookmarkStart w:id="50" w:name="i-27"/>
                            <w:bookmarkEnd w:id="50"/>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0" w:after="120"/>
        <w:jc w:val="both"/>
        <w:rPr/>
      </w:pPr>
      <w:r>
        <w:rPr>
          <w:rFonts w:ascii="sans-serif" w:hAnsi="sans-serif"/>
          <w:b w:val="false"/>
          <w:i/>
          <w:color w:val="51555C"/>
          <w:sz w:val="20"/>
        </w:rPr>
        <w:t xml:space="preserve">Revised consolidated statements of comprehensive (loss) </w:t>
      </w:r>
      <w:r>
        <w:rPr>
          <w:rFonts w:ascii="sans-serif" w:hAnsi="sans-serif"/>
          <w:b w:val="false"/>
          <w:i/>
          <w:color w:val="51555C"/>
          <w:sz w:val="20"/>
          <w:shd w:fill="FFFFFF" w:val="clear"/>
        </w:rPr>
        <w:t>income</w:t>
      </w:r>
    </w:p>
    <w:tbl>
      <w:tblPr>
        <w:tblW w:w="7903" w:type="dxa"/>
        <w:jc w:val="left"/>
        <w:tblInd w:w="0" w:type="dxa"/>
        <w:tblLayout w:type="fixed"/>
        <w:tblCellMar>
          <w:top w:w="28" w:type="dxa"/>
          <w:left w:w="28" w:type="dxa"/>
          <w:bottom w:w="28" w:type="dxa"/>
          <w:right w:w="28" w:type="dxa"/>
        </w:tblCellMar>
      </w:tblPr>
      <w:tblGrid>
        <w:gridCol w:w="1629"/>
        <w:gridCol w:w="1431"/>
        <w:gridCol w:w="1440"/>
        <w:gridCol w:w="211"/>
        <w:gridCol w:w="766"/>
        <w:gridCol w:w="109"/>
        <w:gridCol w:w="344"/>
        <w:gridCol w:w="663"/>
        <w:gridCol w:w="179"/>
        <w:gridCol w:w="211"/>
        <w:gridCol w:w="766"/>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 except per share amounts)</w:t>
            </w:r>
          </w:p>
        </w:tc>
        <w:tc>
          <w:tcPr>
            <w:tcW w:w="3403" w:type="dxa"/>
            <w:gridSpan w:val="9"/>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Twelve months ended </w:t>
              <w:br/>
              <w:t>December 31, 2023</w:t>
            </w:r>
          </w:p>
        </w:tc>
      </w:tr>
      <w:tr>
        <w:trPr/>
        <w:tc>
          <w:tcPr>
            <w:tcW w:w="4500"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08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1131"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r>
      <w:tr>
        <w:trPr/>
        <w:tc>
          <w:tcPr>
            <w:tcW w:w="450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Revenue</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76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1,105.4 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76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1,107.1 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Cost of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Gross profit</w:t>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603.2 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(4.2)</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599.1 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operating expenses</w:t>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558.5 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(5.8)</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552.7 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Income from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Income before provision for income taxes</w:t>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Income tax provision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income</w:t>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Earnings per share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Basic</w:t>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0.03 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0.06 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Diluted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Comprehensive (loss)</w:t>
            </w:r>
          </w:p>
        </w:tc>
        <w:tc>
          <w:tcPr>
            <w:tcW w:w="97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(8.8)</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1.2 </w:t>
            </w:r>
          </w:p>
        </w:tc>
        <w:tc>
          <w:tcPr>
            <w:tcW w:w="17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w:t>
            </w:r>
          </w:p>
        </w:tc>
        <w:tc>
          <w:tcPr>
            <w:tcW w:w="15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002" w:type="dxa"/>
        <w:jc w:val="left"/>
        <w:tblInd w:w="0" w:type="dxa"/>
        <w:tblLayout w:type="fixed"/>
        <w:tblCellMar>
          <w:top w:w="28" w:type="dxa"/>
          <w:left w:w="28" w:type="dxa"/>
          <w:bottom w:w="28" w:type="dxa"/>
          <w:right w:w="28" w:type="dxa"/>
        </w:tblCellMar>
      </w:tblPr>
      <w:tblGrid>
        <w:gridCol w:w="862"/>
        <w:gridCol w:w="296"/>
        <w:gridCol w:w="298"/>
        <w:gridCol w:w="211"/>
        <w:gridCol w:w="616"/>
        <w:gridCol w:w="109"/>
        <w:gridCol w:w="337"/>
        <w:gridCol w:w="673"/>
        <w:gridCol w:w="176"/>
        <w:gridCol w:w="211"/>
        <w:gridCol w:w="616"/>
        <w:gridCol w:w="109"/>
        <w:gridCol w:w="211"/>
        <w:gridCol w:w="616"/>
        <w:gridCol w:w="109"/>
        <w:gridCol w:w="344"/>
        <w:gridCol w:w="663"/>
        <w:gridCol w:w="179"/>
        <w:gridCol w:w="211"/>
        <w:gridCol w:w="616"/>
        <w:gridCol w:w="109"/>
        <w:gridCol w:w="211"/>
        <w:gridCol w:w="616"/>
        <w:gridCol w:w="109"/>
        <w:gridCol w:w="337"/>
        <w:gridCol w:w="673"/>
        <w:gridCol w:w="176"/>
        <w:gridCol w:w="211"/>
        <w:gridCol w:w="616"/>
        <w:gridCol w:w="109"/>
        <w:gridCol w:w="109"/>
        <w:gridCol w:w="109"/>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 except per share amounts)</w:t>
            </w:r>
          </w:p>
        </w:tc>
        <w:tc>
          <w:tcPr>
            <w:tcW w:w="3058" w:type="dxa"/>
            <w:gridSpan w:val="9"/>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Three months ended </w:t>
              <w:br/>
              <w:t>March 31, 2024</w:t>
            </w:r>
          </w:p>
        </w:tc>
        <w:tc>
          <w:tcPr>
            <w:tcW w:w="3058" w:type="dxa"/>
            <w:gridSpan w:val="9"/>
            <w:tcBorders>
              <w:top w:val="single" w:sz="8" w:space="0" w:color="004054"/>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Three months ended</w:t>
              <w:br/>
              <w:t>June 30, 2024</w:t>
            </w:r>
          </w:p>
        </w:tc>
        <w:tc>
          <w:tcPr>
            <w:tcW w:w="3058" w:type="dxa"/>
            <w:gridSpan w:val="9"/>
            <w:tcBorders>
              <w:top w:val="single" w:sz="8" w:space="0" w:color="004054"/>
              <w:left w:val="single" w:sz="8" w:space="0" w:color="51555C"/>
              <w:right w:val="single" w:sz="8" w:space="0" w:color="51555C"/>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Three months ended </w:t>
              <w:b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56"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3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36"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3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36"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36" w:type="dxa"/>
            <w:gridSpan w:val="3"/>
            <w:tcBorders>
              <w:top w:val="single" w:sz="8" w:space="0" w:color="FFFFFF"/>
              <w:right w:val="single" w:sz="8" w:space="0" w:color="51555C"/>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Revenue</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279.3 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7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w:t>
            </w:r>
          </w:p>
        </w:tc>
        <w:tc>
          <w:tcPr>
            <w:tcW w:w="17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278.6 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left w:val="single" w:sz="8" w:space="0" w:color="51555C"/>
            </w:tcBorders>
            <w:shd w:fill="EBFBFF" w:val="clear"/>
            <w:tcMar>
              <w:top w:w="3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287.3 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287.3 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left w:val="single" w:sz="8" w:space="0" w:color="51555C"/>
            </w:tcBorders>
            <w:shd w:fill="EBFBFF" w:val="clear"/>
            <w:tcMar>
              <w:top w:w="3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286.7 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7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w:t>
            </w:r>
          </w:p>
        </w:tc>
        <w:tc>
          <w:tcPr>
            <w:tcW w:w="17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286.6 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Gross profit</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153.0 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150.7 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162.6 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160.9 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159.2 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157.3 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Sales, marketing and customer success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Research and development</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42.8 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40.7 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39.1 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39.4 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operating expenses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142.3 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(5.0)</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137.4 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120.5 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119.5 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115.4 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0.8 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116.2 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Income (loss)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Income (loss) before (benefit) provision for income taxes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32.7 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Income tax (benefit) 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income (loss)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Earnings (loss) per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left w:val="single" w:sz="8" w:space="0" w:color="51555C"/>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left w:val="single" w:sz="8" w:space="0" w:color="51555C"/>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Basic</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0.04 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(0.01)</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(0.05)</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Comprehensive income (loss)</w:t>
            </w:r>
          </w:p>
        </w:tc>
        <w:tc>
          <w:tcPr>
            <w:tcW w:w="82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8.2 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2.1 </w:t>
            </w:r>
          </w:p>
        </w:tc>
        <w:tc>
          <w:tcPr>
            <w:tcW w:w="17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10.2 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bottom w:val="single" w:sz="8" w:space="0" w:color="0CD973"/>
            </w:tcBorders>
            <w:shd w:fill="EBFB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20.8 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w:t>
            </w:r>
          </w:p>
        </w:tc>
        <w:tc>
          <w:tcPr>
            <w:tcW w:w="17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20.2 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bottom w:val="single" w:sz="8" w:space="0" w:color="0CD973"/>
            </w:tcBorders>
            <w:shd w:fill="EBFB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13.5 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w:t>
            </w:r>
          </w:p>
        </w:tc>
        <w:tc>
          <w:tcPr>
            <w:tcW w:w="17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11.2 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891540"/>
                <wp:effectExtent l="0" t="0" r="0" b="0"/>
                <wp:wrapNone/>
                <wp:docPr id="77" name="Frame2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8" descr=""/>
                                                <pic:cNvPicPr>
                                                  <a:picLocks noChangeAspect="1" noChangeArrowheads="1"/>
                                                </pic:cNvPicPr>
                                              </pic:nvPicPr>
                                              <pic:blipFill>
                                                <a:blip r:embed="rId53"/>
                                                <a:stretch>
                                                  <a:fillRect/>
                                                </a:stretch>
                                              </pic:blipFill>
                                              <pic:spPr bwMode="auto">
                                                <a:xfrm>
                                                  <a:off x="0" y="0"/>
                                                  <a:ext cx="733425" cy="190500"/>
                                                </a:xfrm>
                                                <a:prstGeom prst="rect">
                                                  <a:avLst/>
                                                </a:prstGeom>
                                              </pic:spPr>
                                            </pic:pic>
                                          </a:graphicData>
                                        </a:graphic>
                                      </wp:inline>
                                    </w:drawing>
                                  </w:r>
                                  <w:bookmarkStart w:id="51" w:name="i-28"/>
                                  <w:bookmarkEnd w:id="5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8" descr=""/>
                                          <pic:cNvPicPr>
                                            <a:picLocks noChangeAspect="1" noChangeArrowheads="1"/>
                                          </pic:cNvPicPr>
                                        </pic:nvPicPr>
                                        <pic:blipFill>
                                          <a:blip r:embed="rId54"/>
                                          <a:stretch>
                                            <a:fillRect/>
                                          </a:stretch>
                                        </pic:blipFill>
                                        <pic:spPr bwMode="auto">
                                          <a:xfrm>
                                            <a:off x="0" y="0"/>
                                            <a:ext cx="733425" cy="190500"/>
                                          </a:xfrm>
                                          <a:prstGeom prst="rect">
                                            <a:avLst/>
                                          </a:prstGeom>
                                        </pic:spPr>
                                      </pic:pic>
                                    </a:graphicData>
                                  </a:graphic>
                                </wp:inline>
                              </w:drawing>
                            </w:r>
                            <w:bookmarkStart w:id="52" w:name="i-28"/>
                            <w:bookmarkEnd w:id="5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0" w:after="120"/>
        <w:jc w:val="both"/>
        <w:rPr/>
      </w:pPr>
      <w:r>
        <w:rPr>
          <w:rFonts w:ascii="sans-serif" w:hAnsi="sans-serif"/>
          <w:b w:val="false"/>
          <w:i/>
          <w:color w:val="51555C"/>
          <w:sz w:val="20"/>
        </w:rPr>
        <w:t xml:space="preserve">Revised consolidated statements of comprehensive (loss) </w:t>
      </w:r>
      <w:r>
        <w:rPr>
          <w:rFonts w:ascii="sans-serif" w:hAnsi="sans-serif"/>
          <w:b w:val="false"/>
          <w:i/>
          <w:color w:val="51555C"/>
          <w:sz w:val="20"/>
          <w:shd w:fill="FFFFFF" w:val="clear"/>
        </w:rPr>
        <w:t>income (continued)</w:t>
      </w:r>
    </w:p>
    <w:tbl>
      <w:tblPr>
        <w:tblW w:w="10975" w:type="dxa"/>
        <w:jc w:val="left"/>
        <w:tblInd w:w="0" w:type="dxa"/>
        <w:tblLayout w:type="fixed"/>
        <w:tblCellMar>
          <w:top w:w="28" w:type="dxa"/>
          <w:left w:w="28" w:type="dxa"/>
          <w:bottom w:w="28" w:type="dxa"/>
          <w:right w:w="28" w:type="dxa"/>
        </w:tblCellMar>
      </w:tblPr>
      <w:tblGrid>
        <w:gridCol w:w="862"/>
        <w:gridCol w:w="296"/>
        <w:gridCol w:w="298"/>
        <w:gridCol w:w="211"/>
        <w:gridCol w:w="616"/>
        <w:gridCol w:w="109"/>
        <w:gridCol w:w="337"/>
        <w:gridCol w:w="673"/>
        <w:gridCol w:w="176"/>
        <w:gridCol w:w="211"/>
        <w:gridCol w:w="616"/>
        <w:gridCol w:w="109"/>
        <w:gridCol w:w="211"/>
        <w:gridCol w:w="616"/>
        <w:gridCol w:w="109"/>
        <w:gridCol w:w="337"/>
        <w:gridCol w:w="673"/>
        <w:gridCol w:w="176"/>
        <w:gridCol w:w="211"/>
        <w:gridCol w:w="616"/>
        <w:gridCol w:w="109"/>
        <w:gridCol w:w="211"/>
        <w:gridCol w:w="766"/>
        <w:gridCol w:w="109"/>
        <w:gridCol w:w="337"/>
        <w:gridCol w:w="673"/>
        <w:gridCol w:w="176"/>
        <w:gridCol w:w="211"/>
        <w:gridCol w:w="76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 except per share amounts)</w:t>
            </w:r>
          </w:p>
        </w:tc>
        <w:tc>
          <w:tcPr>
            <w:tcW w:w="3058" w:type="dxa"/>
            <w:gridSpan w:val="9"/>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Six months ended </w:t>
              <w:br/>
              <w:t>June 30, 2024</w:t>
            </w:r>
          </w:p>
        </w:tc>
        <w:tc>
          <w:tcPr>
            <w:tcW w:w="3058" w:type="dxa"/>
            <w:gridSpan w:val="9"/>
            <w:tcBorders>
              <w:top w:val="single" w:sz="8" w:space="0" w:color="004054"/>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Nine months ended </w:t>
              <w:br/>
              <w:t>September 30, 2024</w:t>
            </w:r>
          </w:p>
        </w:tc>
        <w:tc>
          <w:tcPr>
            <w:tcW w:w="3403" w:type="dxa"/>
            <w:gridSpan w:val="9"/>
            <w:tcBorders>
              <w:top w:val="single" w:sz="8" w:space="0" w:color="004054"/>
              <w:left w:val="single" w:sz="8" w:space="0" w:color="51555C"/>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Twelve months ended </w:t>
              <w:br/>
              <w:t>December 31, 2024</w:t>
            </w:r>
          </w:p>
        </w:tc>
      </w:tr>
      <w:tr>
        <w:trPr/>
        <w:tc>
          <w:tcPr>
            <w:tcW w:w="1456"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93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3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36"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3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1086"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1131" w:type="dxa"/>
            <w:gridSpan w:val="3"/>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r>
      <w:tr>
        <w:trPr/>
        <w:tc>
          <w:tcPr>
            <w:tcW w:w="145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Revenue</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566.5 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7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w:t>
            </w:r>
          </w:p>
        </w:tc>
        <w:tc>
          <w:tcPr>
            <w:tcW w:w="17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565.9 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left w:val="single" w:sz="8" w:space="0" w:color="51555C"/>
            </w:tcBorders>
            <w:shd w:fill="EBFBFF" w:val="clear"/>
            <w:tcMar>
              <w:top w:w="3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853.3 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7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(0.8)</w:t>
            </w:r>
          </w:p>
        </w:tc>
        <w:tc>
          <w:tcPr>
            <w:tcW w:w="17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852.5 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left w:val="single" w:sz="8" w:space="0" w:color="51555C"/>
            </w:tcBorders>
            <w:shd w:fill="EBFBFF" w:val="clear"/>
            <w:tcMar>
              <w:top w:w="3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76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1,155.5 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7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w:t>
            </w:r>
          </w:p>
        </w:tc>
        <w:tc>
          <w:tcPr>
            <w:tcW w:w="17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76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1,154.6 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Gross profit</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315.6 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(4.0)</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311.6 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474.8 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468.9 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639.2 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(7.8)</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631.4 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Sales, marketing and customer success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Research and development</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81.9 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78.1 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121.2 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116.0 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160.6 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(6.9)</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153.7 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Total operating expenses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262.8 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(6.0)</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256.9 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378.2 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373.0 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909.7 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(6.9)</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902.8 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Income (loss)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Income (loss) before provision (benefit) for income taxes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35.4 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66.2 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(0.8)</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65.4 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(311.6)</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(312.5)</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Income tax provision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income (loss)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47.6 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(0.8)</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(283.2)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(16.4)</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(299.5)</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Earnings (loss) per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left w:val="single" w:sz="8" w:space="0" w:color="51555C"/>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left w:val="single" w:sz="8" w:space="0" w:color="51555C"/>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Basic</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0.03 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(0.01)</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(5.60)</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(0.32)</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(5.92)</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Comprehensive income (loss)</w:t>
            </w:r>
          </w:p>
        </w:tc>
        <w:tc>
          <w:tcPr>
            <w:tcW w:w="82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28.9 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1.5 </w:t>
            </w:r>
          </w:p>
        </w:tc>
        <w:tc>
          <w:tcPr>
            <w:tcW w:w="17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30.4 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bottom w:val="single" w:sz="8" w:space="0" w:color="0CD973"/>
            </w:tcBorders>
            <w:shd w:fill="EBFB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42.4 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(0.8)</w:t>
            </w:r>
          </w:p>
        </w:tc>
        <w:tc>
          <w:tcPr>
            <w:tcW w:w="17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41.6 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left w:val="single" w:sz="8" w:space="0" w:color="51555C"/>
              <w:bottom w:val="single" w:sz="8" w:space="0" w:color="0CD973"/>
            </w:tcBorders>
            <w:shd w:fill="EBFB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(286.4)</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(16.4)</w:t>
            </w:r>
          </w:p>
        </w:tc>
        <w:tc>
          <w:tcPr>
            <w:tcW w:w="17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(302.7)</w:t>
            </w:r>
          </w:p>
        </w:tc>
        <w:tc>
          <w:tcPr>
            <w:tcW w:w="15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675" w:type="dxa"/>
        <w:jc w:val="left"/>
        <w:tblInd w:w="0" w:type="dxa"/>
        <w:tblLayout w:type="fixed"/>
        <w:tblCellMar>
          <w:top w:w="28" w:type="dxa"/>
          <w:left w:w="28" w:type="dxa"/>
          <w:bottom w:w="28" w:type="dxa"/>
          <w:right w:w="28" w:type="dxa"/>
        </w:tblCellMar>
      </w:tblPr>
      <w:tblGrid>
        <w:gridCol w:w="862"/>
        <w:gridCol w:w="296"/>
        <w:gridCol w:w="298"/>
        <w:gridCol w:w="211"/>
        <w:gridCol w:w="616"/>
        <w:gridCol w:w="109"/>
        <w:gridCol w:w="337"/>
        <w:gridCol w:w="673"/>
        <w:gridCol w:w="176"/>
        <w:gridCol w:w="211"/>
        <w:gridCol w:w="616"/>
        <w:gridCol w:w="109"/>
        <w:gridCol w:w="211"/>
        <w:gridCol w:w="616"/>
        <w:gridCol w:w="109"/>
        <w:gridCol w:w="344"/>
        <w:gridCol w:w="663"/>
        <w:gridCol w:w="179"/>
        <w:gridCol w:w="211"/>
        <w:gridCol w:w="616"/>
        <w:gridCol w:w="109"/>
        <w:gridCol w:w="211"/>
        <w:gridCol w:w="616"/>
        <w:gridCol w:w="109"/>
        <w:gridCol w:w="337"/>
        <w:gridCol w:w="673"/>
        <w:gridCol w:w="176"/>
        <w:gridCol w:w="211"/>
        <w:gridCol w:w="61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 except per share amounts)</w:t>
            </w:r>
          </w:p>
        </w:tc>
        <w:tc>
          <w:tcPr>
            <w:tcW w:w="3058" w:type="dxa"/>
            <w:gridSpan w:val="9"/>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Three months ended </w:t>
              <w:br/>
              <w:t>March 31, 2025</w:t>
            </w:r>
          </w:p>
        </w:tc>
        <w:tc>
          <w:tcPr>
            <w:tcW w:w="3058" w:type="dxa"/>
            <w:gridSpan w:val="9"/>
            <w:tcBorders>
              <w:top w:val="single" w:sz="8" w:space="0" w:color="004054"/>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Three months ended </w:t>
              <w:br/>
              <w:t>June 30, 2025</w:t>
            </w:r>
          </w:p>
        </w:tc>
        <w:tc>
          <w:tcPr>
            <w:tcW w:w="3103" w:type="dxa"/>
            <w:gridSpan w:val="9"/>
            <w:tcBorders>
              <w:top w:val="single" w:sz="8" w:space="0" w:color="004054"/>
              <w:left w:val="single" w:sz="8" w:space="0" w:color="51555C"/>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Six months ended </w:t>
              <w:br/>
              <w:t>June 30, 2025</w:t>
            </w:r>
          </w:p>
        </w:tc>
      </w:tr>
      <w:tr>
        <w:trPr/>
        <w:tc>
          <w:tcPr>
            <w:tcW w:w="1456"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3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36"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3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36"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81" w:type="dxa"/>
            <w:gridSpan w:val="3"/>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r>
      <w:tr>
        <w:trPr/>
        <w:tc>
          <w:tcPr>
            <w:tcW w:w="145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Revenue</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270.7 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7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w:t>
            </w:r>
          </w:p>
        </w:tc>
        <w:tc>
          <w:tcPr>
            <w:tcW w:w="17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269.9 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left w:val="single" w:sz="8" w:space="0" w:color="51555C"/>
            </w:tcBorders>
            <w:shd w:fill="EBFBFF" w:val="clear"/>
            <w:tcMar>
              <w:top w:w="3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282.0 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left w:val="single" w:sz="8" w:space="0" w:color="51555C"/>
            </w:tcBorders>
            <w:shd w:fill="EBFBFF" w:val="clear"/>
            <w:tcMar>
              <w:top w:w="3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552.0 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7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w:t>
            </w:r>
          </w:p>
        </w:tc>
        <w:tc>
          <w:tcPr>
            <w:tcW w:w="17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552.0 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Gross profit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Income from operations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77.1 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77.0 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Income before 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Income tax provision</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14.1 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Earnings per share</w:t>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left w:val="single" w:sz="8" w:space="0" w:color="51555C"/>
            </w:tcBorders>
            <w:shd w:fill="EBFB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left w:val="single" w:sz="8" w:space="0" w:color="51555C"/>
            </w:tcBorders>
            <w:shd w:fill="EBFB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Diluted</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(0.01)</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0.01 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Comprehensive income</w:t>
            </w:r>
          </w:p>
        </w:tc>
        <w:tc>
          <w:tcPr>
            <w:tcW w:w="82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w:t>
            </w:r>
          </w:p>
        </w:tc>
        <w:tc>
          <w:tcPr>
            <w:tcW w:w="17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bottom w:val="single" w:sz="8" w:space="0" w:color="0CD973"/>
            </w:tcBorders>
            <w:shd w:fill="FFFF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28.0 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0.5 </w:t>
            </w:r>
          </w:p>
        </w:tc>
        <w:tc>
          <w:tcPr>
            <w:tcW w:w="17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28.5 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bottom w:val="single" w:sz="8" w:space="0" w:color="0CD973"/>
            </w:tcBorders>
            <w:shd w:fill="FFFF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29.4 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w:t>
            </w:r>
          </w:p>
        </w:tc>
        <w:tc>
          <w:tcPr>
            <w:tcW w:w="17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29.4 </w:t>
            </w:r>
          </w:p>
        </w:tc>
        <w:tc>
          <w:tcPr>
            <w:tcW w:w="154"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91540"/>
                <wp:effectExtent l="0" t="0" r="0" b="0"/>
                <wp:wrapNone/>
                <wp:docPr id="80" name="Frame2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9" descr=""/>
                                                <pic:cNvPicPr>
                                                  <a:picLocks noChangeAspect="1" noChangeArrowheads="1"/>
                                                </pic:cNvPicPr>
                                              </pic:nvPicPr>
                                              <pic:blipFill>
                                                <a:blip r:embed="rId55"/>
                                                <a:stretch>
                                                  <a:fillRect/>
                                                </a:stretch>
                                              </pic:blipFill>
                                              <pic:spPr bwMode="auto">
                                                <a:xfrm>
                                                  <a:off x="0" y="0"/>
                                                  <a:ext cx="723900" cy="190500"/>
                                                </a:xfrm>
                                                <a:prstGeom prst="rect">
                                                  <a:avLst/>
                                                </a:prstGeom>
                                              </pic:spPr>
                                            </pic:pic>
                                          </a:graphicData>
                                        </a:graphic>
                                      </wp:inline>
                                    </w:drawing>
                                  </w:r>
                                  <w:bookmarkStart w:id="53" w:name="i-29"/>
                                  <w:bookmarkEnd w:id="53"/>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9" descr=""/>
                                          <pic:cNvPicPr>
                                            <a:picLocks noChangeAspect="1" noChangeArrowheads="1"/>
                                          </pic:cNvPicPr>
                                        </pic:nvPicPr>
                                        <pic:blipFill>
                                          <a:blip r:embed="rId56"/>
                                          <a:stretch>
                                            <a:fillRect/>
                                          </a:stretch>
                                        </pic:blipFill>
                                        <pic:spPr bwMode="auto">
                                          <a:xfrm>
                                            <a:off x="0" y="0"/>
                                            <a:ext cx="723900" cy="190500"/>
                                          </a:xfrm>
                                          <a:prstGeom prst="rect">
                                            <a:avLst/>
                                          </a:prstGeom>
                                        </pic:spPr>
                                      </pic:pic>
                                    </a:graphicData>
                                  </a:graphic>
                                </wp:inline>
                              </w:drawing>
                            </w:r>
                            <w:bookmarkStart w:id="54" w:name="i-29"/>
                            <w:bookmarkEnd w:id="54"/>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0" w:after="120"/>
        <w:jc w:val="both"/>
        <w:rPr>
          <w:rFonts w:ascii="sans-serif" w:hAnsi="sans-serif"/>
          <w:b w:val="false"/>
          <w:i/>
          <w:color w:val="51555C"/>
          <w:sz w:val="20"/>
        </w:rPr>
      </w:pPr>
      <w:r>
        <w:rPr>
          <w:rFonts w:ascii="sans-serif" w:hAnsi="sans-serif"/>
          <w:b w:val="false"/>
          <w:i/>
          <w:color w:val="51555C"/>
          <w:sz w:val="20"/>
        </w:rPr>
        <w:t>Revised consolidated statements of cash flows</w:t>
      </w:r>
    </w:p>
    <w:tbl>
      <w:tblPr>
        <w:tblW w:w="10205" w:type="dxa"/>
        <w:jc w:val="left"/>
        <w:tblInd w:w="0" w:type="dxa"/>
        <w:tblLayout w:type="fixed"/>
        <w:tblCellMar>
          <w:top w:w="28" w:type="dxa"/>
          <w:left w:w="28" w:type="dxa"/>
          <w:bottom w:w="28" w:type="dxa"/>
          <w:right w:w="28" w:type="dxa"/>
        </w:tblCellMar>
      </w:tblPr>
      <w:tblGrid>
        <w:gridCol w:w="2641"/>
        <w:gridCol w:w="2317"/>
        <w:gridCol w:w="2332"/>
        <w:gridCol w:w="261"/>
        <w:gridCol w:w="503"/>
        <w:gridCol w:w="137"/>
        <w:gridCol w:w="344"/>
        <w:gridCol w:w="663"/>
        <w:gridCol w:w="179"/>
        <w:gridCol w:w="226"/>
        <w:gridCol w:w="434"/>
        <w:gridCol w:w="168"/>
      </w:tblGrid>
      <w:tr>
        <w:trPr/>
        <w:tc>
          <w:tcPr>
            <w:tcW w:w="2641"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290"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2915"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Twelve months ended</w:t>
              <w:br/>
              <w:t>December 31, 2023</w:t>
            </w:r>
          </w:p>
        </w:tc>
      </w:tr>
      <w:tr>
        <w:trPr/>
        <w:tc>
          <w:tcPr>
            <w:tcW w:w="7290"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90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828" w:type="dxa"/>
            <w:gridSpan w:val="3"/>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r>
      <w:tr>
        <w:trPr/>
        <w:tc>
          <w:tcPr>
            <w:tcW w:w="729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Cash flows from operating activities</w:t>
            </w:r>
          </w:p>
        </w:tc>
        <w:tc>
          <w:tcPr>
            <w:tcW w:w="90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income</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Changes in operating assets and liabilities, net of acquisition and disposal of businesses:</w:t>
            </w:r>
          </w:p>
        </w:tc>
        <w:tc>
          <w:tcPr>
            <w:tcW w:w="90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Prepaid expenses and other assets</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Accrued expenses and other liabilities</w:t>
            </w:r>
          </w:p>
        </w:tc>
        <w:tc>
          <w:tcPr>
            <w:tcW w:w="76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(30.3)</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(29.7)</w:t>
            </w:r>
          </w:p>
        </w:tc>
        <w:tc>
          <w:tcPr>
            <w:tcW w:w="16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Deferred revenue</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cash provided by operating activities</w:t>
            </w:r>
          </w:p>
        </w:tc>
        <w:tc>
          <w:tcPr>
            <w:tcW w:w="764"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199.6 </w:t>
            </w:r>
          </w:p>
        </w:tc>
        <w:tc>
          <w:tcPr>
            <w:tcW w:w="137"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199.6 </w:t>
            </w:r>
          </w:p>
        </w:tc>
        <w:tc>
          <w:tcPr>
            <w:tcW w:w="168"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143" w:type="dxa"/>
        <w:jc w:val="left"/>
        <w:tblInd w:w="0" w:type="dxa"/>
        <w:tblLayout w:type="fixed"/>
        <w:tblCellMar>
          <w:top w:w="28" w:type="dxa"/>
          <w:left w:w="28" w:type="dxa"/>
          <w:bottom w:w="28" w:type="dxa"/>
          <w:right w:w="28" w:type="dxa"/>
        </w:tblCellMar>
      </w:tblPr>
      <w:tblGrid>
        <w:gridCol w:w="750"/>
        <w:gridCol w:w="277"/>
        <w:gridCol w:w="279"/>
        <w:gridCol w:w="261"/>
        <w:gridCol w:w="503"/>
        <w:gridCol w:w="137"/>
        <w:gridCol w:w="344"/>
        <w:gridCol w:w="663"/>
        <w:gridCol w:w="179"/>
        <w:gridCol w:w="226"/>
        <w:gridCol w:w="436"/>
        <w:gridCol w:w="119"/>
        <w:gridCol w:w="228"/>
        <w:gridCol w:w="554"/>
        <w:gridCol w:w="119"/>
        <w:gridCol w:w="344"/>
        <w:gridCol w:w="663"/>
        <w:gridCol w:w="179"/>
        <w:gridCol w:w="211"/>
        <w:gridCol w:w="511"/>
        <w:gridCol w:w="109"/>
        <w:gridCol w:w="228"/>
        <w:gridCol w:w="554"/>
        <w:gridCol w:w="119"/>
        <w:gridCol w:w="337"/>
        <w:gridCol w:w="673"/>
        <w:gridCol w:w="176"/>
        <w:gridCol w:w="211"/>
        <w:gridCol w:w="511"/>
        <w:gridCol w:w="109"/>
        <w:gridCol w:w="211"/>
        <w:gridCol w:w="631"/>
        <w:gridCol w:w="109"/>
        <w:gridCol w:w="295"/>
        <w:gridCol w:w="737"/>
        <w:gridCol w:w="154"/>
        <w:gridCol w:w="211"/>
        <w:gridCol w:w="631"/>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2868" w:type="dxa"/>
            <w:gridSpan w:val="9"/>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Three months ended</w:t>
              <w:br/>
              <w:t>March 31, 2024</w:t>
            </w:r>
          </w:p>
        </w:tc>
        <w:tc>
          <w:tcPr>
            <w:tcW w:w="2918" w:type="dxa"/>
            <w:gridSpan w:val="9"/>
            <w:tcBorders>
              <w:top w:val="single" w:sz="8" w:space="0" w:color="004054"/>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Six months ended</w:t>
              <w:br/>
              <w:t>June 30, 2024</w:t>
            </w:r>
          </w:p>
        </w:tc>
        <w:tc>
          <w:tcPr>
            <w:tcW w:w="2918" w:type="dxa"/>
            <w:gridSpan w:val="9"/>
            <w:tcBorders>
              <w:top w:val="single" w:sz="8" w:space="0" w:color="004054"/>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Nine months ended </w:t>
              <w:br/>
              <w:t>September 30, 2024</w:t>
            </w:r>
          </w:p>
        </w:tc>
        <w:tc>
          <w:tcPr>
            <w:tcW w:w="3133" w:type="dxa"/>
            <w:gridSpan w:val="9"/>
            <w:tcBorders>
              <w:top w:val="single" w:sz="8" w:space="0" w:color="004054"/>
              <w:left w:val="single" w:sz="8" w:space="0" w:color="51555C"/>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Twelve months ended</w:t>
              <w:br/>
              <w:t>December 31, 2024</w:t>
            </w:r>
          </w:p>
        </w:tc>
      </w:tr>
      <w:tr>
        <w:trPr/>
        <w:tc>
          <w:tcPr>
            <w:tcW w:w="1306"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90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781"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01"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831"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01"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831"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51"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96" w:type="dxa"/>
            <w:gridSpan w:val="3"/>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r>
      <w:tr>
        <w:trPr/>
        <w:tc>
          <w:tcPr>
            <w:tcW w:w="130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Cash flows from operating activities</w:t>
            </w:r>
          </w:p>
        </w:tc>
        <w:tc>
          <w:tcPr>
            <w:tcW w:w="90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4054"/>
              <w:left w:val="single" w:sz="8" w:space="0" w:color="51555C"/>
            </w:tcBorders>
            <w:shd w:fill="EBFB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4054"/>
              <w:left w:val="single" w:sz="8" w:space="0" w:color="51555C"/>
            </w:tcBorders>
            <w:shd w:fill="EBFB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4054"/>
              <w:left w:val="single" w:sz="8" w:space="0" w:color="51555C"/>
            </w:tcBorders>
            <w:shd w:fill="EBFB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income (loss)</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Adjustments to reconcile net income (loss) to net cash provided by operating activities:</w:t>
            </w:r>
          </w:p>
        </w:tc>
        <w:tc>
          <w:tcPr>
            <w:tcW w:w="90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51555C"/>
            </w:tcBorders>
            <w:shd w:fill="EBFB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51555C"/>
            </w:tcBorders>
            <w:shd w:fill="EBFB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left w:val="single" w:sz="8" w:space="0" w:color="51555C"/>
            </w:tcBorders>
            <w:shd w:fill="EBFB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Stock-based compensation expense</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Deferred taxes</w:t>
            </w:r>
          </w:p>
        </w:tc>
        <w:tc>
          <w:tcPr>
            <w:tcW w:w="76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(12.2)</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(11.7)</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(18.8)</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(18.4)</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(21.8)</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(85.0)</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(69.5)</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Changes in operating assets and liabilities, net of acquisition and disposal of businesses:</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51555C"/>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51555C"/>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left w:val="single" w:sz="8" w:space="0" w:color="51555C"/>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Prepaid expenses and other assets</w:t>
            </w:r>
          </w:p>
        </w:tc>
        <w:tc>
          <w:tcPr>
            <w:tcW w:w="76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(3.2)</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Trade accounts payable</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Accrued expenses and other liabilities</w:t>
            </w:r>
          </w:p>
        </w:tc>
        <w:tc>
          <w:tcPr>
            <w:tcW w:w="76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7.9 </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8.1 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(13.6)</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(13.4)</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(16.4)</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(16.1)</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(13.0)</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Deferred revenue</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cash provided by operating activities</w:t>
            </w:r>
          </w:p>
        </w:tc>
        <w:tc>
          <w:tcPr>
            <w:tcW w:w="76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64.6 </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65.3 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118.4 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118.4 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222.4 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222.4 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296.0 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296.0 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Cash flows from investing activities</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51555C"/>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51555C"/>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left w:val="single" w:sz="8" w:space="0" w:color="51555C"/>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Purchase of property and equipment</w:t>
            </w:r>
          </w:p>
        </w:tc>
        <w:tc>
          <w:tcPr>
            <w:tcW w:w="76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(6.1)</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(6.1)</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(7.2)</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(7.4)</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(7.4)</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cash used in investing activities</w:t>
            </w:r>
          </w:p>
        </w:tc>
        <w:tc>
          <w:tcPr>
            <w:tcW w:w="764"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(14.5)</w:t>
            </w:r>
          </w:p>
        </w:tc>
        <w:tc>
          <w:tcPr>
            <w:tcW w:w="137"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w:t>
            </w:r>
          </w:p>
        </w:tc>
        <w:tc>
          <w:tcPr>
            <w:tcW w:w="17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w:t>
            </w:r>
          </w:p>
        </w:tc>
        <w:tc>
          <w:tcPr>
            <w:tcW w:w="11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bottom w:val="single" w:sz="8" w:space="0" w:color="0CD973"/>
            </w:tcBorders>
            <w:shd w:fill="FFFF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(40.7)</w:t>
            </w:r>
          </w:p>
        </w:tc>
        <w:tc>
          <w:tcPr>
            <w:tcW w:w="11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(40.7)</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bottom w:val="single" w:sz="8" w:space="0" w:color="0CD973"/>
            </w:tcBorders>
            <w:shd w:fill="FFFF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(56.3)</w:t>
            </w:r>
          </w:p>
        </w:tc>
        <w:tc>
          <w:tcPr>
            <w:tcW w:w="11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(56.3)</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left w:val="single" w:sz="8" w:space="0" w:color="51555C"/>
              <w:bottom w:val="single" w:sz="8" w:space="0" w:color="0CD973"/>
            </w:tcBorders>
            <w:shd w:fill="FFFF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(73.4)</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(73.4)</w:t>
            </w:r>
          </w:p>
        </w:tc>
        <w:tc>
          <w:tcPr>
            <w:tcW w:w="154"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91540"/>
                <wp:effectExtent l="0" t="0" r="0" b="0"/>
                <wp:wrapNone/>
                <wp:docPr id="83" name="Frame2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8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0" descr=""/>
                                                <pic:cNvPicPr>
                                                  <a:picLocks noChangeAspect="1" noChangeArrowheads="1"/>
                                                </pic:cNvPicPr>
                                              </pic:nvPicPr>
                                              <pic:blipFill>
                                                <a:blip r:embed="rId57"/>
                                                <a:stretch>
                                                  <a:fillRect/>
                                                </a:stretch>
                                              </pic:blipFill>
                                              <pic:spPr bwMode="auto">
                                                <a:xfrm>
                                                  <a:off x="0" y="0"/>
                                                  <a:ext cx="733425" cy="190500"/>
                                                </a:xfrm>
                                                <a:prstGeom prst="rect">
                                                  <a:avLst/>
                                                </a:prstGeom>
                                              </pic:spPr>
                                            </pic:pic>
                                          </a:graphicData>
                                        </a:graphic>
                                      </wp:inline>
                                    </w:drawing>
                                  </w:r>
                                  <w:bookmarkStart w:id="55" w:name="i-30"/>
                                  <w:bookmarkEnd w:id="5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8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0" descr=""/>
                                          <pic:cNvPicPr>
                                            <a:picLocks noChangeAspect="1" noChangeArrowheads="1"/>
                                          </pic:cNvPicPr>
                                        </pic:nvPicPr>
                                        <pic:blipFill>
                                          <a:blip r:embed="rId58"/>
                                          <a:stretch>
                                            <a:fillRect/>
                                          </a:stretch>
                                        </pic:blipFill>
                                        <pic:spPr bwMode="auto">
                                          <a:xfrm>
                                            <a:off x="0" y="0"/>
                                            <a:ext cx="733425" cy="190500"/>
                                          </a:xfrm>
                                          <a:prstGeom prst="rect">
                                            <a:avLst/>
                                          </a:prstGeom>
                                        </pic:spPr>
                                      </pic:pic>
                                    </a:graphicData>
                                  </a:graphic>
                                </wp:inline>
                              </w:drawing>
                            </w:r>
                            <w:bookmarkStart w:id="56" w:name="i-30"/>
                            <w:bookmarkEnd w:id="5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0" w:after="120"/>
        <w:jc w:val="both"/>
        <w:rPr>
          <w:rFonts w:ascii="sans-serif" w:hAnsi="sans-serif"/>
          <w:b w:val="false"/>
          <w:i/>
          <w:color w:val="51555C"/>
          <w:sz w:val="20"/>
        </w:rPr>
      </w:pPr>
      <w:r>
        <w:rPr>
          <w:rFonts w:ascii="sans-serif" w:hAnsi="sans-serif"/>
          <w:b w:val="false"/>
          <w:i/>
          <w:color w:val="51555C"/>
          <w:sz w:val="20"/>
        </w:rPr>
        <w:t>Revised consolidated statements of cash flows (continued)</w:t>
      </w:r>
    </w:p>
    <w:tbl>
      <w:tblPr>
        <w:tblW w:w="10205" w:type="dxa"/>
        <w:jc w:val="left"/>
        <w:tblInd w:w="0" w:type="dxa"/>
        <w:tblLayout w:type="fixed"/>
        <w:tblCellMar>
          <w:top w:w="28" w:type="dxa"/>
          <w:left w:w="28" w:type="dxa"/>
          <w:bottom w:w="28" w:type="dxa"/>
          <w:right w:w="28" w:type="dxa"/>
        </w:tblCellMar>
      </w:tblPr>
      <w:tblGrid>
        <w:gridCol w:w="1676"/>
        <w:gridCol w:w="1343"/>
        <w:gridCol w:w="1353"/>
        <w:gridCol w:w="261"/>
        <w:gridCol w:w="503"/>
        <w:gridCol w:w="137"/>
        <w:gridCol w:w="337"/>
        <w:gridCol w:w="673"/>
        <w:gridCol w:w="176"/>
        <w:gridCol w:w="226"/>
        <w:gridCol w:w="436"/>
        <w:gridCol w:w="119"/>
        <w:gridCol w:w="228"/>
        <w:gridCol w:w="554"/>
        <w:gridCol w:w="119"/>
        <w:gridCol w:w="337"/>
        <w:gridCol w:w="673"/>
        <w:gridCol w:w="176"/>
        <w:gridCol w:w="211"/>
        <w:gridCol w:w="511"/>
        <w:gridCol w:w="156"/>
      </w:tblGrid>
      <w:tr>
        <w:trPr/>
        <w:tc>
          <w:tcPr>
            <w:tcW w:w="167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2"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2868" w:type="dxa"/>
            <w:gridSpan w:val="9"/>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Three months ended </w:t>
              <w:br/>
              <w:t>March 31, 2025</w:t>
            </w:r>
          </w:p>
        </w:tc>
        <w:tc>
          <w:tcPr>
            <w:tcW w:w="2965" w:type="dxa"/>
            <w:gridSpan w:val="9"/>
            <w:tcBorders>
              <w:top w:val="single" w:sz="8" w:space="0" w:color="004054"/>
              <w:left w:val="single" w:sz="8" w:space="0" w:color="51555C"/>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Six months ended </w:t>
              <w:br/>
              <w:t>June 30, 2025</w:t>
            </w:r>
          </w:p>
        </w:tc>
      </w:tr>
      <w:tr>
        <w:trPr/>
        <w:tc>
          <w:tcPr>
            <w:tcW w:w="4372"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90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781"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01"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878" w:type="dxa"/>
            <w:gridSpan w:val="3"/>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r>
      <w:tr>
        <w:trPr/>
        <w:tc>
          <w:tcPr>
            <w:tcW w:w="4372"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Cash flows from operating activities</w:t>
            </w:r>
          </w:p>
        </w:tc>
        <w:tc>
          <w:tcPr>
            <w:tcW w:w="90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4054"/>
              <w:left w:val="single" w:sz="8" w:space="0" w:color="51555C"/>
            </w:tcBorders>
            <w:shd w:fill="EBFB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income</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Adjustments to reconcile net income to net cash provided by operating activities:</w:t>
            </w:r>
          </w:p>
        </w:tc>
        <w:tc>
          <w:tcPr>
            <w:tcW w:w="90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51555C"/>
            </w:tcBorders>
            <w:shd w:fill="EBFB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Provision for credit losses and sales returns</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Changes in operating assets and liabilities, net of acquisition and disposal of businesses:</w:t>
            </w:r>
          </w:p>
        </w:tc>
        <w:tc>
          <w:tcPr>
            <w:tcW w:w="90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51555C"/>
            </w:tcBorders>
            <w:shd w:fill="EBFB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Prepaid expenses and other assets</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Accrued expenses and other liabilities</w:t>
            </w:r>
          </w:p>
        </w:tc>
        <w:tc>
          <w:tcPr>
            <w:tcW w:w="76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(8.2)</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(8.1)</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(10.2)</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1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(9.9)</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Deferred revenue</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cash provided by operating activities</w:t>
            </w:r>
          </w:p>
        </w:tc>
        <w:tc>
          <w:tcPr>
            <w:tcW w:w="764"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1.4 </w:t>
            </w:r>
          </w:p>
        </w:tc>
        <w:tc>
          <w:tcPr>
            <w:tcW w:w="137"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1.4 </w:t>
            </w:r>
          </w:p>
        </w:tc>
        <w:tc>
          <w:tcPr>
            <w:tcW w:w="11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left w:val="single" w:sz="8" w:space="0" w:color="51555C"/>
              <w:bottom w:val="single" w:sz="8" w:space="0" w:color="0CD973"/>
            </w:tcBorders>
            <w:shd w:fill="EBFB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68.3 </w:t>
            </w:r>
          </w:p>
        </w:tc>
        <w:tc>
          <w:tcPr>
            <w:tcW w:w="11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17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68.3 </w:t>
            </w:r>
          </w:p>
        </w:tc>
        <w:tc>
          <w:tcPr>
            <w:tcW w:w="15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sans-serif" w:hAnsi="sans-serif"/>
          <w:b w:val="false"/>
          <w:i/>
          <w:color w:val="51555C"/>
          <w:sz w:val="20"/>
        </w:rPr>
      </w:pPr>
      <w:r>
        <w:rPr>
          <w:rFonts w:ascii="sans-serif" w:hAnsi="sans-serif"/>
          <w:b w:val="false"/>
          <w:i/>
          <w:color w:val="51555C"/>
          <w:sz w:val="20"/>
        </w:rPr>
        <w:t>Revised consolidated statements of stockholders' equity</w:t>
      </w:r>
    </w:p>
    <w:tbl>
      <w:tblPr>
        <w:tblW w:w="8845" w:type="dxa"/>
        <w:jc w:val="left"/>
        <w:tblInd w:w="0" w:type="dxa"/>
        <w:tblLayout w:type="fixed"/>
        <w:tblCellMar>
          <w:top w:w="28" w:type="dxa"/>
          <w:left w:w="28" w:type="dxa"/>
          <w:bottom w:w="28" w:type="dxa"/>
          <w:right w:w="28" w:type="dxa"/>
        </w:tblCellMar>
      </w:tblPr>
      <w:tblGrid>
        <w:gridCol w:w="971"/>
        <w:gridCol w:w="854"/>
        <w:gridCol w:w="859"/>
        <w:gridCol w:w="211"/>
        <w:gridCol w:w="616"/>
        <w:gridCol w:w="109"/>
        <w:gridCol w:w="344"/>
        <w:gridCol w:w="663"/>
        <w:gridCol w:w="179"/>
        <w:gridCol w:w="211"/>
        <w:gridCol w:w="616"/>
        <w:gridCol w:w="109"/>
        <w:gridCol w:w="211"/>
        <w:gridCol w:w="616"/>
        <w:gridCol w:w="109"/>
        <w:gridCol w:w="344"/>
        <w:gridCol w:w="663"/>
        <w:gridCol w:w="179"/>
        <w:gridCol w:w="211"/>
        <w:gridCol w:w="61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sz w:val="16"/>
              </w:rPr>
              <w:br/>
            </w:r>
            <w:r>
              <w:rPr>
                <w:rFonts w:ascii="sans-serif" w:hAnsi="sans-serif"/>
                <w:b/>
                <w:color w:val="FFFFFF"/>
                <w:sz w:val="16"/>
              </w:rPr>
              <w:t xml:space="preserve">Retained earnings </w:t>
              <w:br/>
              <w:t>(accumulated deficit)</w:t>
            </w:r>
          </w:p>
        </w:tc>
        <w:tc>
          <w:tcPr>
            <w:tcW w:w="3103" w:type="dxa"/>
            <w:gridSpan w:val="9"/>
            <w:tcBorders>
              <w:top w:val="single" w:sz="8" w:space="0" w:color="004054"/>
              <w:left w:val="single" w:sz="8" w:space="0" w:color="51555C"/>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 stockholders' equity</w:t>
            </w:r>
          </w:p>
        </w:tc>
      </w:tr>
      <w:tr>
        <w:trPr/>
        <w:tc>
          <w:tcPr>
            <w:tcW w:w="268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3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36"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81" w:type="dxa"/>
            <w:gridSpan w:val="3"/>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r>
      <w:tr>
        <w:trPr/>
        <w:tc>
          <w:tcPr>
            <w:tcW w:w="268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Balance at December 31, 2022</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197.0 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197.0 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left w:val="single" w:sz="8" w:space="0" w:color="51555C"/>
            </w:tcBorders>
            <w:shd w:fill="EBFBFF" w:val="clear"/>
            <w:tcMar>
              <w:top w:w="3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744.0 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744.0 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Balance at December 31, 2023</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198.9 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200.1 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808.7 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809.9 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Balance at December 31, 2024</w:t>
            </w:r>
          </w:p>
        </w:tc>
        <w:tc>
          <w:tcPr>
            <w:tcW w:w="82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(84.3)</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w:t>
            </w:r>
          </w:p>
        </w:tc>
        <w:tc>
          <w:tcPr>
            <w:tcW w:w="17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(99.5)</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bottom w:val="single" w:sz="8" w:space="0" w:color="0CD973"/>
            </w:tcBorders>
            <w:shd w:fill="EBFB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142.0 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w:t>
            </w:r>
          </w:p>
        </w:tc>
        <w:tc>
          <w:tcPr>
            <w:tcW w:w="17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126.8 </w:t>
            </w:r>
          </w:p>
        </w:tc>
        <w:tc>
          <w:tcPr>
            <w:tcW w:w="15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91540"/>
                <wp:effectExtent l="0" t="0" r="0" b="0"/>
                <wp:wrapNone/>
                <wp:docPr id="86" name="Frame2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1" descr=""/>
                                                <pic:cNvPicPr>
                                                  <a:picLocks noChangeAspect="1" noChangeArrowheads="1"/>
                                                </pic:cNvPicPr>
                                              </pic:nvPicPr>
                                              <pic:blipFill>
                                                <a:blip r:embed="rId59"/>
                                                <a:stretch>
                                                  <a:fillRect/>
                                                </a:stretch>
                                              </pic:blipFill>
                                              <pic:spPr bwMode="auto">
                                                <a:xfrm>
                                                  <a:off x="0" y="0"/>
                                                  <a:ext cx="723900" cy="190500"/>
                                                </a:xfrm>
                                                <a:prstGeom prst="rect">
                                                  <a:avLst/>
                                                </a:prstGeom>
                                              </pic:spPr>
                                            </pic:pic>
                                          </a:graphicData>
                                        </a:graphic>
                                      </wp:inline>
                                    </w:drawing>
                                  </w:r>
                                  <w:bookmarkStart w:id="57" w:name="i-31"/>
                                  <w:bookmarkEnd w:id="57"/>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1" descr=""/>
                                          <pic:cNvPicPr>
                                            <a:picLocks noChangeAspect="1" noChangeArrowheads="1"/>
                                          </pic:cNvPicPr>
                                        </pic:nvPicPr>
                                        <pic:blipFill>
                                          <a:blip r:embed="rId60"/>
                                          <a:stretch>
                                            <a:fillRect/>
                                          </a:stretch>
                                        </pic:blipFill>
                                        <pic:spPr bwMode="auto">
                                          <a:xfrm>
                                            <a:off x="0" y="0"/>
                                            <a:ext cx="723900" cy="190500"/>
                                          </a:xfrm>
                                          <a:prstGeom prst="rect">
                                            <a:avLst/>
                                          </a:prstGeom>
                                        </pic:spPr>
                                      </pic:pic>
                                    </a:graphicData>
                                  </a:graphic>
                                </wp:inline>
                              </w:drawing>
                            </w:r>
                            <w:bookmarkStart w:id="58" w:name="i-31"/>
                            <w:bookmarkEnd w:id="58"/>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20" w:after="120"/>
        <w:jc w:val="left"/>
        <w:rPr>
          <w:rFonts w:ascii="sans-serif" w:hAnsi="sans-serif"/>
          <w:b w:val="false"/>
          <w:i/>
          <w:color w:val="51555C"/>
          <w:sz w:val="20"/>
        </w:rPr>
      </w:pPr>
      <w:r>
        <w:rPr>
          <w:rFonts w:ascii="sans-serif" w:hAnsi="sans-serif"/>
          <w:b w:val="false"/>
          <w:i/>
          <w:color w:val="51555C"/>
          <w:sz w:val="20"/>
        </w:rPr>
        <w:t>Revised consolidated statements of stockholders' equity (continued)</w:t>
      </w:r>
    </w:p>
    <w:tbl>
      <w:tblPr>
        <w:tblW w:w="10825" w:type="dxa"/>
        <w:jc w:val="left"/>
        <w:tblInd w:w="0" w:type="dxa"/>
        <w:tblLayout w:type="fixed"/>
        <w:tblCellMar>
          <w:top w:w="28" w:type="dxa"/>
          <w:left w:w="28" w:type="dxa"/>
          <w:bottom w:w="28" w:type="dxa"/>
          <w:right w:w="28" w:type="dxa"/>
        </w:tblCellMar>
      </w:tblPr>
      <w:tblGrid>
        <w:gridCol w:w="750"/>
        <w:gridCol w:w="277"/>
        <w:gridCol w:w="279"/>
        <w:gridCol w:w="211"/>
        <w:gridCol w:w="766"/>
        <w:gridCol w:w="109"/>
        <w:gridCol w:w="344"/>
        <w:gridCol w:w="663"/>
        <w:gridCol w:w="179"/>
        <w:gridCol w:w="211"/>
        <w:gridCol w:w="766"/>
        <w:gridCol w:w="109"/>
        <w:gridCol w:w="211"/>
        <w:gridCol w:w="616"/>
        <w:gridCol w:w="109"/>
        <w:gridCol w:w="344"/>
        <w:gridCol w:w="663"/>
        <w:gridCol w:w="179"/>
        <w:gridCol w:w="211"/>
        <w:gridCol w:w="616"/>
        <w:gridCol w:w="109"/>
        <w:gridCol w:w="211"/>
        <w:gridCol w:w="616"/>
        <w:gridCol w:w="109"/>
        <w:gridCol w:w="344"/>
        <w:gridCol w:w="663"/>
        <w:gridCol w:w="179"/>
        <w:gridCol w:w="211"/>
        <w:gridCol w:w="616"/>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Additional paid-in capital</w:t>
            </w:r>
          </w:p>
        </w:tc>
        <w:tc>
          <w:tcPr>
            <w:tcW w:w="3058" w:type="dxa"/>
            <w:gridSpan w:val="9"/>
            <w:tcBorders>
              <w:top w:val="single" w:sz="8" w:space="0" w:color="004054"/>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Retained earnings </w:t>
              <w:br/>
              <w:t>(accumulated deficit)</w:t>
            </w:r>
          </w:p>
        </w:tc>
        <w:tc>
          <w:tcPr>
            <w:tcW w:w="3103" w:type="dxa"/>
            <w:gridSpan w:val="9"/>
            <w:tcBorders>
              <w:top w:val="single" w:sz="8" w:space="0" w:color="004054"/>
              <w:left w:val="single" w:sz="8" w:space="0" w:color="51555C"/>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 stockholders' equity</w:t>
            </w:r>
          </w:p>
        </w:tc>
      </w:tr>
      <w:tr>
        <w:trPr/>
        <w:tc>
          <w:tcPr>
            <w:tcW w:w="130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08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10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36"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3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c>
          <w:tcPr>
            <w:tcW w:w="936" w:type="dxa"/>
            <w:gridSpan w:val="3"/>
            <w:tcBorders>
              <w:top w:val="single" w:sz="8" w:space="0" w:color="FFFFFF"/>
              <w:left w:val="single" w:sz="8" w:space="0" w:color="51555C"/>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w:t>
              <w:br/>
              <w:t>reported</w:t>
            </w:r>
          </w:p>
        </w:tc>
        <w:tc>
          <w:tcPr>
            <w:tcW w:w="1186"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Adjustment</w:t>
            </w:r>
          </w:p>
        </w:tc>
        <w:tc>
          <w:tcPr>
            <w:tcW w:w="981" w:type="dxa"/>
            <w:gridSpan w:val="3"/>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As </w:t>
              <w:br/>
              <w:t>revised</w:t>
            </w:r>
          </w:p>
        </w:tc>
      </w:tr>
      <w:tr>
        <w:trPr/>
        <w:tc>
          <w:tcPr>
            <w:tcW w:w="130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Balance at December 31, 2023</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76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1,203.0 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76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1,203.0 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left w:val="single" w:sz="8" w:space="0" w:color="51555C"/>
            </w:tcBorders>
            <w:shd w:fill="EBFBFF" w:val="clear"/>
            <w:tcMar>
              <w:top w:w="3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198.9 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200.1 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left w:val="single" w:sz="8" w:space="0" w:color="51555C"/>
            </w:tcBorders>
            <w:shd w:fill="EBFBFF" w:val="clear"/>
            <w:tcMar>
              <w:top w:w="3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808.7 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1.2 </w:t>
            </w:r>
          </w:p>
        </w:tc>
        <w:tc>
          <w:tcPr>
            <w:tcW w:w="17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809.9 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Stock-based compensation</w:t>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Balance at March 31, 2024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income</w:t>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Stock-based compensation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Balance at June 30, 2024</w:t>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1,208.6 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1,206.1 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225.9 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228.6 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577.3 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577.5 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Stock-based compensation</w:t>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21.1 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Balance at September 30, 2024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51555C"/>
              <w:left w:val="single" w:sz="8" w:space="0" w:color="51555C"/>
            </w:tcBorders>
            <w:shd w:fill="EBFB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51555C"/>
              <w:left w:val="single" w:sz="8" w:space="0" w:color="51555C"/>
            </w:tcBorders>
            <w:shd w:fill="EBFB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Balance at December 31, 2024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income</w:t>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Balance at March 31,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FFFF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Net income</w:t>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tcBorders>
            <w:shd w:fill="EBFBFF" w:val="clear"/>
            <w:tcMar>
              <w:top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Balance at June 30, 2025</w:t>
            </w:r>
          </w:p>
        </w:tc>
        <w:tc>
          <w:tcPr>
            <w:tcW w:w="97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1,347.2 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1,347.2 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bottom w:val="single" w:sz="8" w:space="0" w:color="0CD973"/>
            </w:tcBorders>
            <w:shd w:fill="FFFF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(53.5)</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w:t>
            </w:r>
          </w:p>
        </w:tc>
        <w:tc>
          <w:tcPr>
            <w:tcW w:w="17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(68.7)</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51555C"/>
              <w:bottom w:val="single" w:sz="8" w:space="0" w:color="0CD973"/>
            </w:tcBorders>
            <w:shd w:fill="FFFFFF" w:val="clear"/>
            <w:tcMar>
              <w:top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88.0 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w:t>
            </w:r>
          </w:p>
        </w:tc>
        <w:tc>
          <w:tcPr>
            <w:tcW w:w="17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72.7 </w:t>
            </w:r>
          </w:p>
        </w:tc>
        <w:tc>
          <w:tcPr>
            <w:tcW w:w="154"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91540"/>
                <wp:effectExtent l="0" t="0" r="0" b="0"/>
                <wp:wrapNone/>
                <wp:docPr id="89" name="Frame3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9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2" descr=""/>
                                                <pic:cNvPicPr>
                                                  <a:picLocks noChangeAspect="1" noChangeArrowheads="1"/>
                                                </pic:cNvPicPr>
                                              </pic:nvPicPr>
                                              <pic:blipFill>
                                                <a:blip r:embed="rId61"/>
                                                <a:stretch>
                                                  <a:fillRect/>
                                                </a:stretch>
                                              </pic:blipFill>
                                              <pic:spPr bwMode="auto">
                                                <a:xfrm>
                                                  <a:off x="0" y="0"/>
                                                  <a:ext cx="733425" cy="190500"/>
                                                </a:xfrm>
                                                <a:prstGeom prst="rect">
                                                  <a:avLst/>
                                                </a:prstGeom>
                                              </pic:spPr>
                                            </pic:pic>
                                          </a:graphicData>
                                        </a:graphic>
                                      </wp:inline>
                                    </w:drawing>
                                  </w:r>
                                  <w:bookmarkStart w:id="59" w:name="i-32"/>
                                  <w:bookmarkEnd w:id="5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9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2" descr=""/>
                                          <pic:cNvPicPr>
                                            <a:picLocks noChangeAspect="1" noChangeArrowheads="1"/>
                                          </pic:cNvPicPr>
                                        </pic:nvPicPr>
                                        <pic:blipFill>
                                          <a:blip r:embed="rId62"/>
                                          <a:stretch>
                                            <a:fillRect/>
                                          </a:stretch>
                                        </pic:blipFill>
                                        <pic:spPr bwMode="auto">
                                          <a:xfrm>
                                            <a:off x="0" y="0"/>
                                            <a:ext cx="733425" cy="190500"/>
                                          </a:xfrm>
                                          <a:prstGeom prst="rect">
                                            <a:avLst/>
                                          </a:prstGeom>
                                        </pic:spPr>
                                      </pic:pic>
                                    </a:graphicData>
                                  </a:graphic>
                                </wp:inline>
                              </w:drawing>
                            </w:r>
                            <w:bookmarkStart w:id="60" w:name="i-32"/>
                            <w:bookmarkEnd w:id="6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2. MANAGEMENT'S DISCUSSION AND ANALYSIS OF FINANCIAL CONDITION AND RESULTS OF OPERATIONS</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The following discussion and analysis of our financial condition and results of operations should be read in conjunction with our unaudited,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unaudited, condensed consolidated financial statements and related notes which are primarily denominated in thousands of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34" w:type="dxa"/>
        <w:jc w:val="left"/>
        <w:tblInd w:w="0" w:type="dxa"/>
        <w:tblLayout w:type="fixed"/>
        <w:tblCellMar>
          <w:top w:w="28" w:type="dxa"/>
          <w:left w:w="28" w:type="dxa"/>
          <w:bottom w:w="28" w:type="dxa"/>
          <w:right w:w="28" w:type="dxa"/>
        </w:tblCellMar>
      </w:tblPr>
      <w:tblGrid>
        <w:gridCol w:w="907"/>
        <w:gridCol w:w="798"/>
        <w:gridCol w:w="1129"/>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Executive Summary</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the leading software provider exclusively dedicated to powering social impact. Serving the nonprofit and education sectors, companies committed to social responsibility and individual change makers, our essential software is built to accelerate impact in fundraising, nonprofit financial management, digital giving, grantmaking, corporate social responsibility and education management. A remote-first company, we have operations in the United States, Australia, Canada, Costa Rica, India and the United Kingdom, supporting users in 100+ countries.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 is primarily generated from the following sources: (i) charging for the use of our software solutions in cloud and hosted environments; and (ii) providing payment and transaction services.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Business Update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business has proven its resilience during challenging times. The social impact market has been a consistent grower for many decades, through recessions, business upturns and downturns, and even through the COVID-19 global pandemic. We understand there are concerns about federal grant funding in the U.S. and how it potentially impacts our customers. But similar to COVID-19, we believe this uncertainty only makes our software more critical to our customer’s operations, enabling them to improve fundraising outcomes and to undertake or sharpen their own cost-management initiatives. To be clear, our solutions are not in the funds flow from federal agencies, but are used for fundraising from individual donors, which is even more critical now.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Blackbaud has undertaken a number of operational initiatives that we believe set us up to perform well, even in a challenging market.</w:t>
      </w:r>
    </w:p>
    <w:p>
      <w:pPr>
        <w:pStyle w:val="TextBody"/>
        <w:bidi w:val="0"/>
        <w:spacing w:lineRule="auto" w:line="288" w:before="120" w:after="283"/>
        <w:ind w:left="0" w:right="0" w:hanging="360"/>
        <w:jc w:val="both"/>
        <w:rPr/>
      </w:pPr>
      <w:r>
        <w:rPr>
          <w:color w:val="51555C"/>
        </w:rPr>
        <w:t>•</w:t>
      </w:r>
      <w:r>
        <w:rPr>
          <w:rFonts w:ascii="sans-serif" w:hAnsi="sans-serif"/>
          <w:b w:val="false"/>
          <w:color w:val="51555C"/>
          <w:sz w:val="20"/>
        </w:rPr>
        <w:t>In 2023, we began transitioning our contractual revenue contracts from primarily 1-year to primarily 3-year renewal terms. This modernized approach to contract terms provides increased visibility and consistency for two-thirds of our revenue base and provides better predictability for our customers.</w:t>
      </w:r>
    </w:p>
    <w:p>
      <w:pPr>
        <w:pStyle w:val="TextBody"/>
        <w:bidi w:val="0"/>
        <w:spacing w:lineRule="auto" w:line="288" w:before="120" w:after="283"/>
        <w:ind w:left="0" w:right="0" w:hanging="360"/>
        <w:jc w:val="both"/>
        <w:rPr/>
      </w:pPr>
      <w:r>
        <w:rPr>
          <w:color w:val="51555C"/>
        </w:rPr>
        <w:t>•</w:t>
      </w:r>
      <w:r>
        <w:rPr>
          <w:rFonts w:ascii="sans-serif" w:hAnsi="sans-serif"/>
          <w:b w:val="false"/>
          <w:color w:val="51555C"/>
          <w:sz w:val="20"/>
        </w:rPr>
        <w:t>Over the past several years, we have transitioned the majority of our products and customers to leading public cloud service providers, while shutting down many of our private data centers, with only two of our own data centers remaining.</w:t>
      </w:r>
    </w:p>
    <w:p>
      <w:pPr>
        <w:pStyle w:val="TextBody"/>
        <w:bidi w:val="0"/>
        <w:spacing w:lineRule="auto" w:line="288" w:before="120" w:after="283"/>
        <w:ind w:left="0" w:right="0" w:hanging="360"/>
        <w:jc w:val="both"/>
        <w:rPr/>
      </w:pPr>
      <w:r>
        <w:rPr>
          <w:color w:val="51555C"/>
        </w:rPr>
        <w:t>•</w:t>
      </w:r>
      <w:r>
        <w:rPr>
          <w:rFonts w:ascii="sans-serif" w:hAnsi="sans-serif"/>
          <w:b w:val="false"/>
          <w:color w:val="51555C"/>
          <w:sz w:val="20"/>
        </w:rPr>
        <w:t>We continue to innovate through the increasing use of AI to not only empower our customers but also improve our own internal productivity.</w:t>
      </w:r>
    </w:p>
    <w:p>
      <w:pPr>
        <w:pStyle w:val="TextBody"/>
        <w:bidi w:val="0"/>
        <w:spacing w:lineRule="auto" w:line="288" w:before="120" w:after="283"/>
        <w:ind w:left="0" w:right="0" w:hanging="360"/>
        <w:jc w:val="both"/>
        <w:rPr/>
      </w:pPr>
      <w:r>
        <w:rPr>
          <w:color w:val="51555C"/>
        </w:rPr>
        <w:t>•</w:t>
      </w:r>
      <w:r>
        <w:rPr>
          <w:rFonts w:ascii="sans-serif" w:hAnsi="sans-serif"/>
          <w:b w:val="false"/>
          <w:color w:val="51555C"/>
          <w:sz w:val="20"/>
        </w:rPr>
        <w:t>We have right-sized our operations by rationalizing office leases and renegotiating a number of our significant vendor contracts.</w:t>
      </w:r>
    </w:p>
    <w:p>
      <w:pPr>
        <w:pStyle w:val="TextBody"/>
        <w:bidi w:val="0"/>
        <w:spacing w:lineRule="auto" w:line="288" w:before="120" w:after="283"/>
        <w:ind w:left="0" w:right="0" w:hanging="360"/>
        <w:jc w:val="both"/>
        <w:rPr/>
      </w:pPr>
      <w:r>
        <w:rPr>
          <w:color w:val="51555C"/>
        </w:rPr>
        <w:t>•</w:t>
      </w:r>
      <w:r>
        <w:rPr>
          <w:rFonts w:ascii="sans-serif" w:hAnsi="sans-serif"/>
          <w:b w:val="false"/>
          <w:color w:val="51555C"/>
          <w:sz w:val="20"/>
        </w:rPr>
        <w:t>We are currently expanding our operations in India to gain greater access to talent, while also benefiting from the lower cost of the jurisdiction. In 2024, we began hiring employees in India, including management, to support this expansion.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Despite a strong focus on reducing expenses, we continue to invest aggressively in innovation and our extensive developer network to help our customers raise more money while enhancing and streamlining their operations. Our innovation and end to end workflows continue to be a competitive differentiator and drive sales. We are supporting this initiative through enhancements in sales and marketing programs and we continue to identify, experiment, and scale a range of successful solutions across marketing, customer success, and engineering to be an active innovator through applied AI.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91540"/>
                <wp:effectExtent l="0" t="0" r="0" b="0"/>
                <wp:wrapNone/>
                <wp:docPr id="92" name="Frame3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9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3" descr=""/>
                                                <pic:cNvPicPr>
                                                  <a:picLocks noChangeAspect="1" noChangeArrowheads="1"/>
                                                </pic:cNvPicPr>
                                              </pic:nvPicPr>
                                              <pic:blipFill>
                                                <a:blip r:embed="rId63"/>
                                                <a:stretch>
                                                  <a:fillRect/>
                                                </a:stretch>
                                              </pic:blipFill>
                                              <pic:spPr bwMode="auto">
                                                <a:xfrm>
                                                  <a:off x="0" y="0"/>
                                                  <a:ext cx="723900" cy="190500"/>
                                                </a:xfrm>
                                                <a:prstGeom prst="rect">
                                                  <a:avLst/>
                                                </a:prstGeom>
                                              </pic:spPr>
                                            </pic:pic>
                                          </a:graphicData>
                                        </a:graphic>
                                      </wp:inline>
                                    </w:drawing>
                                  </w:r>
                                  <w:bookmarkStart w:id="61" w:name="i-33"/>
                                  <w:bookmarkEnd w:id="61"/>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9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3" descr=""/>
                                          <pic:cNvPicPr>
                                            <a:picLocks noChangeAspect="1" noChangeArrowheads="1"/>
                                          </pic:cNvPicPr>
                                        </pic:nvPicPr>
                                        <pic:blipFill>
                                          <a:blip r:embed="rId64"/>
                                          <a:stretch>
                                            <a:fillRect/>
                                          </a:stretch>
                                        </pic:blipFill>
                                        <pic:spPr bwMode="auto">
                                          <a:xfrm>
                                            <a:off x="0" y="0"/>
                                            <a:ext cx="723900" cy="190500"/>
                                          </a:xfrm>
                                          <a:prstGeom prst="rect">
                                            <a:avLst/>
                                          </a:prstGeom>
                                        </pic:spPr>
                                      </pic:pic>
                                    </a:graphicData>
                                  </a:graphic>
                                </wp:inline>
                              </w:drawing>
                            </w:r>
                            <w:bookmarkStart w:id="62" w:name="i-33"/>
                            <w:bookmarkEnd w:id="62"/>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Three specific areas that our management team continues to focus on: 1) acquiring new logos; 2) driving innovation and, as such, strengthening our customer relationships through additional solutions and renewals; and 3) driving higher profitability through operational discipline and efficiencies.</w:t>
      </w:r>
    </w:p>
    <w:p>
      <w:pPr>
        <w:pStyle w:val="TextBody"/>
        <w:bidi w:val="0"/>
        <w:spacing w:lineRule="auto" w:line="288" w:before="180" w:after="283"/>
        <w:jc w:val="both"/>
        <w:rPr/>
      </w:pPr>
      <w:r>
        <w:rPr>
          <w:rFonts w:ascii="sans-serif" w:hAnsi="sans-serif"/>
          <w:b w:val="false"/>
          <w:color w:val="51555C"/>
          <w:sz w:val="20"/>
        </w:rPr>
        <w:t xml:space="preserve">At </w:t>
      </w:r>
      <w:r>
        <w:rPr>
          <w:rFonts w:ascii="sans-serif" w:hAnsi="sans-serif"/>
          <w:b w:val="false"/>
          <w:i/>
          <w:color w:val="51555C"/>
          <w:sz w:val="20"/>
        </w:rPr>
        <w:t>bbcon®</w:t>
      </w:r>
      <w:r>
        <w:rPr>
          <w:rFonts w:ascii="sans-serif" w:hAnsi="sans-serif"/>
          <w:b w:val="false"/>
          <w:color w:val="51555C"/>
          <w:sz w:val="20"/>
        </w:rPr>
        <w:t>, our annual user conference, we launched our new agentic AI suite, “Agents for Good™, to help social impact organizations expand their teams with virtual team members and achieve more, at scale. This suite of agents from Blackbaud is intended to turn AI into active teammates that autonomously execute complex workflows and free up teams across fundraising, finance and corporate impact.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a remote-flexible workforce company, we continuously evaluate opportunities to shift various business units, functions or roles to lower-cost jurisdictions, including internationally, when we determine that it would reduce costs without negatively impacting the quality of our products and services. See discussion about our operations in India above.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February 2025, we announced our intention to repurchase between 3% and 5% of our outstanding common stock as of December 31, 2024, during the course of 2025 under our stock repurchase program. During the three months ended September 30, 2025, we repurchased 459,528 shares for $30.1 million. During the nine months ended September 30, 2025, we repurchased an aggregate of 1,972,550 shares for $130.2 million. Including net share settlement of employee stock compensation, these repurchases represent approximately 5.2% of our outstanding common stock as of December 31, 2024. As of September 30, 2025, $514.4 million remained available under our stock repurchase program. We expect to remain active in the market during the fourth quarter of 2025 and into 2026. Based on our current plans, we expect total repurchases during 2025 to represent between 5.2% and 7.0% of our outstanding common stock as of December 31, 2024. We preliminarily expect our share repurchase activity in 2026 to be similar to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51555C"/>
          <w:sz w:val="20"/>
        </w:rPr>
      </w:pPr>
      <w:r>
        <w:rPr>
          <w:rFonts w:ascii="sans-serif" w:hAnsi="sans-serif"/>
          <w:b/>
          <w:color w:val="51555C"/>
          <w:sz w:val="20"/>
        </w:rPr>
        <w:t>Financial Summary</w:t>
      </w:r>
    </w:p>
    <w:p>
      <w:pPr>
        <w:pStyle w:val="TextBody"/>
        <w:bidi w:val="0"/>
        <w:spacing w:before="180" w:after="283"/>
        <w:jc w:val="both"/>
        <w:rPr/>
      </w:pPr>
      <w:r>
        <w:rPr/>
      </w:r>
    </w:p>
    <w:tbl>
      <w:tblPr>
        <w:tblW w:w="5275" w:type="dxa"/>
        <w:jc w:val="left"/>
        <w:tblInd w:w="0" w:type="dxa"/>
        <w:tblLayout w:type="fixed"/>
        <w:tblCellMar>
          <w:top w:w="28" w:type="dxa"/>
          <w:left w:w="28" w:type="dxa"/>
          <w:bottom w:w="28" w:type="dxa"/>
          <w:right w:w="28" w:type="dxa"/>
        </w:tblCellMar>
      </w:tblPr>
      <w:tblGrid>
        <w:gridCol w:w="712"/>
        <w:gridCol w:w="624"/>
        <w:gridCol w:w="628"/>
        <w:gridCol w:w="109"/>
        <w:gridCol w:w="109"/>
        <w:gridCol w:w="109"/>
        <w:gridCol w:w="873"/>
        <w:gridCol w:w="873"/>
        <w:gridCol w:w="1238"/>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Total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Income from operations ($M)</w:t>
            </w:r>
          </w:p>
        </w:tc>
      </w:tr>
      <w:tr>
        <w:trPr/>
        <w:tc>
          <w:tcPr>
            <w:tcW w:w="196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r>
    </w:tbl>
    <w:p>
      <w:pPr>
        <w:pStyle w:val="TextBody"/>
        <w:bidi w:val="0"/>
        <w:spacing w:lineRule="auto" w:line="288" w:before="180" w:after="283"/>
        <w:jc w:val="both"/>
        <w:rPr/>
      </w:pPr>
      <w:r>
        <w:rPr>
          <w:color w:val="51555C"/>
        </w:rPr>
        <w:t>      </w:t>
      </w:r>
      <w:r>
        <w:rPr/>
        <w:drawing>
          <wp:inline distT="0" distB="0" distL="0" distR="0">
            <wp:extent cx="2533650" cy="1581150"/>
            <wp:effectExtent l="0" t="0" r="0" b="0"/>
            <wp:docPr id="9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4" descr=""/>
                    <pic:cNvPicPr>
                      <a:picLocks noChangeAspect="1" noChangeArrowheads="1"/>
                    </pic:cNvPicPr>
                  </pic:nvPicPr>
                  <pic:blipFill>
                    <a:blip r:embed="rId65"/>
                    <a:stretch>
                      <a:fillRect/>
                    </a:stretch>
                  </pic:blipFill>
                  <pic:spPr bwMode="auto">
                    <a:xfrm>
                      <a:off x="0" y="0"/>
                      <a:ext cx="2533650" cy="1581150"/>
                    </a:xfrm>
                    <a:prstGeom prst="rect">
                      <a:avLst/>
                    </a:prstGeom>
                  </pic:spPr>
                </pic:pic>
              </a:graphicData>
            </a:graphic>
          </wp:inline>
        </w:drawing>
      </w:r>
      <w:bookmarkStart w:id="63" w:name="i-34"/>
      <w:bookmarkEnd w:id="63"/>
      <w:r>
        <w:rPr>
          <w:color w:val="51555C"/>
        </w:rPr>
        <w:t>                                    </w:t>
      </w:r>
      <w:r>
        <w:rPr/>
        <w:drawing>
          <wp:inline distT="0" distB="0" distL="0" distR="0">
            <wp:extent cx="2533650" cy="1581150"/>
            <wp:effectExtent l="0" t="0" r="0" b="0"/>
            <wp:docPr id="9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5" descr=""/>
                    <pic:cNvPicPr>
                      <a:picLocks noChangeAspect="1" noChangeArrowheads="1"/>
                    </pic:cNvPicPr>
                  </pic:nvPicPr>
                  <pic:blipFill>
                    <a:blip r:embed="rId66"/>
                    <a:stretch>
                      <a:fillRect/>
                    </a:stretch>
                  </pic:blipFill>
                  <pic:spPr bwMode="auto">
                    <a:xfrm>
                      <a:off x="0" y="0"/>
                      <a:ext cx="2533650" cy="1581150"/>
                    </a:xfrm>
                    <a:prstGeom prst="rect">
                      <a:avLst/>
                    </a:prstGeom>
                  </pic:spPr>
                </pic:pic>
              </a:graphicData>
            </a:graphic>
          </wp:inline>
        </w:drawing>
      </w:r>
      <w:bookmarkStart w:id="64" w:name="i-35"/>
      <w:bookmarkEnd w:id="64"/>
    </w:p>
    <w:p>
      <w:pPr>
        <w:pStyle w:val="TextBody"/>
        <w:bidi w:val="0"/>
        <w:spacing w:lineRule="auto" w:line="288" w:before="180" w:after="283"/>
        <w:jc w:val="both"/>
        <w:rPr/>
      </w:pPr>
      <w:r>
        <w:rPr>
          <w:color w:val="51555C"/>
        </w:rPr>
        <w:t>      </w:t>
      </w:r>
      <w:r>
        <w:rPr/>
        <w:drawing>
          <wp:inline distT="0" distB="0" distL="0" distR="0">
            <wp:extent cx="2533650" cy="1581150"/>
            <wp:effectExtent l="0" t="0" r="0" b="0"/>
            <wp:docPr id="9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6" descr=""/>
                    <pic:cNvPicPr>
                      <a:picLocks noChangeAspect="1" noChangeArrowheads="1"/>
                    </pic:cNvPicPr>
                  </pic:nvPicPr>
                  <pic:blipFill>
                    <a:blip r:embed="rId67"/>
                    <a:stretch>
                      <a:fillRect/>
                    </a:stretch>
                  </pic:blipFill>
                  <pic:spPr bwMode="auto">
                    <a:xfrm>
                      <a:off x="0" y="0"/>
                      <a:ext cx="2533650" cy="1581150"/>
                    </a:xfrm>
                    <a:prstGeom prst="rect">
                      <a:avLst/>
                    </a:prstGeom>
                  </pic:spPr>
                </pic:pic>
              </a:graphicData>
            </a:graphic>
          </wp:inline>
        </w:drawing>
      </w:r>
      <w:bookmarkStart w:id="65" w:name="i-36"/>
      <w:bookmarkEnd w:id="65"/>
      <w:r>
        <w:rPr>
          <w:color w:val="51555C"/>
        </w:rPr>
        <w:t>                                    </w:t>
      </w:r>
      <w:r>
        <w:rPr/>
        <w:drawing>
          <wp:inline distT="0" distB="0" distL="0" distR="0">
            <wp:extent cx="2533650" cy="1581150"/>
            <wp:effectExtent l="0" t="0" r="0" b="0"/>
            <wp:docPr id="9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7" descr=""/>
                    <pic:cNvPicPr>
                      <a:picLocks noChangeAspect="1" noChangeArrowheads="1"/>
                    </pic:cNvPicPr>
                  </pic:nvPicPr>
                  <pic:blipFill>
                    <a:blip r:embed="rId68"/>
                    <a:stretch>
                      <a:fillRect/>
                    </a:stretch>
                  </pic:blipFill>
                  <pic:spPr bwMode="auto">
                    <a:xfrm>
                      <a:off x="0" y="0"/>
                      <a:ext cx="2533650" cy="1581150"/>
                    </a:xfrm>
                    <a:prstGeom prst="rect">
                      <a:avLst/>
                    </a:prstGeom>
                  </pic:spPr>
                </pic:pic>
              </a:graphicData>
            </a:graphic>
          </wp:inline>
        </w:drawing>
      </w:r>
      <w:bookmarkStart w:id="66" w:name="i-37"/>
      <w:bookmarkEnd w:id="66"/>
      <w:r>
        <w:rPr>
          <w:color w:val="51555C"/>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91540"/>
                <wp:effectExtent l="0" t="0" r="0" b="0"/>
                <wp:wrapNone/>
                <wp:docPr id="99" name="Frame3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8" descr=""/>
                                                <pic:cNvPicPr>
                                                  <a:picLocks noChangeAspect="1" noChangeArrowheads="1"/>
                                                </pic:cNvPicPr>
                                              </pic:nvPicPr>
                                              <pic:blipFill>
                                                <a:blip r:embed="rId69"/>
                                                <a:stretch>
                                                  <a:fillRect/>
                                                </a:stretch>
                                              </pic:blipFill>
                                              <pic:spPr bwMode="auto">
                                                <a:xfrm>
                                                  <a:off x="0" y="0"/>
                                                  <a:ext cx="733425" cy="190500"/>
                                                </a:xfrm>
                                                <a:prstGeom prst="rect">
                                                  <a:avLst/>
                                                </a:prstGeom>
                                              </pic:spPr>
                                            </pic:pic>
                                          </a:graphicData>
                                        </a:graphic>
                                      </wp:inline>
                                    </w:drawing>
                                  </w:r>
                                  <w:bookmarkStart w:id="67" w:name="i-38"/>
                                  <w:bookmarkEnd w:id="6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8" descr=""/>
                                          <pic:cNvPicPr>
                                            <a:picLocks noChangeAspect="1" noChangeArrowheads="1"/>
                                          </pic:cNvPicPr>
                                        </pic:nvPicPr>
                                        <pic:blipFill>
                                          <a:blip r:embed="rId70"/>
                                          <a:stretch>
                                            <a:fillRect/>
                                          </a:stretch>
                                        </pic:blipFill>
                                        <pic:spPr bwMode="auto">
                                          <a:xfrm>
                                            <a:off x="0" y="0"/>
                                            <a:ext cx="733425" cy="190500"/>
                                          </a:xfrm>
                                          <a:prstGeom prst="rect">
                                            <a:avLst/>
                                          </a:prstGeom>
                                        </pic:spPr>
                                      </pic:pic>
                                    </a:graphicData>
                                  </a:graphic>
                                </wp:inline>
                              </w:drawing>
                            </w:r>
                            <w:bookmarkStart w:id="68" w:name="i-38"/>
                            <w:bookmarkEnd w:id="6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Revenue decreased by $5.5 million and $19.4 million, during the three and nine months ended September 30, 2025, respectively, when compared to the same periods in 2024, driven largely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84"/>
        <w:gridCol w:w="2620"/>
        <w:gridCol w:w="37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contractual recurring revenue of $11.7 million and $40.1 million, respectively, primarily related to our sale of EVERFI which represented $18.4 million and $63.9 million, respectively. These decreases were partially offset by the positive impact of our pricing initiatives and the performance of our cloud solutions.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one-time consulting revenue of $1.4 million and $2.6 million, respectively, primarily due to our sale of EVERFI Limited in March 2024 and, to a lesser extent, fewer sales of implementation and customization services.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transactional recurring revenue of $7.7 million and $23.4 million, respectively, primarily due to increases in volume for our Blackbaud Integrated Payments and, to a lesser extent, positive results related to pricing initiatives; also contributing to the increases in transactional recurring revenue during the three and nine months ended September 30, 2025 were increases related to fluctuations in foreign currency exchange rates of $0.7 million and $2.2 million, respectively.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Income from operations increased by $13.4 million and $35.7 million, during the three and nine months ended September 30, 2025, respectively, when compared to the same periods in 2024, driven largely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940"/>
        <w:gridCol w:w="2593"/>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compensation costs other than stock-based compensation of $10.3 million and $33.0 million, respectively,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amortization of intangible assets from business combinations of $8.2 million and $24.1 million, respectively, largely due to the previously disclosed impairment charge related to our EVERFI asset group in December 2024, which primarily included finite-lived intangible assets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Security Incident-related expenses of $10.0 million, for the nine months ended September 30, 2025, largely related to decreases in loss contingency accruals. See Note 8 to our unaudited, condensed consolidated financial statements in this report for our discussion of the Security Incident.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third-party contractor costs of $1.6 million and $8.7 million, respectively,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advertising costs of $1.4 million and $4.3 million, respectively,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Decrease in stock-based compensation expense of $5.4 million, for the nine months ended September 30, 2025, primarily due to a decrease in the grant date fair value of equity award grants, and to a lesser extent, our sale of EVERFI; partially offset by an increase primarily due to estimated overall Company performance against 2025 goals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rent expense of $2.9 million, for the nine months ended September 30, 2025, primarily related to our release from our lease for office space in Washington, DC in February 2025</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acquisition and disposition-related costs within general and administrative expenses of $20.9 million, for the nine months ended September 30, 2025, primarily related to our release from our lease for office space in Washington, DC in February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total revenue, as described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of $3.1 million and $5.3 million, respectively, in software development costs that were required to be capitalized under GAAP,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transaction-based costs of $1.5 million and $4.9 million, respectively, related to the increase in the volume of transactions for which we process payments and, to a lesser extent, increases in vendor rates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third-party software costs of $2.5 million, for the nine months ended September 30, 2025, primarily related to investments in our internal cybersecurity program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employee severance of $1.9 million, for the nine months ended September 30, 2025, related to a modest and targeted headcount reduction during the three months ended June 30, 2025</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color w:val="51555C"/>
        </w:rPr>
      </w:pPr>
      <w:r>
        <w:rPr>
          <w:color w:val="51555C"/>
        </w:rPr>
        <w:t>                                                                                                                                                                                                                    </w:t>
      </w:r>
      <w:r>
        <w:rPr>
          <w:rFonts w:ascii="sans-serif" w:hAnsi="sans-serif"/>
          <w:b w:val="false"/>
          <w:color w:val="51555C"/>
          <w:sz w:val="20"/>
        </w:rPr>
        <w:t>We are continuing to make critical investments in the business in areas such as innovation, AI, cybersecurity, and our continued shift of cloud infrastructure to leading public cloud service providers.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continuously seek opportunities to optimize our portfolio of solutions to focus time and resources on innovation that will have the greatest impact for our customers and the markets we serve, and drive the highest return on investment. To that end, we will continue to simplify and rationalize our portfolio through product sunsets and divestitures of non-core businesses and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91540"/>
                <wp:effectExtent l="0" t="0" r="0" b="0"/>
                <wp:wrapNone/>
                <wp:docPr id="102" name="Frame3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0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9" descr=""/>
                                                <pic:cNvPicPr>
                                                  <a:picLocks noChangeAspect="1" noChangeArrowheads="1"/>
                                                </pic:cNvPicPr>
                                              </pic:nvPicPr>
                                              <pic:blipFill>
                                                <a:blip r:embed="rId71"/>
                                                <a:stretch>
                                                  <a:fillRect/>
                                                </a:stretch>
                                              </pic:blipFill>
                                              <pic:spPr bwMode="auto">
                                                <a:xfrm>
                                                  <a:off x="0" y="0"/>
                                                  <a:ext cx="723900" cy="190500"/>
                                                </a:xfrm>
                                                <a:prstGeom prst="rect">
                                                  <a:avLst/>
                                                </a:prstGeom>
                                              </pic:spPr>
                                            </pic:pic>
                                          </a:graphicData>
                                        </a:graphic>
                                      </wp:inline>
                                    </w:drawing>
                                  </w:r>
                                  <w:bookmarkStart w:id="69" w:name="i-39"/>
                                  <w:bookmarkEnd w:id="69"/>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0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9" descr=""/>
                                          <pic:cNvPicPr>
                                            <a:picLocks noChangeAspect="1" noChangeArrowheads="1"/>
                                          </pic:cNvPicPr>
                                        </pic:nvPicPr>
                                        <pic:blipFill>
                                          <a:blip r:embed="rId72"/>
                                          <a:stretch>
                                            <a:fillRect/>
                                          </a:stretch>
                                        </pic:blipFill>
                                        <pic:spPr bwMode="auto">
                                          <a:xfrm>
                                            <a:off x="0" y="0"/>
                                            <a:ext cx="723900" cy="190500"/>
                                          </a:xfrm>
                                          <a:prstGeom prst="rect">
                                            <a:avLst/>
                                          </a:prstGeom>
                                        </pic:spPr>
                                      </pic:pic>
                                    </a:graphicData>
                                  </a:graphic>
                                </wp:inline>
                              </w:drawing>
                            </w:r>
                            <w:bookmarkStart w:id="70" w:name="i-39"/>
                            <w:bookmarkEnd w:id="70"/>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tbl>
      <w:tblPr>
        <w:tblW w:w="2934" w:type="dxa"/>
        <w:jc w:val="left"/>
        <w:tblInd w:w="0" w:type="dxa"/>
        <w:tblLayout w:type="fixed"/>
        <w:tblCellMar>
          <w:top w:w="28" w:type="dxa"/>
          <w:left w:w="28" w:type="dxa"/>
          <w:bottom w:w="28" w:type="dxa"/>
          <w:right w:w="28" w:type="dxa"/>
        </w:tblCellMar>
      </w:tblPr>
      <w:tblGrid>
        <w:gridCol w:w="809"/>
        <w:gridCol w:w="711"/>
        <w:gridCol w:w="715"/>
        <w:gridCol w:w="109"/>
        <w:gridCol w:w="109"/>
        <w:gridCol w:w="109"/>
        <w:gridCol w:w="109"/>
        <w:gridCol w:w="109"/>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Gross dollar 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533650" cy="1457325"/>
            <wp:effectExtent l="0" t="0" r="0" b="0"/>
            <wp:docPr id="10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0" descr=""/>
                    <pic:cNvPicPr>
                      <a:picLocks noChangeAspect="1" noChangeArrowheads="1"/>
                    </pic:cNvPicPr>
                  </pic:nvPicPr>
                  <pic:blipFill>
                    <a:blip r:embed="rId73"/>
                    <a:stretch>
                      <a:fillRect/>
                    </a:stretch>
                  </pic:blipFill>
                  <pic:spPr bwMode="auto">
                    <a:xfrm>
                      <a:off x="0" y="0"/>
                      <a:ext cx="2533650" cy="1457325"/>
                    </a:xfrm>
                    <a:prstGeom prst="rect">
                      <a:avLst/>
                    </a:prstGeom>
                  </pic:spPr>
                </pic:pic>
              </a:graphicData>
            </a:graphic>
          </wp:inline>
        </w:drawing>
      </w:r>
      <w:bookmarkStart w:id="71" w:name="i-40"/>
      <w:bookmarkEnd w:id="71"/>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recurring subscription contracts are typically for a term of three years at contract inception. A key factor to our overall success is the renewal and expansion of our existing subscription agreements with our customers. Management uses gross dollar retention in analyzing our success at delighting our customers with innovative and cloud solutions. Gross dollar retention is defined as contracted annual recurring revenue ("CARR") divided by beginning CARR with a measurement period of twelve months. For the twelve months ended September 30, 2025, our gross dollar retention was approximately 92%. This gross dollar retention rate increased over our rate for the twelve months ended December 31, 2024 primarily due to our sale of EVERFI. We are continually investing in innovation, which we believe will generate strong gross dollar retention over the long-term.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Balance sheet and cash flow</w:t>
      </w:r>
    </w:p>
    <w:p>
      <w:pPr>
        <w:pStyle w:val="TextBody"/>
        <w:bidi w:val="0"/>
        <w:spacing w:lineRule="auto" w:line="288" w:before="180" w:after="283"/>
        <w:jc w:val="both"/>
        <w:rPr/>
      </w:pPr>
      <w:r>
        <w:rPr>
          <w:rFonts w:ascii="sans-serif" w:hAnsi="sans-serif"/>
          <w:b w:val="false"/>
          <w:color w:val="51555C"/>
          <w:sz w:val="20"/>
        </w:rPr>
        <w:t xml:space="preserve">At September 30, 2025, our cash and cash equivalents were $38.3 million. Under the 2024 Credit Facilities, the carrying amount of our debt was $1.0 billion and our net leverage ratio </w:t>
      </w:r>
      <w:r>
        <w:rPr>
          <w:rFonts w:ascii="sans-serif" w:hAnsi="sans-serif"/>
          <w:b w:val="false"/>
          <w:color w:val="51555C"/>
          <w:sz w:val="20"/>
          <w:shd w:fill="FFFFFF" w:val="clear"/>
        </w:rPr>
        <w:t xml:space="preserve">was </w:t>
      </w:r>
      <w:r>
        <w:rPr>
          <w:rFonts w:ascii="sans-serif" w:hAnsi="sans-serif"/>
          <w:b w:val="false"/>
          <w:color w:val="51555C"/>
          <w:sz w:val="20"/>
        </w:rPr>
        <w:t>2.45 to 1.00</w:t>
      </w:r>
      <w:r>
        <w:rPr>
          <w:rFonts w:ascii="sans-serif" w:hAnsi="sans-serif"/>
          <w:b w:val="false"/>
          <w:color w:val="51555C"/>
          <w:sz w:val="20"/>
          <w:shd w:fill="FFFFFF" w:val="clear"/>
        </w:rPr>
        <w:t>.</w:t>
      </w:r>
      <w:r>
        <w:rPr>
          <w:color w:val="51555C"/>
        </w:rPr>
        <w:t xml:space="preserve">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nine months ended September 30, 2025, we generated $207.5 million in cash from operations, had a net decrease in borrowings of $9.9 million, returned $130.2 million to stockholders by way of share repurchases, and had aggregate cash outlays of $45.1 million for purchases of property and equipment and capitalized software development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United States enacted the OBBBA, which introduced significant changes to U.S. tax law. See Note 9 to our unaudited, condensed consolidated financial statements in this report for more information. Based on our preliminary review, we expect OBBBA to meaningfully reduce cash taxes for the Company through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19" w:type="dxa"/>
        <w:jc w:val="left"/>
        <w:tblInd w:w="0" w:type="dxa"/>
        <w:tblLayout w:type="fixed"/>
        <w:tblCellMar>
          <w:top w:w="28" w:type="dxa"/>
          <w:left w:w="28" w:type="dxa"/>
          <w:bottom w:w="28" w:type="dxa"/>
          <w:right w:w="28" w:type="dxa"/>
        </w:tblCellMar>
      </w:tblPr>
      <w:tblGrid>
        <w:gridCol w:w="998"/>
        <w:gridCol w:w="878"/>
        <w:gridCol w:w="1243"/>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Results of Operations</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Comparison of the three and nine months ended September 30, 2025 and 2024</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51555C"/>
          <w:sz w:val="20"/>
          <w:u w:val="single"/>
        </w:rPr>
      </w:pPr>
      <w:r>
        <w:rPr>
          <w:rFonts w:ascii="sans-serif" w:hAnsi="sans-serif"/>
          <w:b w:val="false"/>
          <w:color w:val="51555C"/>
          <w:sz w:val="20"/>
          <w:u w:val="single"/>
        </w:rPr>
        <w:t>Disposition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previously disclosed, on December 31, 2024, we disposed of our EVERFI business, formerly a wholly owned subsidiary of Blackbaud, Inc, to a private investment firm that is unaffiliated with Blackbaud for nominal cash consideration. The results of operations of EVERFI are not included in our consolidated results of operations subsequent to the date of disposition.</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51555C"/>
          <w:sz w:val="20"/>
          <w:u w:val="single"/>
        </w:rPr>
      </w:pPr>
      <w:r>
        <w:rPr>
          <w:rFonts w:ascii="sans-serif" w:hAnsi="sans-serif"/>
          <w:b w:val="false"/>
          <w:color w:val="51555C"/>
          <w:sz w:val="20"/>
          <w:u w:val="single"/>
        </w:rPr>
        <w:t>Reclassifications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 from "recurring" and "one-time services and other" have been combined within "revenue" beginning in 2025 due to the immateriality of our one-time services and other revenue. In order to provide comparability between periods presented, our “recurring“ and “one-time services and other" revenue lines have been combined within “revenue" in the previously reported consolidated statements of comprehensive income to conform to the presentation of the current period. Similarly, "cost of recurring" and "cost of one-time services and other" have been combined within "cost of revenue" in the previously reported consolidated statements of comprehensive income to conform to the presentation of the current period.</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91540"/>
                <wp:effectExtent l="0" t="0" r="0" b="0"/>
                <wp:wrapNone/>
                <wp:docPr id="106" name="Frame3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1" descr=""/>
                                                <pic:cNvPicPr>
                                                  <a:picLocks noChangeAspect="1" noChangeArrowheads="1"/>
                                                </pic:cNvPicPr>
                                              </pic:nvPicPr>
                                              <pic:blipFill>
                                                <a:blip r:embed="rId74"/>
                                                <a:stretch>
                                                  <a:fillRect/>
                                                </a:stretch>
                                              </pic:blipFill>
                                              <pic:spPr bwMode="auto">
                                                <a:xfrm>
                                                  <a:off x="0" y="0"/>
                                                  <a:ext cx="733425" cy="190500"/>
                                                </a:xfrm>
                                                <a:prstGeom prst="rect">
                                                  <a:avLst/>
                                                </a:prstGeom>
                                              </pic:spPr>
                                            </pic:pic>
                                          </a:graphicData>
                                        </a:graphic>
                                      </wp:inline>
                                    </w:drawing>
                                  </w:r>
                                  <w:bookmarkStart w:id="72" w:name="i-41"/>
                                  <w:bookmarkEnd w:id="7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1" descr=""/>
                                          <pic:cNvPicPr>
                                            <a:picLocks noChangeAspect="1" noChangeArrowheads="1"/>
                                          </pic:cNvPicPr>
                                        </pic:nvPicPr>
                                        <pic:blipFill>
                                          <a:blip r:embed="rId75"/>
                                          <a:stretch>
                                            <a:fillRect/>
                                          </a:stretch>
                                        </pic:blipFill>
                                        <pic:spPr bwMode="auto">
                                          <a:xfrm>
                                            <a:off x="0" y="0"/>
                                            <a:ext cx="733425" cy="190500"/>
                                          </a:xfrm>
                                          <a:prstGeom prst="rect">
                                            <a:avLst/>
                                          </a:prstGeom>
                                        </pic:spPr>
                                      </pic:pic>
                                    </a:graphicData>
                                  </a:graphic>
                                </wp:inline>
                              </w:drawing>
                            </w:r>
                            <w:bookmarkStart w:id="73" w:name="i-41"/>
                            <w:bookmarkEnd w:id="7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Revision of Prior Period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third quarter of 2025, we identified a prior period noncash error related to the previously recorded valuation allowance in accounting for income taxes. We have revised previously issued financial statements to correct this error, along with other immaterial prior period errors. None of the revisions were considered material to the prior periods impacted, as disclosed in Note 13 to the unaudited, condensed consolidated financial statements in this report. All amounts in Item 2 of this filing are provided as revised.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sans-serif" w:hAnsi="sans-serif"/>
          <w:b/>
          <w:color w:val="51555C"/>
          <w:sz w:val="20"/>
        </w:rPr>
      </w:pPr>
      <w:r>
        <w:rPr>
          <w:rFonts w:ascii="sans-serif" w:hAnsi="sans-serif"/>
          <w:b/>
          <w:color w:val="51555C"/>
          <w:sz w:val="20"/>
        </w:rPr>
        <w:t>Revenue and Cost of Revenue</w:t>
      </w:r>
    </w:p>
    <w:tbl>
      <w:tblPr>
        <w:tblW w:w="6503" w:type="dxa"/>
        <w:jc w:val="left"/>
        <w:tblInd w:w="0" w:type="dxa"/>
        <w:tblLayout w:type="fixed"/>
        <w:tblCellMar>
          <w:top w:w="28" w:type="dxa"/>
          <w:left w:w="28" w:type="dxa"/>
          <w:bottom w:w="28" w:type="dxa"/>
          <w:right w:w="28" w:type="dxa"/>
        </w:tblCellMar>
      </w:tblPr>
      <w:tblGrid>
        <w:gridCol w:w="532"/>
        <w:gridCol w:w="468"/>
        <w:gridCol w:w="470"/>
        <w:gridCol w:w="109"/>
        <w:gridCol w:w="109"/>
        <w:gridCol w:w="109"/>
        <w:gridCol w:w="714"/>
        <w:gridCol w:w="714"/>
        <w:gridCol w:w="716"/>
        <w:gridCol w:w="109"/>
        <w:gridCol w:w="109"/>
        <w:gridCol w:w="109"/>
        <w:gridCol w:w="654"/>
        <w:gridCol w:w="654"/>
        <w:gridCol w:w="927"/>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Cost of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Gross profit ($M)</w:t>
              <w:br/>
              <w:t>and gross margin (%)</w:t>
            </w:r>
          </w:p>
        </w:tc>
      </w:tr>
      <w:tr>
        <w:trPr/>
        <w:tc>
          <w:tcPr>
            <w:tcW w:w="1470"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drawing>
          <wp:inline distT="0" distB="0" distL="0" distR="0">
            <wp:extent cx="2152650" cy="1581150"/>
            <wp:effectExtent l="0" t="0" r="0" b="0"/>
            <wp:docPr id="10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2" descr=""/>
                    <pic:cNvPicPr>
                      <a:picLocks noChangeAspect="1" noChangeArrowheads="1"/>
                    </pic:cNvPicPr>
                  </pic:nvPicPr>
                  <pic:blipFill>
                    <a:blip r:embed="rId76"/>
                    <a:stretch>
                      <a:fillRect/>
                    </a:stretch>
                  </pic:blipFill>
                  <pic:spPr bwMode="auto">
                    <a:xfrm>
                      <a:off x="0" y="0"/>
                      <a:ext cx="2152650" cy="1581150"/>
                    </a:xfrm>
                    <a:prstGeom prst="rect">
                      <a:avLst/>
                    </a:prstGeom>
                  </pic:spPr>
                </pic:pic>
              </a:graphicData>
            </a:graphic>
          </wp:inline>
        </w:drawing>
      </w:r>
      <w:bookmarkStart w:id="74" w:name="i-42"/>
      <w:bookmarkEnd w:id="74"/>
      <w:r>
        <w:rPr/>
        <w:drawing>
          <wp:inline distT="0" distB="0" distL="0" distR="0">
            <wp:extent cx="2152650" cy="1581150"/>
            <wp:effectExtent l="0" t="0" r="0" b="0"/>
            <wp:docPr id="11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3" descr=""/>
                    <pic:cNvPicPr>
                      <a:picLocks noChangeAspect="1" noChangeArrowheads="1"/>
                    </pic:cNvPicPr>
                  </pic:nvPicPr>
                  <pic:blipFill>
                    <a:blip r:embed="rId77"/>
                    <a:stretch>
                      <a:fillRect/>
                    </a:stretch>
                  </pic:blipFill>
                  <pic:spPr bwMode="auto">
                    <a:xfrm>
                      <a:off x="0" y="0"/>
                      <a:ext cx="2152650" cy="1581150"/>
                    </a:xfrm>
                    <a:prstGeom prst="rect">
                      <a:avLst/>
                    </a:prstGeom>
                  </pic:spPr>
                </pic:pic>
              </a:graphicData>
            </a:graphic>
          </wp:inline>
        </w:drawing>
      </w:r>
      <w:bookmarkStart w:id="75" w:name="i-43"/>
      <w:bookmarkEnd w:id="75"/>
      <w:r>
        <w:rPr/>
        <w:drawing>
          <wp:inline distT="0" distB="0" distL="0" distR="0">
            <wp:extent cx="2152650" cy="1581150"/>
            <wp:effectExtent l="0" t="0" r="0" b="0"/>
            <wp:docPr id="11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4" descr=""/>
                    <pic:cNvPicPr>
                      <a:picLocks noChangeAspect="1" noChangeArrowheads="1"/>
                    </pic:cNvPicPr>
                  </pic:nvPicPr>
                  <pic:blipFill>
                    <a:blip r:embed="rId78"/>
                    <a:stretch>
                      <a:fillRect/>
                    </a:stretch>
                  </pic:blipFill>
                  <pic:spPr bwMode="auto">
                    <a:xfrm>
                      <a:off x="0" y="0"/>
                      <a:ext cx="2152650" cy="1581150"/>
                    </a:xfrm>
                    <a:prstGeom prst="rect">
                      <a:avLst/>
                    </a:prstGeom>
                  </pic:spPr>
                </pic:pic>
              </a:graphicData>
            </a:graphic>
          </wp:inline>
        </w:drawing>
      </w:r>
      <w:bookmarkStart w:id="76" w:name="i-44"/>
      <w:bookmarkEnd w:id="76"/>
    </w:p>
    <w:p>
      <w:pPr>
        <w:pStyle w:val="TextBody"/>
        <w:bidi w:val="0"/>
        <w:spacing w:before="180" w:after="283"/>
        <w:jc w:val="left"/>
        <w:rPr/>
      </w:pPr>
      <w:r>
        <w:rPr/>
        <w:drawing>
          <wp:inline distT="0" distB="0" distL="0" distR="0">
            <wp:extent cx="2152650" cy="1581150"/>
            <wp:effectExtent l="0" t="0" r="0" b="0"/>
            <wp:docPr id="11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5" descr=""/>
                    <pic:cNvPicPr>
                      <a:picLocks noChangeAspect="1" noChangeArrowheads="1"/>
                    </pic:cNvPicPr>
                  </pic:nvPicPr>
                  <pic:blipFill>
                    <a:blip r:embed="rId79"/>
                    <a:stretch>
                      <a:fillRect/>
                    </a:stretch>
                  </pic:blipFill>
                  <pic:spPr bwMode="auto">
                    <a:xfrm>
                      <a:off x="0" y="0"/>
                      <a:ext cx="2152650" cy="1581150"/>
                    </a:xfrm>
                    <a:prstGeom prst="rect">
                      <a:avLst/>
                    </a:prstGeom>
                  </pic:spPr>
                </pic:pic>
              </a:graphicData>
            </a:graphic>
          </wp:inline>
        </w:drawing>
      </w:r>
      <w:bookmarkStart w:id="77" w:name="i-45"/>
      <w:bookmarkEnd w:id="77"/>
      <w:r>
        <w:rPr/>
        <w:drawing>
          <wp:inline distT="0" distB="0" distL="0" distR="0">
            <wp:extent cx="2152650" cy="1581150"/>
            <wp:effectExtent l="0" t="0" r="0" b="0"/>
            <wp:docPr id="11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6" descr=""/>
                    <pic:cNvPicPr>
                      <a:picLocks noChangeAspect="1" noChangeArrowheads="1"/>
                    </pic:cNvPicPr>
                  </pic:nvPicPr>
                  <pic:blipFill>
                    <a:blip r:embed="rId80"/>
                    <a:stretch>
                      <a:fillRect/>
                    </a:stretch>
                  </pic:blipFill>
                  <pic:spPr bwMode="auto">
                    <a:xfrm>
                      <a:off x="0" y="0"/>
                      <a:ext cx="2152650" cy="1581150"/>
                    </a:xfrm>
                    <a:prstGeom prst="rect">
                      <a:avLst/>
                    </a:prstGeom>
                  </pic:spPr>
                </pic:pic>
              </a:graphicData>
            </a:graphic>
          </wp:inline>
        </w:drawing>
      </w:r>
      <w:bookmarkStart w:id="78" w:name="i-46"/>
      <w:bookmarkEnd w:id="78"/>
      <w:r>
        <w:rPr/>
        <w:drawing>
          <wp:inline distT="0" distB="0" distL="0" distR="0">
            <wp:extent cx="2152650" cy="1581150"/>
            <wp:effectExtent l="0" t="0" r="0" b="0"/>
            <wp:docPr id="11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7" descr=""/>
                    <pic:cNvPicPr>
                      <a:picLocks noChangeAspect="1" noChangeArrowheads="1"/>
                    </pic:cNvPicPr>
                  </pic:nvPicPr>
                  <pic:blipFill>
                    <a:blip r:embed="rId81"/>
                    <a:stretch>
                      <a:fillRect/>
                    </a:stretch>
                  </pic:blipFill>
                  <pic:spPr bwMode="auto">
                    <a:xfrm>
                      <a:off x="0" y="0"/>
                      <a:ext cx="2152650" cy="1581150"/>
                    </a:xfrm>
                    <a:prstGeom prst="rect">
                      <a:avLst/>
                    </a:prstGeom>
                  </pic:spPr>
                </pic:pic>
              </a:graphicData>
            </a:graphic>
          </wp:inline>
        </w:drawing>
      </w:r>
      <w:bookmarkStart w:id="79" w:name="i-47"/>
      <w:bookmarkEnd w:id="79"/>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Our revenue includes three components: contractual recurring, transactional recurring and one-time services and other. </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Contractual recurring revenue is primarily comprised of fees for the use of our subscription-based software solutions, which includes providing access to cloud solutions, online training programs and subscription-based analytic services. Contractual recurring revenue also includes fees from maintenance services for our on-premises solutions.</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Transactional recurring revenue is comprised of transaction fees associated with the use of our solutions, including donation processing, tuition management, consumer giving and event-based usage.</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One-time services and other revenue is comprised of fees for one-time consulting, analytic and onsite training services, and fees for retained and managed services contracts that we do not expect to have a term consistent with our cloud solution contracts.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Cost of revenue is primarily comprised of compensation costs for customer support, production IT, professional services and onsite training personnel, hosting and data center costs, third-party contractor expenses, third-party royalty and data expenses, allocated depreciation, facilities and IT support (including cybersecurity) costs, amortization of intangible assets from business combinations, amortization of software development costs, transaction-based costs related to payments services including remittances of amounts due to third-parties, data expense incurred to perform one-time analytic services and other costs incurred in providing support, recurring services and onsite customer training to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91540"/>
                <wp:effectExtent l="0" t="0" r="0" b="0"/>
                <wp:wrapNone/>
                <wp:docPr id="115" name="Frame3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1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8" descr=""/>
                                                <pic:cNvPicPr>
                                                  <a:picLocks noChangeAspect="1" noChangeArrowheads="1"/>
                                                </pic:cNvPicPr>
                                              </pic:nvPicPr>
                                              <pic:blipFill>
                                                <a:blip r:embed="rId82"/>
                                                <a:stretch>
                                                  <a:fillRect/>
                                                </a:stretch>
                                              </pic:blipFill>
                                              <pic:spPr bwMode="auto">
                                                <a:xfrm>
                                                  <a:off x="0" y="0"/>
                                                  <a:ext cx="723900" cy="190500"/>
                                                </a:xfrm>
                                                <a:prstGeom prst="rect">
                                                  <a:avLst/>
                                                </a:prstGeom>
                                              </pic:spPr>
                                            </pic:pic>
                                          </a:graphicData>
                                        </a:graphic>
                                      </wp:inline>
                                    </w:drawing>
                                  </w:r>
                                  <w:bookmarkStart w:id="80" w:name="i-48"/>
                                  <w:bookmarkEnd w:id="80"/>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1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8" descr=""/>
                                          <pic:cNvPicPr>
                                            <a:picLocks noChangeAspect="1" noChangeArrowheads="1"/>
                                          </pic:cNvPicPr>
                                        </pic:nvPicPr>
                                        <pic:blipFill>
                                          <a:blip r:embed="rId83"/>
                                          <a:stretch>
                                            <a:fillRect/>
                                          </a:stretch>
                                        </pic:blipFill>
                                        <pic:spPr bwMode="auto">
                                          <a:xfrm>
                                            <a:off x="0" y="0"/>
                                            <a:ext cx="723900" cy="190500"/>
                                          </a:xfrm>
                                          <a:prstGeom prst="rect">
                                            <a:avLst/>
                                          </a:prstGeom>
                                        </pic:spPr>
                                      </pic:pic>
                                    </a:graphicData>
                                  </a:graphic>
                                </wp:inline>
                              </w:drawing>
                            </w:r>
                            <w:bookmarkStart w:id="81" w:name="i-48"/>
                            <w:bookmarkEnd w:id="81"/>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customers continue to prefer cloud subscription offerings with integrated analytics, training and payment services. We intend to continue focusing on innovation, quality and integration of our cloud solutions, which we believe will drive future revenue growth.</w:t>
      </w:r>
    </w:p>
    <w:p>
      <w:pPr>
        <w:pStyle w:val="TextBody"/>
        <w:bidi w:val="0"/>
        <w:spacing w:lineRule="auto" w:line="288" w:before="180" w:after="283"/>
        <w:jc w:val="both"/>
        <w:rPr/>
      </w:pPr>
      <w:r>
        <w:rPr>
          <w:rFonts w:ascii="sans-serif" w:hAnsi="sans-serif"/>
          <w:b w:val="false"/>
          <w:color w:val="51555C"/>
          <w:sz w:val="20"/>
        </w:rPr>
        <w:t xml:space="preserve">Revenue decreased by $5.5 million, or 1.9%, and $19.4 million, or 2.3%, during the three and nine months ended September 30, 2025, respectively, when compared to the same periods in 2024. For a discussion of our changes in revenue, see "Revenue" above starting on page </w:t>
      </w:r>
      <w:hyperlink w:anchor="i9f0a17843f2c4b2fa8d7abf2308f75bb_115">
        <w:r>
          <w:rPr>
            <w:rStyle w:val="InternetLink"/>
            <w:rFonts w:ascii="sans-serif" w:hAnsi="sans-serif"/>
            <w:b w:val="false"/>
            <w:strike w:val="false"/>
            <w:dstrike w:val="false"/>
            <w:color w:val="51555C"/>
            <w:sz w:val="20"/>
            <w:u w:val="none"/>
            <w:effect w:val="none"/>
          </w:rPr>
          <w:t>32</w:t>
        </w:r>
      </w:hyperlink>
      <w:r>
        <w:rPr>
          <w:rFonts w:ascii="sans-serif" w:hAnsi="sans-serif"/>
          <w:b w:val="false"/>
          <w:color w:val="51555C"/>
          <w:sz w:val="20"/>
        </w:rPr>
        <w:t xml:space="preserve"> in this report.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Cost of revenue decreased by $15.6 million, or 12.1%, and $41.5 million, or 10.8%, during the three and nine months ended September 30, 2025, respectively, when compared to the same periods in 2024, driven primarily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920"/>
        <w:gridCol w:w="2605"/>
        <w:gridCol w:w="36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6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amortization of intangible assets from business combinations of $7.9 million and $23.1 million, respectively, largely due to the previously disclosed impairment charge related to our EVERFI asset group in December 2024, which primarily included finite-lived intangible assets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compensation costs of $5.3 million and $15.9 million, respectively,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allocated overhead costs of $1.7 million and $4.3 million, respectively, primarily related to a reduction in facilities costs and the decreased headcount from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third-party contractor costs of $1.2 million and $2.6 million, respectively, largely related to our sale of EVERFI and, to a lesser extent, decreased use of outside contractors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transaction-based costs of $1.5 million and $4.7 million, respectively, related to the increase in the volume of transactions for which we process payments and, to a lesser extent, increases in vendor rates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Gross margin increased by 470 basis points and 390 basis points for the three and nine months ended September 30, 2025, respectively, when compared to the same periods in 2024, primarily due to the decreases in cost of revenue outpacing the decreases in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rFonts w:ascii="sans-serif" w:hAnsi="sans-serif"/>
          <w:b/>
          <w:color w:val="51555C"/>
          <w:sz w:val="20"/>
        </w:rPr>
      </w:pPr>
      <w:r>
        <w:rPr>
          <w:rFonts w:ascii="sans-serif" w:hAnsi="sans-serif"/>
          <w:b/>
          <w:color w:val="51555C"/>
          <w:sz w:val="20"/>
        </w:rPr>
        <w:t>Operating Expenses</w:t>
      </w:r>
    </w:p>
    <w:tbl>
      <w:tblPr>
        <w:tblW w:w="6966" w:type="dxa"/>
        <w:jc w:val="left"/>
        <w:tblInd w:w="0" w:type="dxa"/>
        <w:tblLayout w:type="fixed"/>
        <w:tblCellMar>
          <w:top w:w="28" w:type="dxa"/>
          <w:left w:w="28" w:type="dxa"/>
          <w:bottom w:w="28" w:type="dxa"/>
          <w:right w:w="28" w:type="dxa"/>
        </w:tblCellMar>
      </w:tblPr>
      <w:tblGrid>
        <w:gridCol w:w="852"/>
        <w:gridCol w:w="750"/>
        <w:gridCol w:w="752"/>
        <w:gridCol w:w="109"/>
        <w:gridCol w:w="109"/>
        <w:gridCol w:w="109"/>
        <w:gridCol w:w="629"/>
        <w:gridCol w:w="629"/>
        <w:gridCol w:w="631"/>
        <w:gridCol w:w="109"/>
        <w:gridCol w:w="109"/>
        <w:gridCol w:w="109"/>
        <w:gridCol w:w="605"/>
        <w:gridCol w:w="605"/>
        <w:gridCol w:w="859"/>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Sales, marketing and</w:t>
              <w:br/>
              <w:t>customer success ($M)</w:t>
            </w:r>
          </w:p>
        </w:tc>
        <w:tc>
          <w:tcPr>
            <w:tcW w:w="32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Research and</w:t>
              <w:br/>
              <w:t>development ($M)</w:t>
            </w:r>
          </w:p>
        </w:tc>
        <w:tc>
          <w:tcPr>
            <w:tcW w:w="32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General and</w:t>
              <w:br/>
              <w:t>administrative ($M)</w:t>
            </w:r>
          </w:p>
        </w:tc>
      </w:tr>
      <w:tr>
        <w:trPr/>
        <w:tc>
          <w:tcPr>
            <w:tcW w:w="6966" w:type="dxa"/>
            <w:gridSpan w:val="15"/>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expenses as a percentage of total revenue</w:t>
            </w:r>
          </w:p>
        </w:tc>
      </w:tr>
    </w:tbl>
    <w:p>
      <w:pPr>
        <w:pStyle w:val="TextBody"/>
        <w:bidi w:val="0"/>
        <w:spacing w:before="180" w:after="283"/>
        <w:jc w:val="left"/>
        <w:rPr/>
      </w:pPr>
      <w:r>
        <w:rPr/>
        <w:drawing>
          <wp:inline distT="0" distB="0" distL="0" distR="0">
            <wp:extent cx="2152650" cy="1581150"/>
            <wp:effectExtent l="0" t="0" r="0" b="0"/>
            <wp:docPr id="11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9" descr=""/>
                    <pic:cNvPicPr>
                      <a:picLocks noChangeAspect="1" noChangeArrowheads="1"/>
                    </pic:cNvPicPr>
                  </pic:nvPicPr>
                  <pic:blipFill>
                    <a:blip r:embed="rId84"/>
                    <a:stretch>
                      <a:fillRect/>
                    </a:stretch>
                  </pic:blipFill>
                  <pic:spPr bwMode="auto">
                    <a:xfrm>
                      <a:off x="0" y="0"/>
                      <a:ext cx="2152650" cy="1581150"/>
                    </a:xfrm>
                    <a:prstGeom prst="rect">
                      <a:avLst/>
                    </a:prstGeom>
                  </pic:spPr>
                </pic:pic>
              </a:graphicData>
            </a:graphic>
          </wp:inline>
        </w:drawing>
      </w:r>
      <w:bookmarkStart w:id="82" w:name="i-49"/>
      <w:bookmarkEnd w:id="82"/>
      <w:r>
        <w:rPr/>
        <w:drawing>
          <wp:inline distT="0" distB="0" distL="0" distR="0">
            <wp:extent cx="2152650" cy="1581150"/>
            <wp:effectExtent l="0" t="0" r="0" b="0"/>
            <wp:docPr id="11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0" descr=""/>
                    <pic:cNvPicPr>
                      <a:picLocks noChangeAspect="1" noChangeArrowheads="1"/>
                    </pic:cNvPicPr>
                  </pic:nvPicPr>
                  <pic:blipFill>
                    <a:blip r:embed="rId85"/>
                    <a:stretch>
                      <a:fillRect/>
                    </a:stretch>
                  </pic:blipFill>
                  <pic:spPr bwMode="auto">
                    <a:xfrm>
                      <a:off x="0" y="0"/>
                      <a:ext cx="2152650" cy="1581150"/>
                    </a:xfrm>
                    <a:prstGeom prst="rect">
                      <a:avLst/>
                    </a:prstGeom>
                  </pic:spPr>
                </pic:pic>
              </a:graphicData>
            </a:graphic>
          </wp:inline>
        </w:drawing>
      </w:r>
      <w:bookmarkStart w:id="83" w:name="i-50"/>
      <w:bookmarkEnd w:id="83"/>
      <w:r>
        <w:rPr/>
        <w:drawing>
          <wp:inline distT="0" distB="0" distL="0" distR="0">
            <wp:extent cx="2152650" cy="1581150"/>
            <wp:effectExtent l="0" t="0" r="0" b="0"/>
            <wp:docPr id="12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1" descr=""/>
                    <pic:cNvPicPr>
                      <a:picLocks noChangeAspect="1" noChangeArrowheads="1"/>
                    </pic:cNvPicPr>
                  </pic:nvPicPr>
                  <pic:blipFill>
                    <a:blip r:embed="rId86"/>
                    <a:stretch>
                      <a:fillRect/>
                    </a:stretch>
                  </pic:blipFill>
                  <pic:spPr bwMode="auto">
                    <a:xfrm>
                      <a:off x="0" y="0"/>
                      <a:ext cx="2152650" cy="1581150"/>
                    </a:xfrm>
                    <a:prstGeom prst="rect">
                      <a:avLst/>
                    </a:prstGeom>
                  </pic:spPr>
                </pic:pic>
              </a:graphicData>
            </a:graphic>
          </wp:inline>
        </w:drawing>
      </w:r>
      <w:bookmarkStart w:id="84" w:name="i-51"/>
      <w:bookmarkEnd w:id="84"/>
    </w:p>
    <w:p>
      <w:pPr>
        <w:pStyle w:val="TextBody"/>
        <w:bidi w:val="0"/>
        <w:spacing w:before="180" w:after="283"/>
        <w:jc w:val="left"/>
        <w:rPr/>
      </w:pPr>
      <w:r>
        <w:rPr/>
        <w:drawing>
          <wp:inline distT="0" distB="0" distL="0" distR="0">
            <wp:extent cx="2152650" cy="1581150"/>
            <wp:effectExtent l="0" t="0" r="0" b="0"/>
            <wp:docPr id="12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2" descr=""/>
                    <pic:cNvPicPr>
                      <a:picLocks noChangeAspect="1" noChangeArrowheads="1"/>
                    </pic:cNvPicPr>
                  </pic:nvPicPr>
                  <pic:blipFill>
                    <a:blip r:embed="rId87"/>
                    <a:stretch>
                      <a:fillRect/>
                    </a:stretch>
                  </pic:blipFill>
                  <pic:spPr bwMode="auto">
                    <a:xfrm>
                      <a:off x="0" y="0"/>
                      <a:ext cx="2152650" cy="1581150"/>
                    </a:xfrm>
                    <a:prstGeom prst="rect">
                      <a:avLst/>
                    </a:prstGeom>
                  </pic:spPr>
                </pic:pic>
              </a:graphicData>
            </a:graphic>
          </wp:inline>
        </w:drawing>
      </w:r>
      <w:bookmarkStart w:id="85" w:name="i-52"/>
      <w:bookmarkEnd w:id="85"/>
      <w:r>
        <w:rPr/>
        <w:drawing>
          <wp:inline distT="0" distB="0" distL="0" distR="0">
            <wp:extent cx="2152650" cy="1581150"/>
            <wp:effectExtent l="0" t="0" r="0" b="0"/>
            <wp:docPr id="12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3" descr=""/>
                    <pic:cNvPicPr>
                      <a:picLocks noChangeAspect="1" noChangeArrowheads="1"/>
                    </pic:cNvPicPr>
                  </pic:nvPicPr>
                  <pic:blipFill>
                    <a:blip r:embed="rId88"/>
                    <a:stretch>
                      <a:fillRect/>
                    </a:stretch>
                  </pic:blipFill>
                  <pic:spPr bwMode="auto">
                    <a:xfrm>
                      <a:off x="0" y="0"/>
                      <a:ext cx="2152650" cy="1581150"/>
                    </a:xfrm>
                    <a:prstGeom prst="rect">
                      <a:avLst/>
                    </a:prstGeom>
                  </pic:spPr>
                </pic:pic>
              </a:graphicData>
            </a:graphic>
          </wp:inline>
        </w:drawing>
      </w:r>
      <w:bookmarkStart w:id="86" w:name="i-53"/>
      <w:bookmarkEnd w:id="86"/>
      <w:r>
        <w:rPr/>
        <w:drawing>
          <wp:inline distT="0" distB="0" distL="0" distR="0">
            <wp:extent cx="2152650" cy="1581150"/>
            <wp:effectExtent l="0" t="0" r="0" b="0"/>
            <wp:docPr id="12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4" descr=""/>
                    <pic:cNvPicPr>
                      <a:picLocks noChangeAspect="1" noChangeArrowheads="1"/>
                    </pic:cNvPicPr>
                  </pic:nvPicPr>
                  <pic:blipFill>
                    <a:blip r:embed="rId89"/>
                    <a:stretch>
                      <a:fillRect/>
                    </a:stretch>
                  </pic:blipFill>
                  <pic:spPr bwMode="auto">
                    <a:xfrm>
                      <a:off x="0" y="0"/>
                      <a:ext cx="2152650" cy="1581150"/>
                    </a:xfrm>
                    <a:prstGeom prst="rect">
                      <a:avLst/>
                    </a:prstGeom>
                  </pic:spPr>
                </pic:pic>
              </a:graphicData>
            </a:graphic>
          </wp:inline>
        </w:drawing>
      </w:r>
      <w:bookmarkStart w:id="87" w:name="i-54"/>
      <w:bookmarkEnd w:id="8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91540"/>
                <wp:effectExtent l="0" t="0" r="0" b="0"/>
                <wp:wrapNone/>
                <wp:docPr id="124" name="Frame3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5" descr=""/>
                                                <pic:cNvPicPr>
                                                  <a:picLocks noChangeAspect="1" noChangeArrowheads="1"/>
                                                </pic:cNvPicPr>
                                              </pic:nvPicPr>
                                              <pic:blipFill>
                                                <a:blip r:embed="rId90"/>
                                                <a:stretch>
                                                  <a:fillRect/>
                                                </a:stretch>
                                              </pic:blipFill>
                                              <pic:spPr bwMode="auto">
                                                <a:xfrm>
                                                  <a:off x="0" y="0"/>
                                                  <a:ext cx="733425" cy="190500"/>
                                                </a:xfrm>
                                                <a:prstGeom prst="rect">
                                                  <a:avLst/>
                                                </a:prstGeom>
                                              </pic:spPr>
                                            </pic:pic>
                                          </a:graphicData>
                                        </a:graphic>
                                      </wp:inline>
                                    </w:drawing>
                                  </w:r>
                                  <w:bookmarkStart w:id="88" w:name="i-55"/>
                                  <w:bookmarkEnd w:id="8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5" descr=""/>
                                          <pic:cNvPicPr>
                                            <a:picLocks noChangeAspect="1" noChangeArrowheads="1"/>
                                          </pic:cNvPicPr>
                                        </pic:nvPicPr>
                                        <pic:blipFill>
                                          <a:blip r:embed="rId91"/>
                                          <a:stretch>
                                            <a:fillRect/>
                                          </a:stretch>
                                        </pic:blipFill>
                                        <pic:spPr bwMode="auto">
                                          <a:xfrm>
                                            <a:off x="0" y="0"/>
                                            <a:ext cx="733425" cy="190500"/>
                                          </a:xfrm>
                                          <a:prstGeom prst="rect">
                                            <a:avLst/>
                                          </a:prstGeom>
                                        </pic:spPr>
                                      </pic:pic>
                                    </a:graphicData>
                                  </a:graphic>
                                </wp:inline>
                              </w:drawing>
                            </w:r>
                            <w:bookmarkStart w:id="89" w:name="i-55"/>
                            <w:bookmarkEnd w:id="8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val="false"/>
          <w:i/>
          <w:color w:val="51555C"/>
          <w:sz w:val="20"/>
        </w:rPr>
      </w:pPr>
      <w:r>
        <w:rPr>
          <w:rFonts w:ascii="sans-serif" w:hAnsi="sans-serif"/>
          <w:b w:val="false"/>
          <w:i/>
          <w:color w:val="51555C"/>
          <w:sz w:val="20"/>
        </w:rPr>
        <w:t>Sales, marketing and customer success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Sales, marketing and customer success expense includes compensation costs, variable sales commissions, travel-related expenses, advertising and marketing materials, public relations costs, variable reseller commissions and allocated depreciation, facilities and IT support (including cybersecurity)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see a large market opportunity in the long-term and will continue to make investments to drive sales effectiveness. We have also implemented software tools to enhance our digital footprint and drive lead generation. The enhancements we are making in our go-to-market approach are intended to reduce our average customer acquisition cost per customer as well as the related payback period while increasing sales velocity.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Sales, marketing and customer success expense decreased by $5.7 million, or 11.4%, and $14.6 million, or 9.9%, during the three and nine months ended September 30, 2025, respectively, when compared to the same periods in 2024. The decreases in dollars and as a percentage of revenue were primarily driven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Decreases in compensation costs of $2.3 million and $7.7 million, respectively, primarily related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advertising costs of $1.4 million and $4.3 million, respectively, primarily due to our sale of EVERFI</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Research and development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(including cybersecurity)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continue to make investments intended to delight our customers with innovative and secure cloud solutions, including AI technology. Research and development expenses decreased by $0.7 million, or 1.9%, and $11.7 million, or 10.1%, during the three and nine months ended September 30, 2025, respectively, when compared to the same periods in 2024. The decreases were primarily driven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compensation costs of $2.7 million and $10.6 million, respectively, primarily related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third-party contractor costs of $5.4 million, for the nine months ended September 30, 2025, primarily related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software development costs of $3.9 million and $5.6 million, respectively, that were required to be capitalized under GAAP, primarily due to our sale of EVERFI</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 xml:space="preserve">Not included in research and development expense for the three months ended September 30, 2025 and 2024 were $12.1 million and $16.0 million, respectively, and for the nine months ended September 30, 2025 and 2024 were $38.9 million and $44.5 million, respectively, of qualifying costs associated with software development activities that are required to be capitalized under GAAP, such as those for our cloud solutions. Qualifying capitalized development costs associated with our cloud solutions are subsequently amortized to cost </w:t>
      </w:r>
      <w:r>
        <w:rPr>
          <w:rFonts w:ascii="sans-serif" w:hAnsi="sans-serif"/>
          <w:b w:val="false"/>
          <w:color w:val="51555C"/>
          <w:sz w:val="20"/>
          <w:shd w:fill="FFFFFF" w:val="clear"/>
        </w:rPr>
        <w:t xml:space="preserve">of revenue over the related assets' estimated useful life, which generally range from three to seven years. </w:t>
      </w:r>
      <w:r>
        <w:rPr>
          <w:rFonts w:ascii="sans-serif" w:hAnsi="sans-serif"/>
          <w:b w:val="false"/>
          <w:color w:val="51555C"/>
          <w:sz w:val="20"/>
        </w:rPr>
        <w:t>We expect that the amount of software development costs capitalized will be relatively consistent in the near-term as we continue making investments in innovation, quality, security and the integration of our solutions, which we believe will drive long-term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91540"/>
                <wp:effectExtent l="0" t="0" r="0" b="0"/>
                <wp:wrapNone/>
                <wp:docPr id="127" name="Frame3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56" descr=""/>
                                                <pic:cNvPicPr>
                                                  <a:picLocks noChangeAspect="1" noChangeArrowheads="1"/>
                                                </pic:cNvPicPr>
                                              </pic:nvPicPr>
                                              <pic:blipFill>
                                                <a:blip r:embed="rId92"/>
                                                <a:stretch>
                                                  <a:fillRect/>
                                                </a:stretch>
                                              </pic:blipFill>
                                              <pic:spPr bwMode="auto">
                                                <a:xfrm>
                                                  <a:off x="0" y="0"/>
                                                  <a:ext cx="723900" cy="190500"/>
                                                </a:xfrm>
                                                <a:prstGeom prst="rect">
                                                  <a:avLst/>
                                                </a:prstGeom>
                                              </pic:spPr>
                                            </pic:pic>
                                          </a:graphicData>
                                        </a:graphic>
                                      </wp:inline>
                                    </w:drawing>
                                  </w:r>
                                  <w:bookmarkStart w:id="90" w:name="i-56"/>
                                  <w:bookmarkEnd w:id="90"/>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56" descr=""/>
                                          <pic:cNvPicPr>
                                            <a:picLocks noChangeAspect="1" noChangeArrowheads="1"/>
                                          </pic:cNvPicPr>
                                        </pic:nvPicPr>
                                        <pic:blipFill>
                                          <a:blip r:embed="rId93"/>
                                          <a:stretch>
                                            <a:fillRect/>
                                          </a:stretch>
                                        </pic:blipFill>
                                        <pic:spPr bwMode="auto">
                                          <a:xfrm>
                                            <a:off x="0" y="0"/>
                                            <a:ext cx="723900" cy="190500"/>
                                          </a:xfrm>
                                          <a:prstGeom prst="rect">
                                            <a:avLst/>
                                          </a:prstGeom>
                                        </pic:spPr>
                                      </pic:pic>
                                    </a:graphicData>
                                  </a:graphic>
                                </wp:inline>
                              </w:drawing>
                            </w:r>
                            <w:bookmarkStart w:id="91" w:name="i-56"/>
                            <w:bookmarkEnd w:id="91"/>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val="false"/>
          <w:i/>
          <w:color w:val="51555C"/>
          <w:sz w:val="20"/>
        </w:rPr>
      </w:pPr>
      <w:r>
        <w:rPr>
          <w:rFonts w:ascii="sans-serif" w:hAnsi="sans-serif"/>
          <w:b w:val="false"/>
          <w:i/>
          <w:color w:val="51555C"/>
          <w:sz w:val="20"/>
        </w:rPr>
        <w:t>General and administrative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General and administrative expense consists primarily of compensation costs for general corporate functions, including senior management, finance, accounting, legal, human resources and corporate development, Security Incident-related expenses (including legal fees, settlements and loss contingency accruals), third-party professional fees, insurance, allocated depreciation, facilities and IT support (including cybersecurity) costs, acquisition-related expenses and other administrative expenses.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General and administrative expense increased by $3.5 million, or 12.8%, during the three months ended September 30, 2025, when compared to the same period in 2024. The increases in dollars and as a percentage of revenue were primarily driven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Decrease in total costs allocated from general and administrative expense of $3.4 million primarily related to a reduction in facilities costs and the decreased headcount from our sale of EVERFI. Depreciation, facilities and IT support (including cybersecurity) costs are pooled and recorded to general and administrative expense and allocated to other lines of our statements of comprehensive income based on headcount.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General and administrative expense increased by $13.7 million, or 12.9%, during the nine months ended September 30, 2025, when compared to the same period in 2024. The increases in dollars and as a percentage of revenue were primarily driven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acquisition and disposition-related costs of $20.9 million primarily related to our release from our lease for office space in Washington, DC in February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Decrease in total costs allocated from general and administrative expense of $6.8 million primarily related to a reduction in facilities costs and the decreased headcount from our sale of EVERFI. Depreciation, facilities and IT support (including cybersecurity) costs are pooled and recorded to general and administrative expense and allocated to other lines of our statements of comprehensive income based on headcount.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third-party software costs of $2.2 million primarily related to investments in our internal cybersecurity program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Security Incident-related expenses of $10.0 million largely related to decreases in loss contingency accruals. See Note 8 to our unaudited, condensed consolidated financial statements in this report for our discussion of the Security Incident.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rent expense of $2.6 million primarily related to our release from our lease for office space in Washington, DC in February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stock-based compensation costs of $2.3 million primarily due to a decrease in the grant date fair value of equity award grants, and to a lesser extent, our sale of EVERFI; partially offset by an increase primarily due to estimated overall Company performance against 2025 goals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compensation costs other than stock-based compensation of $1.7 million primarily due to our sale of EVERFI</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Interest Expense</w:t>
      </w:r>
    </w:p>
    <w:tbl>
      <w:tblPr>
        <w:tblW w:w="4813" w:type="dxa"/>
        <w:jc w:val="left"/>
        <w:tblInd w:w="0" w:type="dxa"/>
        <w:tblLayout w:type="fixed"/>
        <w:tblCellMar>
          <w:top w:w="28" w:type="dxa"/>
          <w:left w:w="28" w:type="dxa"/>
          <w:bottom w:w="28" w:type="dxa"/>
          <w:right w:w="28" w:type="dxa"/>
        </w:tblCellMar>
      </w:tblPr>
      <w:tblGrid>
        <w:gridCol w:w="573"/>
        <w:gridCol w:w="504"/>
        <w:gridCol w:w="504"/>
        <w:gridCol w:w="504"/>
        <w:gridCol w:w="504"/>
        <w:gridCol w:w="504"/>
        <w:gridCol w:w="504"/>
        <w:gridCol w:w="504"/>
        <w:gridCol w:w="712"/>
      </w:tblGrid>
      <w:tr>
        <w:trPr/>
        <w:tc>
          <w:tcPr>
            <w:tcW w:w="5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813" w:type="dxa"/>
            <w:gridSpan w:val="9"/>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Interest expense ($M)</w:t>
            </w:r>
          </w:p>
        </w:tc>
      </w:tr>
      <w:tr>
        <w:trPr/>
        <w:tc>
          <w:tcPr>
            <w:tcW w:w="4813" w:type="dxa"/>
            <w:gridSpan w:val="9"/>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expenses as a percentage of total revenue</w:t>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3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7" descr=""/>
                    <pic:cNvPicPr>
                      <a:picLocks noChangeAspect="1" noChangeArrowheads="1"/>
                    </pic:cNvPicPr>
                  </pic:nvPicPr>
                  <pic:blipFill>
                    <a:blip r:embed="rId94"/>
                    <a:stretch>
                      <a:fillRect/>
                    </a:stretch>
                  </pic:blipFill>
                  <pic:spPr bwMode="auto">
                    <a:xfrm>
                      <a:off x="0" y="0"/>
                      <a:ext cx="2152650" cy="1581150"/>
                    </a:xfrm>
                    <a:prstGeom prst="rect">
                      <a:avLst/>
                    </a:prstGeom>
                  </pic:spPr>
                </pic:pic>
              </a:graphicData>
            </a:graphic>
          </wp:inline>
        </w:drawing>
      </w:r>
      <w:bookmarkStart w:id="92" w:name="i-57"/>
      <w:bookmarkEnd w:id="92"/>
      <w:r>
        <w:rPr>
          <w:color w:val="51555C"/>
        </w:rPr>
        <w:t>                                          </w:t>
      </w:r>
      <w:r>
        <w:rPr/>
        <w:drawing>
          <wp:inline distT="0" distB="0" distL="0" distR="0">
            <wp:extent cx="2152650" cy="1581150"/>
            <wp:effectExtent l="0" t="0" r="0" b="0"/>
            <wp:docPr id="13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58" descr=""/>
                    <pic:cNvPicPr>
                      <a:picLocks noChangeAspect="1" noChangeArrowheads="1"/>
                    </pic:cNvPicPr>
                  </pic:nvPicPr>
                  <pic:blipFill>
                    <a:blip r:embed="rId95"/>
                    <a:stretch>
                      <a:fillRect/>
                    </a:stretch>
                  </pic:blipFill>
                  <pic:spPr bwMode="auto">
                    <a:xfrm>
                      <a:off x="0" y="0"/>
                      <a:ext cx="2152650" cy="1581150"/>
                    </a:xfrm>
                    <a:prstGeom prst="rect">
                      <a:avLst/>
                    </a:prstGeom>
                  </pic:spPr>
                </pic:pic>
              </a:graphicData>
            </a:graphic>
          </wp:inline>
        </w:drawing>
      </w:r>
      <w:bookmarkStart w:id="93" w:name="i-58"/>
      <w:bookmarkEnd w:id="93"/>
      <w:r>
        <w:rPr>
          <w:color w:val="51555C"/>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91540"/>
                <wp:effectExtent l="0" t="0" r="0" b="0"/>
                <wp:wrapNone/>
                <wp:docPr id="132" name="Frame3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59" descr=""/>
                                                <pic:cNvPicPr>
                                                  <a:picLocks noChangeAspect="1" noChangeArrowheads="1"/>
                                                </pic:cNvPicPr>
                                              </pic:nvPicPr>
                                              <pic:blipFill>
                                                <a:blip r:embed="rId96"/>
                                                <a:stretch>
                                                  <a:fillRect/>
                                                </a:stretch>
                                              </pic:blipFill>
                                              <pic:spPr bwMode="auto">
                                                <a:xfrm>
                                                  <a:off x="0" y="0"/>
                                                  <a:ext cx="733425" cy="190500"/>
                                                </a:xfrm>
                                                <a:prstGeom prst="rect">
                                                  <a:avLst/>
                                                </a:prstGeom>
                                              </pic:spPr>
                                            </pic:pic>
                                          </a:graphicData>
                                        </a:graphic>
                                      </wp:inline>
                                    </w:drawing>
                                  </w:r>
                                  <w:bookmarkStart w:id="94" w:name="i-59"/>
                                  <w:bookmarkEnd w:id="9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9" descr=""/>
                                          <pic:cNvPicPr>
                                            <a:picLocks noChangeAspect="1" noChangeArrowheads="1"/>
                                          </pic:cNvPicPr>
                                        </pic:nvPicPr>
                                        <pic:blipFill>
                                          <a:blip r:embed="rId97"/>
                                          <a:stretch>
                                            <a:fillRect/>
                                          </a:stretch>
                                        </pic:blipFill>
                                        <pic:spPr bwMode="auto">
                                          <a:xfrm>
                                            <a:off x="0" y="0"/>
                                            <a:ext cx="733425" cy="190500"/>
                                          </a:xfrm>
                                          <a:prstGeom prst="rect">
                                            <a:avLst/>
                                          </a:prstGeom>
                                        </pic:spPr>
                                      </pic:pic>
                                    </a:graphicData>
                                  </a:graphic>
                                </wp:inline>
                              </w:drawing>
                            </w:r>
                            <w:bookmarkStart w:id="95" w:name="i-59"/>
                            <w:bookmarkEnd w:id="9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increases in interest expense in dollars and as a percentage of total revenue during the three and nine months ended September 30, 2025, when compared to the same periods in 2024, were primarily due to our incremental borrowings to fund stock repurchases during 2024 and 2025 and the expiration of favorable interest rate swaps in October 2024. We currently expect interest expense for the full year 2025 to be approximately $66 million to $70 million. Our interest expense in connection with the variable rate portion of our outstanding debt could increase in a rising interest rate environment. See Note 7 to our unaudited, condensed consolidated financial statements in this report for more information regarding our derivative instruments, which we use to manage our variable interest rate risk, and Item 3. Quantitative and Qualitative Disclosures about Market Risk: Interest Rate Risk (below) for more information about our variable interest rate exposure and related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Other Income, Net</w:t>
      </w:r>
    </w:p>
    <w:tbl>
      <w:tblPr>
        <w:tblW w:w="5428" w:type="dxa"/>
        <w:jc w:val="left"/>
        <w:tblInd w:w="0" w:type="dxa"/>
        <w:tblLayout w:type="fixed"/>
        <w:tblCellMar>
          <w:top w:w="28" w:type="dxa"/>
          <w:left w:w="28" w:type="dxa"/>
          <w:bottom w:w="28" w:type="dxa"/>
          <w:right w:w="28" w:type="dxa"/>
        </w:tblCellMar>
      </w:tblPr>
      <w:tblGrid>
        <w:gridCol w:w="647"/>
        <w:gridCol w:w="568"/>
        <w:gridCol w:w="568"/>
        <w:gridCol w:w="568"/>
        <w:gridCol w:w="568"/>
        <w:gridCol w:w="568"/>
        <w:gridCol w:w="568"/>
        <w:gridCol w:w="568"/>
        <w:gridCol w:w="805"/>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5428" w:type="dxa"/>
            <w:gridSpan w:val="9"/>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Other income, net ($M)</w:t>
            </w:r>
          </w:p>
        </w:tc>
      </w:tr>
      <w:tr>
        <w:trPr/>
        <w:tc>
          <w:tcPr>
            <w:tcW w:w="5428" w:type="dxa"/>
            <w:gridSpan w:val="9"/>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other income, net as a percentage of total revenue</w:t>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3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0" descr=""/>
                    <pic:cNvPicPr>
                      <a:picLocks noChangeAspect="1" noChangeArrowheads="1"/>
                    </pic:cNvPicPr>
                  </pic:nvPicPr>
                  <pic:blipFill>
                    <a:blip r:embed="rId98"/>
                    <a:stretch>
                      <a:fillRect/>
                    </a:stretch>
                  </pic:blipFill>
                  <pic:spPr bwMode="auto">
                    <a:xfrm>
                      <a:off x="0" y="0"/>
                      <a:ext cx="2152650" cy="1581150"/>
                    </a:xfrm>
                    <a:prstGeom prst="rect">
                      <a:avLst/>
                    </a:prstGeom>
                  </pic:spPr>
                </pic:pic>
              </a:graphicData>
            </a:graphic>
          </wp:inline>
        </w:drawing>
      </w:r>
      <w:bookmarkStart w:id="96" w:name="i-60"/>
      <w:bookmarkEnd w:id="96"/>
      <w:r>
        <w:rPr>
          <w:color w:val="51555C"/>
        </w:rPr>
        <w:t>                                          </w:t>
      </w:r>
      <w:r>
        <w:rPr/>
        <w:drawing>
          <wp:inline distT="0" distB="0" distL="0" distR="0">
            <wp:extent cx="2152650" cy="1581150"/>
            <wp:effectExtent l="0" t="0" r="0" b="0"/>
            <wp:docPr id="13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1" descr=""/>
                    <pic:cNvPicPr>
                      <a:picLocks noChangeAspect="1" noChangeArrowheads="1"/>
                    </pic:cNvPicPr>
                  </pic:nvPicPr>
                  <pic:blipFill>
                    <a:blip r:embed="rId99"/>
                    <a:stretch>
                      <a:fillRect/>
                    </a:stretch>
                  </pic:blipFill>
                  <pic:spPr bwMode="auto">
                    <a:xfrm>
                      <a:off x="0" y="0"/>
                      <a:ext cx="2152650" cy="1581150"/>
                    </a:xfrm>
                    <a:prstGeom prst="rect">
                      <a:avLst/>
                    </a:prstGeom>
                  </pic:spPr>
                </pic:pic>
              </a:graphicData>
            </a:graphic>
          </wp:inline>
        </w:drawing>
      </w:r>
      <w:bookmarkStart w:id="97" w:name="i-61"/>
      <w:bookmarkEnd w:id="97"/>
      <w:r>
        <w:rPr>
          <w:color w:val="51555C"/>
        </w:rPr>
        <w: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three months ended September 30, 2025, other income, net was relatively consistent with the same period in 2024. The decrease in other income, net in dollars and as a percentage of total revenue during the nine months ended September 30, 2025, when compared to the same period in 2024, was primarily due to a decrease in interest income largely driven by lower year-over-year U.S. federal interest rates and, to a lesser extent, by an increase in the current year currency revaluation loss compared to the prior year loss. See Note 5 to our unaudited, condensed consolidated financial statements in this report for more information regarding our 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Deferred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table below compares the components of deferred revenue from our unaudited, condensed consolidated balance sheets:</w:t>
      </w:r>
    </w:p>
    <w:tbl>
      <w:tblPr>
        <w:tblW w:w="6448" w:type="dxa"/>
        <w:jc w:val="left"/>
        <w:tblInd w:w="0" w:type="dxa"/>
        <w:tblLayout w:type="fixed"/>
        <w:tblCellMar>
          <w:top w:w="28" w:type="dxa"/>
          <w:left w:w="28" w:type="dxa"/>
          <w:bottom w:w="28" w:type="dxa"/>
          <w:right w:w="28" w:type="dxa"/>
        </w:tblCellMar>
      </w:tblPr>
      <w:tblGrid>
        <w:gridCol w:w="879"/>
        <w:gridCol w:w="773"/>
        <w:gridCol w:w="778"/>
        <w:gridCol w:w="314"/>
        <w:gridCol w:w="987"/>
        <w:gridCol w:w="154"/>
        <w:gridCol w:w="299"/>
        <w:gridCol w:w="936"/>
        <w:gridCol w:w="144"/>
        <w:gridCol w:w="337"/>
        <w:gridCol w:w="338"/>
        <w:gridCol w:w="509"/>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45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September 30,</w:t>
              <w:br/>
              <w:t>2025</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118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r>
      <w:tr>
        <w:trPr/>
        <w:tc>
          <w:tcPr>
            <w:tcW w:w="243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Deferred revenue</w:t>
            </w:r>
            <w:r>
              <w:rPr>
                <w:rFonts w:ascii="sans-serif" w:hAnsi="sans-serif"/>
                <w:b w:val="false"/>
                <w:color w:val="51555C"/>
                <w:sz w:val="13"/>
              </w:rPr>
              <w:t>(1)</w:t>
            </w:r>
          </w:p>
        </w:tc>
        <w:tc>
          <w:tcPr>
            <w:tcW w:w="31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8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384.9 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360.6 </w:t>
            </w:r>
          </w:p>
        </w:tc>
        <w:tc>
          <w:tcPr>
            <w:tcW w:w="14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6.8 </w:t>
            </w:r>
          </w:p>
        </w:tc>
        <w:tc>
          <w:tcPr>
            <w:tcW w:w="5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Less: Long-term portion</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(12.0)</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243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Current portion</w:t>
            </w:r>
            <w:r>
              <w:rPr>
                <w:rFonts w:ascii="sans-serif" w:hAnsi="sans-serif"/>
                <w:b w:val="false"/>
                <w:color w:val="51555C"/>
                <w:sz w:val="13"/>
              </w:rPr>
              <w:t>(1)</w:t>
            </w:r>
          </w:p>
        </w:tc>
        <w:tc>
          <w:tcPr>
            <w:tcW w:w="31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8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383.1 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3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358.5 </w:t>
            </w:r>
          </w:p>
        </w:tc>
        <w:tc>
          <w:tcPr>
            <w:tcW w:w="14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6.9 </w:t>
            </w:r>
          </w:p>
        </w:tc>
        <w:tc>
          <w:tcPr>
            <w:tcW w:w="5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for each year may not sum to deferred revenue or current portion of deferred revenue due to rounding.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To the extent that our customers are billed for our solutions and services in advance of delivery, we record such amounts in deferred revenue. Our recurring revenue contracts are generally for a term of three years at contract inception with three-year renewals thereafter, billed annually in advance and non-cancelable. We generally invoice our customers with recurring revenue contracts in annual cycles 30 days prior to the end of each one-year period.</w:t>
      </w:r>
    </w:p>
    <w:p>
      <w:pPr>
        <w:pStyle w:val="TextBody"/>
        <w:bidi w:val="0"/>
        <w:spacing w:lineRule="auto" w:line="288" w:before="180" w:after="283"/>
        <w:jc w:val="both"/>
        <w:rPr/>
      </w:pPr>
      <w:r>
        <w:rPr>
          <w:rFonts w:ascii="sans-serif" w:hAnsi="sans-serif"/>
          <w:b w:val="false"/>
          <w:color w:val="51555C"/>
          <w:sz w:val="20"/>
          <w:shd w:fill="FFFFFF" w:val="clear"/>
        </w:rPr>
        <w:t xml:space="preserve">The increase in deferred revenue during the nine months ended September 30, 2025 was primarily due to </w:t>
      </w:r>
      <w:r>
        <w:rPr>
          <w:rFonts w:ascii="sans-serif" w:hAnsi="sans-serif"/>
          <w:b w:val="false"/>
          <w:color w:val="51555C"/>
          <w:sz w:val="20"/>
        </w:rPr>
        <w:t>a seasonal increase in customer contract billings.</w:t>
      </w:r>
      <w:r>
        <w:rPr>
          <w:color w:val="51555C"/>
          <w:shd w:fill="FFFFFF" w:val="clear"/>
        </w:rPr>
        <w:t xml:space="preserve"> </w:t>
      </w:r>
      <w:r>
        <w:rPr>
          <w:rFonts w:ascii="sans-serif" w:hAnsi="sans-serif"/>
          <w:b w:val="false"/>
          <w:color w:val="51555C"/>
          <w:sz w:val="20"/>
          <w:shd w:fill="FFFFFF" w:val="clear"/>
        </w:rPr>
        <w:t xml:space="preserve">Historically, due to the timing of customer budget cycles, we have an increase in billings and customer contract renewals at or near the beginning of our third quarter. Generally, our lowest balance of deferred revenue during the year is at the end of our first quarter.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91540"/>
                <wp:effectExtent l="0" t="0" r="0" b="0"/>
                <wp:wrapNone/>
                <wp:docPr id="137" name="Frame3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2" descr=""/>
                                                <pic:cNvPicPr>
                                                  <a:picLocks noChangeAspect="1" noChangeArrowheads="1"/>
                                                </pic:cNvPicPr>
                                              </pic:nvPicPr>
                                              <pic:blipFill>
                                                <a:blip r:embed="rId100"/>
                                                <a:stretch>
                                                  <a:fillRect/>
                                                </a:stretch>
                                              </pic:blipFill>
                                              <pic:spPr bwMode="auto">
                                                <a:xfrm>
                                                  <a:off x="0" y="0"/>
                                                  <a:ext cx="723900" cy="190500"/>
                                                </a:xfrm>
                                                <a:prstGeom prst="rect">
                                                  <a:avLst/>
                                                </a:prstGeom>
                                              </pic:spPr>
                                            </pic:pic>
                                          </a:graphicData>
                                        </a:graphic>
                                      </wp:inline>
                                    </w:drawing>
                                  </w:r>
                                  <w:bookmarkStart w:id="98" w:name="i-62"/>
                                  <w:bookmarkEnd w:id="98"/>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62" descr=""/>
                                          <pic:cNvPicPr>
                                            <a:picLocks noChangeAspect="1" noChangeArrowheads="1"/>
                                          </pic:cNvPicPr>
                                        </pic:nvPicPr>
                                        <pic:blipFill>
                                          <a:blip r:embed="rId101"/>
                                          <a:stretch>
                                            <a:fillRect/>
                                          </a:stretch>
                                        </pic:blipFill>
                                        <pic:spPr bwMode="auto">
                                          <a:xfrm>
                                            <a:off x="0" y="0"/>
                                            <a:ext cx="723900" cy="190500"/>
                                          </a:xfrm>
                                          <a:prstGeom prst="rect">
                                            <a:avLst/>
                                          </a:prstGeom>
                                        </pic:spPr>
                                      </pic:pic>
                                    </a:graphicData>
                                  </a:graphic>
                                </wp:inline>
                              </w:drawing>
                            </w:r>
                            <w:bookmarkStart w:id="99" w:name="i-62"/>
                            <w:bookmarkEnd w:id="99"/>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300" w:after="300"/>
        <w:jc w:val="left"/>
        <w:rPr>
          <w:rFonts w:ascii="sans-serif" w:hAnsi="sans-serif"/>
          <w:b/>
          <w:color w:val="51555C"/>
          <w:sz w:val="20"/>
        </w:rPr>
      </w:pPr>
      <w:r>
        <w:rPr>
          <w:rFonts w:ascii="sans-serif" w:hAnsi="sans-serif"/>
          <w:b/>
          <w:color w:val="51555C"/>
          <w:sz w:val="20"/>
        </w:rPr>
        <w:t>Income Taxes</w:t>
      </w:r>
    </w:p>
    <w:tbl>
      <w:tblPr>
        <w:tblW w:w="3599" w:type="dxa"/>
        <w:jc w:val="left"/>
        <w:tblInd w:w="0" w:type="dxa"/>
        <w:tblLayout w:type="fixed"/>
        <w:tblCellMar>
          <w:top w:w="28" w:type="dxa"/>
          <w:left w:w="28" w:type="dxa"/>
          <w:bottom w:w="28" w:type="dxa"/>
          <w:right w:w="28" w:type="dxa"/>
        </w:tblCellMar>
      </w:tblPr>
      <w:tblGrid>
        <w:gridCol w:w="428"/>
        <w:gridCol w:w="377"/>
        <w:gridCol w:w="377"/>
        <w:gridCol w:w="377"/>
        <w:gridCol w:w="377"/>
        <w:gridCol w:w="377"/>
        <w:gridCol w:w="377"/>
        <w:gridCol w:w="377"/>
        <w:gridCol w:w="532"/>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599" w:type="dxa"/>
            <w:gridSpan w:val="9"/>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Income tax (benefit) provision ($M)</w:t>
            </w:r>
          </w:p>
        </w:tc>
      </w:tr>
      <w:tr>
        <w:trPr/>
        <w:tc>
          <w:tcPr>
            <w:tcW w:w="3599" w:type="dxa"/>
            <w:gridSpan w:val="9"/>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effective income tax rates</w:t>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4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3" descr=""/>
                    <pic:cNvPicPr>
                      <a:picLocks noChangeAspect="1" noChangeArrowheads="1"/>
                    </pic:cNvPicPr>
                  </pic:nvPicPr>
                  <pic:blipFill>
                    <a:blip r:embed="rId102"/>
                    <a:stretch>
                      <a:fillRect/>
                    </a:stretch>
                  </pic:blipFill>
                  <pic:spPr bwMode="auto">
                    <a:xfrm>
                      <a:off x="0" y="0"/>
                      <a:ext cx="2152650" cy="1581150"/>
                    </a:xfrm>
                    <a:prstGeom prst="rect">
                      <a:avLst/>
                    </a:prstGeom>
                  </pic:spPr>
                </pic:pic>
              </a:graphicData>
            </a:graphic>
          </wp:inline>
        </w:drawing>
      </w:r>
      <w:bookmarkStart w:id="100" w:name="i-63"/>
      <w:bookmarkEnd w:id="100"/>
      <w:r>
        <w:rPr>
          <w:color w:val="51555C"/>
        </w:rPr>
        <w:t>                                          </w:t>
      </w:r>
      <w:r>
        <w:rPr/>
        <w:drawing>
          <wp:inline distT="0" distB="0" distL="0" distR="0">
            <wp:extent cx="2152650" cy="1581150"/>
            <wp:effectExtent l="0" t="0" r="0" b="0"/>
            <wp:docPr id="14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64" descr=""/>
                    <pic:cNvPicPr>
                      <a:picLocks noChangeAspect="1" noChangeArrowheads="1"/>
                    </pic:cNvPicPr>
                  </pic:nvPicPr>
                  <pic:blipFill>
                    <a:blip r:embed="rId103"/>
                    <a:stretch>
                      <a:fillRect/>
                    </a:stretch>
                  </pic:blipFill>
                  <pic:spPr bwMode="auto">
                    <a:xfrm>
                      <a:off x="0" y="0"/>
                      <a:ext cx="2152650" cy="1581150"/>
                    </a:xfrm>
                    <a:prstGeom prst="rect">
                      <a:avLst/>
                    </a:prstGeom>
                  </pic:spPr>
                </pic:pic>
              </a:graphicData>
            </a:graphic>
          </wp:inline>
        </w:drawing>
      </w:r>
      <w:bookmarkStart w:id="101" w:name="i-64"/>
      <w:bookmarkEnd w:id="101"/>
      <w:r>
        <w:rPr>
          <w:color w:val="51555C"/>
        </w:rPr>
        <w: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decreases in our effective income tax rate for the three and nine months ended September 30, 2025 when compared to the same periods in 2024 were primarily due to the favorable impact of a valuation allowance reduction recorded against our net U.S. deferred tax assets.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United States enacted the OBBBA, which introduced significant changes to U.S. tax law. See Note 9 to our unaudited, condensed consolidated financial statements in this report for more information. Based on our preliminary review, we expect OBBBA to meaningfully reduce cash taxes for the Company through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91540"/>
                <wp:effectExtent l="0" t="0" r="0" b="0"/>
                <wp:wrapNone/>
                <wp:docPr id="142" name="Frame4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5" descr=""/>
                                                <pic:cNvPicPr>
                                                  <a:picLocks noChangeAspect="1" noChangeArrowheads="1"/>
                                                </pic:cNvPicPr>
                                              </pic:nvPicPr>
                                              <pic:blipFill>
                                                <a:blip r:embed="rId104"/>
                                                <a:stretch>
                                                  <a:fillRect/>
                                                </a:stretch>
                                              </pic:blipFill>
                                              <pic:spPr bwMode="auto">
                                                <a:xfrm>
                                                  <a:off x="0" y="0"/>
                                                  <a:ext cx="733425" cy="190500"/>
                                                </a:xfrm>
                                                <a:prstGeom prst="rect">
                                                  <a:avLst/>
                                                </a:prstGeom>
                                              </pic:spPr>
                                            </pic:pic>
                                          </a:graphicData>
                                        </a:graphic>
                                      </wp:inline>
                                    </w:drawing>
                                  </w:r>
                                  <w:bookmarkStart w:id="102" w:name="i-65"/>
                                  <w:bookmarkEnd w:id="10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5" descr=""/>
                                          <pic:cNvPicPr>
                                            <a:picLocks noChangeAspect="1" noChangeArrowheads="1"/>
                                          </pic:cNvPicPr>
                                        </pic:nvPicPr>
                                        <pic:blipFill>
                                          <a:blip r:embed="rId105"/>
                                          <a:stretch>
                                            <a:fillRect/>
                                          </a:stretch>
                                        </pic:blipFill>
                                        <pic:spPr bwMode="auto">
                                          <a:xfrm>
                                            <a:off x="0" y="0"/>
                                            <a:ext cx="733425" cy="190500"/>
                                          </a:xfrm>
                                          <a:prstGeom prst="rect">
                                            <a:avLst/>
                                          </a:prstGeom>
                                        </pic:spPr>
                                      </pic:pic>
                                    </a:graphicData>
                                  </a:graphic>
                                </wp:inline>
                              </w:drawing>
                            </w:r>
                            <w:bookmarkStart w:id="103" w:name="i-65"/>
                            <w:bookmarkEnd w:id="10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Non-GAAP Financial Measures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91540"/>
                <wp:effectExtent l="0" t="0" r="0" b="0"/>
                <wp:wrapNone/>
                <wp:docPr id="145" name="Frame4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6" descr=""/>
                                                <pic:cNvPicPr>
                                                  <a:picLocks noChangeAspect="1" noChangeArrowheads="1"/>
                                                </pic:cNvPicPr>
                                              </pic:nvPicPr>
                                              <pic:blipFill>
                                                <a:blip r:embed="rId106"/>
                                                <a:stretch>
                                                  <a:fillRect/>
                                                </a:stretch>
                                              </pic:blipFill>
                                              <pic:spPr bwMode="auto">
                                                <a:xfrm>
                                                  <a:off x="0" y="0"/>
                                                  <a:ext cx="723900" cy="190500"/>
                                                </a:xfrm>
                                                <a:prstGeom prst="rect">
                                                  <a:avLst/>
                                                </a:prstGeom>
                                              </pic:spPr>
                                            </pic:pic>
                                          </a:graphicData>
                                        </a:graphic>
                                      </wp:inline>
                                    </w:drawing>
                                  </w:r>
                                  <w:bookmarkStart w:id="104" w:name="i-66"/>
                                  <w:bookmarkEnd w:id="104"/>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6" descr=""/>
                                          <pic:cNvPicPr>
                                            <a:picLocks noChangeAspect="1" noChangeArrowheads="1"/>
                                          </pic:cNvPicPr>
                                        </pic:nvPicPr>
                                        <pic:blipFill>
                                          <a:blip r:embed="rId107"/>
                                          <a:stretch>
                                            <a:fillRect/>
                                          </a:stretch>
                                        </pic:blipFill>
                                        <pic:spPr bwMode="auto">
                                          <a:xfrm>
                                            <a:off x="0" y="0"/>
                                            <a:ext cx="723900" cy="190500"/>
                                          </a:xfrm>
                                          <a:prstGeom prst="rect">
                                            <a:avLst/>
                                          </a:prstGeom>
                                        </pic:spPr>
                                      </pic:pic>
                                    </a:graphicData>
                                  </a:graphic>
                                </wp:inline>
                              </w:drawing>
                            </w:r>
                            <w:bookmarkStart w:id="105" w:name="i-66"/>
                            <w:bookmarkEnd w:id="105"/>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tbl>
      <w:tblPr>
        <w:tblW w:w="10205" w:type="dxa"/>
        <w:jc w:val="left"/>
        <w:tblInd w:w="0" w:type="dxa"/>
        <w:tblLayout w:type="fixed"/>
        <w:tblCellMar>
          <w:top w:w="28" w:type="dxa"/>
          <w:left w:w="28" w:type="dxa"/>
          <w:bottom w:w="28" w:type="dxa"/>
          <w:right w:w="28" w:type="dxa"/>
        </w:tblCellMar>
      </w:tblPr>
      <w:tblGrid>
        <w:gridCol w:w="1775"/>
        <w:gridCol w:w="1350"/>
        <w:gridCol w:w="1358"/>
        <w:gridCol w:w="275"/>
        <w:gridCol w:w="806"/>
        <w:gridCol w:w="256"/>
        <w:gridCol w:w="275"/>
        <w:gridCol w:w="806"/>
        <w:gridCol w:w="256"/>
        <w:gridCol w:w="109"/>
        <w:gridCol w:w="109"/>
        <w:gridCol w:w="109"/>
        <w:gridCol w:w="275"/>
        <w:gridCol w:w="806"/>
        <w:gridCol w:w="256"/>
        <w:gridCol w:w="275"/>
        <w:gridCol w:w="806"/>
        <w:gridCol w:w="303"/>
      </w:tblGrid>
      <w:tr>
        <w:trPr/>
        <w:tc>
          <w:tcPr>
            <w:tcW w:w="177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48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Nine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r>
      <w:tr>
        <w:trPr/>
        <w:tc>
          <w:tcPr>
            <w:tcW w:w="448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 except per share amounts)</w:t>
            </w:r>
          </w:p>
        </w:tc>
        <w:tc>
          <w:tcPr>
            <w:tcW w:w="133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33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38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448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Revenue</w:t>
            </w:r>
          </w:p>
        </w:tc>
        <w:tc>
          <w:tcPr>
            <w:tcW w:w="2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281.1 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286.6 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833.1 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852.5 </w:t>
            </w:r>
          </w:p>
        </w:tc>
        <w:tc>
          <w:tcPr>
            <w:tcW w:w="30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gross profit</w:t>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167.5 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157.3 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491.0 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468.9 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gross margin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54.9 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58.9 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55.0 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6.8 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20.9 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44.0 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Employee severance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(1)</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9.6 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17.6 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30.0 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54.0 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gross profit</w:t>
            </w:r>
            <w:r>
              <w:rPr>
                <w:rFonts w:ascii="sans-serif" w:hAnsi="sans-serif"/>
                <w:b/>
                <w:color w:val="51555C"/>
                <w:sz w:val="10"/>
              </w:rPr>
              <w:t>(1)</w:t>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177.1 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174.9 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521.0 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522.9 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gross margin</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63.0 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61.0 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62.5 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61.3 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income from operations</w:t>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54.6 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41.1 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131.6 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95.9 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operating margin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11.2 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7.4 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46.7 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Employee severance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Acquisition and disposition-related costs</w:t>
            </w:r>
            <w:r>
              <w:rPr>
                <w:rFonts w:ascii="sans-serif" w:hAnsi="sans-serif"/>
                <w:b w:val="false"/>
                <w:color w:val="51555C"/>
                <w:sz w:val="10"/>
              </w:rPr>
              <w:t>(2)</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25.8 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Security Incident-related costs</w:t>
            </w:r>
            <w:r>
              <w:rPr>
                <w:rFonts w:ascii="sans-serif" w:hAnsi="sans-serif"/>
                <w:b w:val="false"/>
                <w:color w:val="51555C"/>
                <w:sz w:val="10"/>
              </w:rPr>
              <w:t>(3)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(1)</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29.4 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37.6 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124.1 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140.8 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income from operations</w:t>
            </w:r>
            <w:r>
              <w:rPr>
                <w:rFonts w:ascii="sans-serif" w:hAnsi="sans-serif"/>
                <w:b/>
                <w:color w:val="51555C"/>
                <w:sz w:val="10"/>
              </w:rPr>
              <w:t>(1)</w:t>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84.0 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78.7 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255.8 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236.7 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operating margin</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29.9 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27.5 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30.7 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27.8 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income before (benefit) provision for income taxes</w:t>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41.0 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30.0 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86.0 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65.4 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net income</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Shares used in computing GAAP diluted earnings per share</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48,498,285 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51,632,569 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48,634,027 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52,107,147 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diluted earnings per share</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GAAP income tax (benefit) provision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Total non-GAAP adjustments affecting income from operations</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29.4 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124.1 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140.8 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income before provision for income taxes</w:t>
            </w:r>
            <w:r>
              <w:rPr>
                <w:rFonts w:ascii="sans-serif" w:hAnsi="sans-serif"/>
                <w:b/>
                <w:color w:val="51555C"/>
                <w:sz w:val="10"/>
              </w:rPr>
              <w:t>(1)</w:t>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70.5 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67.6 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210.1 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206.2 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Assumed non-GAAP income tax provision</w:t>
            </w:r>
            <w:r>
              <w:rPr>
                <w:rFonts w:ascii="sans-serif" w:hAnsi="sans-serif"/>
                <w:b w:val="false"/>
                <w:color w:val="51555C"/>
                <w:sz w:val="10"/>
              </w:rPr>
              <w:t>(4)</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17.3 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51.5 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50.5 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net income</w:t>
            </w:r>
            <w:r>
              <w:rPr>
                <w:rFonts w:ascii="sans-serif" w:hAnsi="sans-serif"/>
                <w:b/>
                <w:color w:val="51555C"/>
                <w:sz w:val="10"/>
              </w:rPr>
              <w:t>(1)</w:t>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53.2 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51.0 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158.6 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155.7 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Shares used in computing non-GAAP diluted earnings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48,498,285 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51,632,569 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48,634,027 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52,107,147 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diluted earnings per share</w:t>
            </w:r>
          </w:p>
        </w:tc>
        <w:tc>
          <w:tcPr>
            <w:tcW w:w="27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1.10 </w:t>
            </w:r>
          </w:p>
        </w:tc>
        <w:tc>
          <w:tcPr>
            <w:tcW w:w="25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0.99 </w:t>
            </w:r>
          </w:p>
        </w:tc>
        <w:tc>
          <w:tcPr>
            <w:tcW w:w="25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3.26 </w:t>
            </w:r>
          </w:p>
        </w:tc>
        <w:tc>
          <w:tcPr>
            <w:tcW w:w="25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2.99 </w:t>
            </w:r>
          </w:p>
        </w:tc>
        <w:tc>
          <w:tcPr>
            <w:tcW w:w="303"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for each year may not sum to subtotal, non-GAAP gross profit, non-GAAP income from operations, non-GAAP income before provision for income taxes or non-GAAP net income due to rounding.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(2)Includes charges of $24.3 million incurred during the nine months ended September 30, 2025 related to the release from our lease for office space in Washington, DC (which was acquired as part of our acquisition of EVERFI in December 2021).</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(3)Includes Security Incident-related costs incurred during the three months ended September 30, 2025 and 2024 which were insignificant for on-going legal fees, during the nine months ended September 30, 2025 of $2.8 million, which included approximately $1.1 million in recorded accruals for loss contingencies and during the nine months ended September 30, 2024 of $12.8 million, which included approximately $6.8 million in recorded accruals for loss contingencies. Recorded expenses consisted primarily of payments to third-party service providers and consultants, including legal fees, as well as settlements of customer claims, negotiated settlements and accruals for certain loss contingencies. Not included in this adjustment were costs associated with enhancements to our cybersecurity program. As of September 30, 2025, we do not have any recorded liabilities for loss contingencies related to the Security Incident.</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(4)We apply a non-GAAP effective tax rate of 24.5% when calculating non-GAAP net income and non-GAAP diluted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91540"/>
                <wp:effectExtent l="0" t="0" r="0" b="0"/>
                <wp:wrapNone/>
                <wp:docPr id="148" name="Frame4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7" descr=""/>
                                                <pic:cNvPicPr>
                                                  <a:picLocks noChangeAspect="1" noChangeArrowheads="1"/>
                                                </pic:cNvPicPr>
                                              </pic:nvPicPr>
                                              <pic:blipFill>
                                                <a:blip r:embed="rId108"/>
                                                <a:stretch>
                                                  <a:fillRect/>
                                                </a:stretch>
                                              </pic:blipFill>
                                              <pic:spPr bwMode="auto">
                                                <a:xfrm>
                                                  <a:off x="0" y="0"/>
                                                  <a:ext cx="733425" cy="190500"/>
                                                </a:xfrm>
                                                <a:prstGeom prst="rect">
                                                  <a:avLst/>
                                                </a:prstGeom>
                                              </pic:spPr>
                                            </pic:pic>
                                          </a:graphicData>
                                        </a:graphic>
                                      </wp:inline>
                                    </w:drawing>
                                  </w:r>
                                  <w:bookmarkStart w:id="106" w:name="i-67"/>
                                  <w:bookmarkEnd w:id="10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67" descr=""/>
                                          <pic:cNvPicPr>
                                            <a:picLocks noChangeAspect="1" noChangeArrowheads="1"/>
                                          </pic:cNvPicPr>
                                        </pic:nvPicPr>
                                        <pic:blipFill>
                                          <a:blip r:embed="rId109"/>
                                          <a:stretch>
                                            <a:fillRect/>
                                          </a:stretch>
                                        </pic:blipFill>
                                        <pic:spPr bwMode="auto">
                                          <a:xfrm>
                                            <a:off x="0" y="0"/>
                                            <a:ext cx="733425" cy="190500"/>
                                          </a:xfrm>
                                          <a:prstGeom prst="rect">
                                            <a:avLst/>
                                          </a:prstGeom>
                                        </pic:spPr>
                                      </pic:pic>
                                    </a:graphicData>
                                  </a:graphic>
                                </wp:inline>
                              </w:drawing>
                            </w:r>
                            <w:bookmarkStart w:id="107" w:name="i-67"/>
                            <w:bookmarkEnd w:id="10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Non-GAAP organic revenue growth</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In addition, we use non-GAAP organic revenue growth, non-GAAP organic revenue growth on a constant currency basis, non-GAAP organic recurring revenue growth and non-GAAP organic recurring revenue growth on a constant currency basis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if any,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 </w:t>
      </w:r>
    </w:p>
    <w:tbl>
      <w:tblPr>
        <w:tblW w:w="10205" w:type="dxa"/>
        <w:jc w:val="left"/>
        <w:tblInd w:w="0" w:type="dxa"/>
        <w:tblLayout w:type="fixed"/>
        <w:tblCellMar>
          <w:top w:w="28" w:type="dxa"/>
          <w:left w:w="28" w:type="dxa"/>
          <w:bottom w:w="28" w:type="dxa"/>
          <w:right w:w="28" w:type="dxa"/>
        </w:tblCellMar>
      </w:tblPr>
      <w:tblGrid>
        <w:gridCol w:w="2112"/>
        <w:gridCol w:w="1820"/>
        <w:gridCol w:w="1831"/>
        <w:gridCol w:w="211"/>
        <w:gridCol w:w="616"/>
        <w:gridCol w:w="271"/>
        <w:gridCol w:w="211"/>
        <w:gridCol w:w="616"/>
        <w:gridCol w:w="109"/>
        <w:gridCol w:w="109"/>
        <w:gridCol w:w="109"/>
        <w:gridCol w:w="109"/>
        <w:gridCol w:w="211"/>
        <w:gridCol w:w="616"/>
        <w:gridCol w:w="271"/>
        <w:gridCol w:w="211"/>
        <w:gridCol w:w="616"/>
        <w:gridCol w:w="156"/>
      </w:tblGrid>
      <w:tr>
        <w:trPr/>
        <w:tc>
          <w:tcPr>
            <w:tcW w:w="2112"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63"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203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Nine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r>
      <w:tr>
        <w:trPr/>
        <w:tc>
          <w:tcPr>
            <w:tcW w:w="5763"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0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98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576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GAAP revenue</w:t>
            </w:r>
            <w:r>
              <w:rPr>
                <w:color w:val="51555C"/>
              </w:rPr>
              <w:t xml:space="preserve"> </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281.1 </w:t>
            </w:r>
          </w:p>
        </w:tc>
        <w:tc>
          <w:tcPr>
            <w:tcW w:w="27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286.6 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833.1 </w:t>
            </w:r>
          </w:p>
        </w:tc>
        <w:tc>
          <w:tcPr>
            <w:tcW w:w="27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852.5 </w:t>
            </w:r>
          </w:p>
        </w:tc>
        <w:tc>
          <w:tcPr>
            <w:tcW w:w="1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revenue growth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(2.3)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Less: Non-GAAP revenue from divested businesses</w:t>
            </w:r>
            <w:r>
              <w:rPr>
                <w:rFonts w:ascii="sans-serif" w:hAnsi="sans-serif"/>
                <w:b w:val="false"/>
                <w:color w:val="51555C"/>
                <w:sz w:val="10"/>
              </w:rPr>
              <w:t>(1)</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(66.5)</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w:t>
            </w:r>
            <w:r>
              <w:rPr>
                <w:rFonts w:ascii="sans-serif" w:hAnsi="sans-serif"/>
                <w:b w:val="false"/>
                <w:color w:val="51555C"/>
                <w:sz w:val="10"/>
              </w:rPr>
              <w:t>(2)</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281.1 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267.3 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833.1 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786.0 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revenue growth</w:t>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5.2</w:t>
            </w:r>
            <w:r>
              <w:rPr>
                <w:color w:val="51555C"/>
              </w:rPr>
              <w:t>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6.0</w:t>
            </w:r>
            <w:r>
              <w:rPr>
                <w:color w:val="51555C"/>
              </w:rPr>
              <w:t>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w:t>
            </w:r>
            <w:r>
              <w:rPr>
                <w:rFonts w:ascii="sans-serif" w:hAnsi="sans-serif"/>
                <w:b w:val="false"/>
                <w:color w:val="51555C"/>
                <w:sz w:val="10"/>
              </w:rPr>
              <w:t>(2)</w:t>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281.1 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267.3 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833.1 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786.0 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Foreign currency impact on Non-GAAP organic revenue</w:t>
            </w:r>
            <w:r>
              <w:rPr>
                <w:rFonts w:ascii="sans-serif" w:hAnsi="sans-serif"/>
                <w:b w:val="false"/>
                <w:color w:val="51555C"/>
                <w:sz w:val="10"/>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 on constant currency basis</w:t>
            </w:r>
            <w:r>
              <w:rPr>
                <w:rFonts w:ascii="sans-serif" w:hAnsi="sans-serif"/>
                <w:b w:val="false"/>
                <w:color w:val="51555C"/>
                <w:sz w:val="10"/>
              </w:rPr>
              <w:t>(3)</w:t>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280.2 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267.3 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830.5 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786.0 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revenue growth on constant currency basis</w:t>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4.8</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5.7</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GAAP recurring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815.4 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832.2 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recurring revenue growth</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(1.5)</w:t>
            </w:r>
          </w:p>
        </w:tc>
        <w:tc>
          <w:tcPr>
            <w:tcW w:w="27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(2.0)</w:t>
            </w:r>
          </w:p>
        </w:tc>
        <w:tc>
          <w:tcPr>
            <w:tcW w:w="27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Less: Non-GAAP recurring revenue from divested businesses</w:t>
            </w:r>
            <w:r>
              <w:rPr>
                <w:rFonts w:ascii="sans-serif" w:hAnsi="sans-serif"/>
                <w:b w:val="false"/>
                <w:color w:val="51555C"/>
                <w:sz w:val="10"/>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recurring revenue</w:t>
            </w:r>
            <w:r>
              <w:rPr>
                <w:rFonts w:ascii="sans-serif" w:hAnsi="sans-serif"/>
                <w:b w:val="false"/>
                <w:color w:val="51555C"/>
                <w:sz w:val="10"/>
              </w:rPr>
              <w:t>(2)</w:t>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275.8 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261.5 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815.4 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768.3 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recurring revenue growth</w:t>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5.5</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6.1</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recurring revenue</w:t>
            </w:r>
            <w:r>
              <w:rPr>
                <w:rFonts w:ascii="sans-serif" w:hAnsi="sans-serif"/>
                <w:b w:val="false"/>
                <w:color w:val="51555C"/>
                <w:sz w:val="10"/>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815.4 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Foreign currency impact on non-GAAP organic recurring revenue</w:t>
            </w:r>
            <w:r>
              <w:rPr>
                <w:rFonts w:ascii="sans-serif" w:hAnsi="sans-serif"/>
                <w:b w:val="false"/>
                <w:color w:val="51555C"/>
                <w:sz w:val="10"/>
              </w:rPr>
              <w:t>(3)</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recurring revenue on constant currency basis</w:t>
            </w:r>
            <w:r>
              <w:rPr>
                <w:rFonts w:ascii="sans-serif" w:hAnsi="sans-serif"/>
                <w:b w:val="false"/>
                <w:color w:val="51555C"/>
                <w:sz w:val="10"/>
              </w:rPr>
              <w:t>(3)</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274.8 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261.5 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812.8 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768.3 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recurring revenue growth on constant currency basis</w:t>
            </w:r>
          </w:p>
        </w:tc>
        <w:tc>
          <w:tcPr>
            <w:tcW w:w="82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5.1</w:t>
            </w:r>
            <w:r>
              <w:rPr>
                <w:color w:val="51555C"/>
              </w:rPr>
              <w:t> </w:t>
            </w:r>
          </w:p>
        </w:tc>
        <w:tc>
          <w:tcPr>
            <w:tcW w:w="27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5.8</w:t>
            </w:r>
            <w:r>
              <w:rPr>
                <w:color w:val="51555C"/>
              </w:rPr>
              <w:t> </w:t>
            </w:r>
          </w:p>
        </w:tc>
        <w:tc>
          <w:tcPr>
            <w:tcW w:w="27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(1)Non-GAAP revenue from divested businesses excludes revenue associated with divested businesses. The exclusion of the prior period revenue is to present the results of the divested business with the results of the combined company for the same period of time in both the prior and current periods.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91540"/>
                <wp:effectExtent l="0" t="0" r="0" b="0"/>
                <wp:wrapNone/>
                <wp:docPr id="151" name="Frame4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68" descr=""/>
                                                <pic:cNvPicPr>
                                                  <a:picLocks noChangeAspect="1" noChangeArrowheads="1"/>
                                                </pic:cNvPicPr>
                                              </pic:nvPicPr>
                                              <pic:blipFill>
                                                <a:blip r:embed="rId110"/>
                                                <a:stretch>
                                                  <a:fillRect/>
                                                </a:stretch>
                                              </pic:blipFill>
                                              <pic:spPr bwMode="auto">
                                                <a:xfrm>
                                                  <a:off x="0" y="0"/>
                                                  <a:ext cx="723900" cy="190500"/>
                                                </a:xfrm>
                                                <a:prstGeom prst="rect">
                                                  <a:avLst/>
                                                </a:prstGeom>
                                              </pic:spPr>
                                            </pic:pic>
                                          </a:graphicData>
                                        </a:graphic>
                                      </wp:inline>
                                    </w:drawing>
                                  </w:r>
                                  <w:bookmarkStart w:id="108" w:name="i-68"/>
                                  <w:bookmarkEnd w:id="108"/>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68" descr=""/>
                                          <pic:cNvPicPr>
                                            <a:picLocks noChangeAspect="1" noChangeArrowheads="1"/>
                                          </pic:cNvPicPr>
                                        </pic:nvPicPr>
                                        <pic:blipFill>
                                          <a:blip r:embed="rId111"/>
                                          <a:stretch>
                                            <a:fillRect/>
                                          </a:stretch>
                                        </pic:blipFill>
                                        <pic:spPr bwMode="auto">
                                          <a:xfrm>
                                            <a:off x="0" y="0"/>
                                            <a:ext cx="723900" cy="190500"/>
                                          </a:xfrm>
                                          <a:prstGeom prst="rect">
                                            <a:avLst/>
                                          </a:prstGeom>
                                        </pic:spPr>
                                      </pic:pic>
                                    </a:graphicData>
                                  </a:graphic>
                                </wp:inline>
                              </w:drawing>
                            </w:r>
                            <w:bookmarkStart w:id="109" w:name="i-68"/>
                            <w:bookmarkEnd w:id="109"/>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Rule of 40</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define Rule of 40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stock-based compensation; employee severance; acquisition and disposition-related costs; Security Incident-related costs; and impairment and disposition charges.</w:t>
      </w:r>
    </w:p>
    <w:tbl>
      <w:tblPr>
        <w:tblW w:w="10205" w:type="dxa"/>
        <w:jc w:val="left"/>
        <w:tblInd w:w="0" w:type="dxa"/>
        <w:tblLayout w:type="fixed"/>
        <w:tblCellMar>
          <w:top w:w="28" w:type="dxa"/>
          <w:left w:w="28" w:type="dxa"/>
          <w:bottom w:w="28" w:type="dxa"/>
          <w:right w:w="28" w:type="dxa"/>
        </w:tblCellMar>
      </w:tblPr>
      <w:tblGrid>
        <w:gridCol w:w="2122"/>
        <w:gridCol w:w="1824"/>
        <w:gridCol w:w="1838"/>
        <w:gridCol w:w="232"/>
        <w:gridCol w:w="563"/>
        <w:gridCol w:w="299"/>
        <w:gridCol w:w="232"/>
        <w:gridCol w:w="563"/>
        <w:gridCol w:w="120"/>
        <w:gridCol w:w="109"/>
        <w:gridCol w:w="109"/>
        <w:gridCol w:w="109"/>
        <w:gridCol w:w="211"/>
        <w:gridCol w:w="616"/>
        <w:gridCol w:w="271"/>
        <w:gridCol w:w="211"/>
        <w:gridCol w:w="616"/>
        <w:gridCol w:w="160"/>
      </w:tblGrid>
      <w:tr>
        <w:trPr/>
        <w:tc>
          <w:tcPr>
            <w:tcW w:w="2122"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8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Nine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r>
      <w:tr>
        <w:trPr/>
        <w:tc>
          <w:tcPr>
            <w:tcW w:w="578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09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91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98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578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GAAP net income</w:t>
            </w:r>
          </w:p>
        </w:tc>
        <w:tc>
          <w:tcPr>
            <w:tcW w:w="23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47.5 </w:t>
            </w:r>
          </w:p>
        </w:tc>
        <w:tc>
          <w:tcPr>
            <w:tcW w:w="29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18.3 </w:t>
            </w:r>
          </w:p>
        </w:tc>
        <w:tc>
          <w:tcPr>
            <w:tcW w:w="120"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78.3 </w:t>
            </w:r>
          </w:p>
        </w:tc>
        <w:tc>
          <w:tcPr>
            <w:tcW w:w="27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46.8 </w:t>
            </w:r>
          </w:p>
        </w:tc>
        <w:tc>
          <w:tcPr>
            <w:tcW w:w="160"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adjustments: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Interest, net</w:t>
            </w:r>
          </w:p>
        </w:tc>
        <w:tc>
          <w:tcPr>
            <w:tcW w:w="7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14.4 </w:t>
            </w:r>
          </w:p>
        </w:tc>
        <w:tc>
          <w:tcPr>
            <w:tcW w:w="29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11.0 </w:t>
            </w:r>
          </w:p>
        </w:tc>
        <w:tc>
          <w:tcPr>
            <w:tcW w:w="12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46.1 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32.2 </w:t>
            </w:r>
          </w:p>
        </w:tc>
        <w:tc>
          <w:tcPr>
            <w:tcW w:w="1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GAAP income tax (benefit) provision</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Depreciation</w:t>
            </w:r>
          </w:p>
        </w:tc>
        <w:tc>
          <w:tcPr>
            <w:tcW w:w="7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2.2 </w:t>
            </w:r>
          </w:p>
        </w:tc>
        <w:tc>
          <w:tcPr>
            <w:tcW w:w="29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3.3 </w:t>
            </w:r>
          </w:p>
        </w:tc>
        <w:tc>
          <w:tcPr>
            <w:tcW w:w="12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7.8 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9.6 </w:t>
            </w:r>
          </w:p>
        </w:tc>
        <w:tc>
          <w:tcPr>
            <w:tcW w:w="1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Amortization of software development costs</w:t>
            </w:r>
            <w:r>
              <w:rPr>
                <w:rFonts w:ascii="sans-serif" w:hAnsi="sans-serif"/>
                <w:b w:val="false"/>
                <w:color w:val="51555C"/>
                <w:sz w:val="10"/>
              </w:rPr>
              <w:t>(1)</w:t>
            </w:r>
          </w:p>
        </w:tc>
        <w:tc>
          <w:tcPr>
            <w:tcW w:w="7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12.6 </w:t>
            </w:r>
          </w:p>
        </w:tc>
        <w:tc>
          <w:tcPr>
            <w:tcW w:w="29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13.2 </w:t>
            </w:r>
          </w:p>
        </w:tc>
        <w:tc>
          <w:tcPr>
            <w:tcW w:w="12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36.8 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37.9 </w:t>
            </w:r>
          </w:p>
        </w:tc>
        <w:tc>
          <w:tcPr>
            <w:tcW w:w="1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(2)</w:t>
            </w:r>
          </w:p>
        </w:tc>
        <w:tc>
          <w:tcPr>
            <w:tcW w:w="79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30.1 </w:t>
            </w:r>
          </w:p>
        </w:tc>
        <w:tc>
          <w:tcPr>
            <w:tcW w:w="29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54.8 </w:t>
            </w:r>
          </w:p>
        </w:tc>
        <w:tc>
          <w:tcPr>
            <w:tcW w:w="12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121.0 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144.9 </w:t>
            </w:r>
          </w:p>
        </w:tc>
        <w:tc>
          <w:tcPr>
            <w:tcW w:w="16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EBITDA</w:t>
            </w:r>
            <w:r>
              <w:rPr>
                <w:rFonts w:ascii="sans-serif" w:hAnsi="sans-serif"/>
                <w:b w:val="false"/>
                <w:color w:val="51555C"/>
                <w:sz w:val="10"/>
              </w:rPr>
              <w:t>(2)</w:t>
            </w:r>
          </w:p>
        </w:tc>
        <w:tc>
          <w:tcPr>
            <w:tcW w:w="23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6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77.6 </w:t>
            </w:r>
          </w:p>
        </w:tc>
        <w:tc>
          <w:tcPr>
            <w:tcW w:w="29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6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73.1 </w:t>
            </w:r>
          </w:p>
        </w:tc>
        <w:tc>
          <w:tcPr>
            <w:tcW w:w="12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199.2 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191.8 </w:t>
            </w:r>
          </w:p>
        </w:tc>
        <w:tc>
          <w:tcPr>
            <w:tcW w:w="16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EBITDA margin</w:t>
            </w:r>
            <w:r>
              <w:rPr>
                <w:rFonts w:ascii="sans-serif" w:hAnsi="sans-serif"/>
                <w:b w:val="false"/>
                <w:color w:val="51555C"/>
                <w:sz w:val="10"/>
              </w:rPr>
              <w:t>(3)</w:t>
            </w:r>
          </w:p>
        </w:tc>
        <w:tc>
          <w:tcPr>
            <w:tcW w:w="79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27.6 </w:t>
            </w:r>
          </w:p>
        </w:tc>
        <w:tc>
          <w:tcPr>
            <w:tcW w:w="29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91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23.9 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98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adjustments: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Stock-based compensation expense</w:t>
            </w:r>
          </w:p>
        </w:tc>
        <w:tc>
          <w:tcPr>
            <w:tcW w:w="232"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63"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21.7 </w:t>
            </w:r>
          </w:p>
        </w:tc>
        <w:tc>
          <w:tcPr>
            <w:tcW w:w="29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63"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21.1 </w:t>
            </w:r>
          </w:p>
        </w:tc>
        <w:tc>
          <w:tcPr>
            <w:tcW w:w="12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71.1 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76.4 </w:t>
            </w:r>
          </w:p>
        </w:tc>
        <w:tc>
          <w:tcPr>
            <w:tcW w:w="1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Employee severance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Acquisition and disposition-related costs</w:t>
            </w:r>
          </w:p>
        </w:tc>
        <w:tc>
          <w:tcPr>
            <w:tcW w:w="7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29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0.2 </w:t>
            </w:r>
          </w:p>
        </w:tc>
        <w:tc>
          <w:tcPr>
            <w:tcW w:w="12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25.8 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4.9 </w:t>
            </w:r>
          </w:p>
        </w:tc>
        <w:tc>
          <w:tcPr>
            <w:tcW w:w="1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Security Incident-related costs</w:t>
            </w:r>
            <w:r>
              <w:rPr>
                <w:rFonts w:ascii="sans-serif" w:hAnsi="sans-serif"/>
                <w:b w:val="false"/>
                <w:color w:val="51555C"/>
                <w:sz w:val="10"/>
              </w:rPr>
              <w:t>(4)</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578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(2)</w:t>
            </w:r>
          </w:p>
        </w:tc>
        <w:tc>
          <w:tcPr>
            <w:tcW w:w="795"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22.0 </w:t>
            </w:r>
          </w:p>
        </w:tc>
        <w:tc>
          <w:tcPr>
            <w:tcW w:w="29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22.0 </w:t>
            </w:r>
          </w:p>
        </w:tc>
        <w:tc>
          <w:tcPr>
            <w:tcW w:w="12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101.6 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94.1 </w:t>
            </w:r>
          </w:p>
        </w:tc>
        <w:tc>
          <w:tcPr>
            <w:tcW w:w="16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adjusted EBITDA</w:t>
            </w:r>
            <w:r>
              <w:rPr>
                <w:rFonts w:ascii="sans-serif" w:hAnsi="sans-serif"/>
                <w:b w:val="false"/>
                <w:color w:val="51555C"/>
                <w:sz w:val="10"/>
              </w:rPr>
              <w:t>(2)</w:t>
            </w:r>
          </w:p>
        </w:tc>
        <w:tc>
          <w:tcPr>
            <w:tcW w:w="23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6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99.7 </w:t>
            </w:r>
          </w:p>
        </w:tc>
        <w:tc>
          <w:tcPr>
            <w:tcW w:w="29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6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95.1 </w:t>
            </w:r>
          </w:p>
        </w:tc>
        <w:tc>
          <w:tcPr>
            <w:tcW w:w="12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300.8 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285.9 </w:t>
            </w:r>
          </w:p>
        </w:tc>
        <w:tc>
          <w:tcPr>
            <w:tcW w:w="16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adjusted EBITDA margin</w:t>
            </w:r>
            <w:r>
              <w:rPr>
                <w:rFonts w:ascii="sans-serif" w:hAnsi="sans-serif"/>
                <w:b/>
                <w:color w:val="51555C"/>
                <w:sz w:val="10"/>
              </w:rPr>
              <w:t>(5)</w:t>
            </w:r>
          </w:p>
        </w:tc>
        <w:tc>
          <w:tcPr>
            <w:tcW w:w="795"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35.4</w:t>
            </w:r>
            <w:r>
              <w:rPr>
                <w:color w:val="51555C"/>
              </w:rPr>
              <w:t> </w:t>
            </w:r>
          </w:p>
        </w:tc>
        <w:tc>
          <w:tcPr>
            <w:tcW w:w="29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15"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36.1</w:t>
            </w:r>
            <w:r>
              <w:rPr>
                <w:color w:val="51555C"/>
              </w:rPr>
              <w:t>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Rule of 40</w:t>
            </w:r>
            <w:r>
              <w:rPr>
                <w:rFonts w:ascii="sans-serif" w:hAnsi="sans-serif"/>
                <w:b/>
                <w:color w:val="51555C"/>
                <w:sz w:val="10"/>
              </w:rPr>
              <w:t>(6)</w:t>
            </w:r>
          </w:p>
        </w:tc>
        <w:tc>
          <w:tcPr>
            <w:tcW w:w="7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40.6</w:t>
            </w:r>
            <w:r>
              <w:rPr>
                <w:color w:val="51555C"/>
              </w:rPr>
              <w:t> </w:t>
            </w:r>
          </w:p>
        </w:tc>
        <w:tc>
          <w:tcPr>
            <w:tcW w:w="29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1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42.1</w:t>
            </w: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adjusted EBITDA</w:t>
            </w:r>
          </w:p>
        </w:tc>
        <w:tc>
          <w:tcPr>
            <w:tcW w:w="232"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63"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99.7 </w:t>
            </w:r>
          </w:p>
        </w:tc>
        <w:tc>
          <w:tcPr>
            <w:tcW w:w="29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63"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95.1 </w:t>
            </w:r>
          </w:p>
        </w:tc>
        <w:tc>
          <w:tcPr>
            <w:tcW w:w="12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300.8 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285.9 </w:t>
            </w:r>
          </w:p>
        </w:tc>
        <w:tc>
          <w:tcPr>
            <w:tcW w:w="1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Foreign currency impact on Non-GAAP adjusted EBITDA</w:t>
            </w:r>
            <w:r>
              <w:rPr>
                <w:rFonts w:ascii="sans-serif" w:hAnsi="sans-serif"/>
                <w:b w:val="false"/>
                <w:color w:val="51555C"/>
                <w:sz w:val="10"/>
              </w:rPr>
              <w:t>(7)</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adjusted EBITDA on constant currency basis</w:t>
            </w:r>
            <w:r>
              <w:rPr>
                <w:rFonts w:ascii="sans-serif" w:hAnsi="sans-serif"/>
                <w:b w:val="false"/>
                <w:color w:val="51555C"/>
                <w:sz w:val="10"/>
              </w:rPr>
              <w:t>(7)</w:t>
            </w:r>
          </w:p>
        </w:tc>
        <w:tc>
          <w:tcPr>
            <w:tcW w:w="23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6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99.1 </w:t>
            </w:r>
          </w:p>
        </w:tc>
        <w:tc>
          <w:tcPr>
            <w:tcW w:w="29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6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94.5 </w:t>
            </w:r>
          </w:p>
        </w:tc>
        <w:tc>
          <w:tcPr>
            <w:tcW w:w="12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299.4 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284.8 </w:t>
            </w:r>
          </w:p>
        </w:tc>
        <w:tc>
          <w:tcPr>
            <w:tcW w:w="16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adjusted EBITDA margin on constant currency basis</w:t>
            </w:r>
          </w:p>
        </w:tc>
        <w:tc>
          <w:tcPr>
            <w:tcW w:w="79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35.4</w:t>
            </w:r>
            <w:r>
              <w:rPr>
                <w:color w:val="51555C"/>
              </w:rPr>
              <w:t> </w:t>
            </w:r>
          </w:p>
        </w:tc>
        <w:tc>
          <w:tcPr>
            <w:tcW w:w="29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1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36.1</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sans-serif" w:hAnsi="sans-serif"/>
                <w:b/>
                <w:color w:val="51555C"/>
                <w:sz w:val="16"/>
              </w:rPr>
              <w:t>Rule of 40 on constant currency basis</w:t>
            </w:r>
            <w:r>
              <w:rPr>
                <w:rFonts w:ascii="sans-serif" w:hAnsi="sans-serif"/>
                <w:b/>
                <w:color w:val="51555C"/>
                <w:sz w:val="10"/>
              </w:rPr>
              <w:t>(8)</w:t>
            </w:r>
          </w:p>
        </w:tc>
        <w:tc>
          <w:tcPr>
            <w:tcW w:w="795"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40.2</w:t>
            </w:r>
            <w:r>
              <w:rPr>
                <w:color w:val="51555C"/>
              </w:rPr>
              <w:t> </w:t>
            </w:r>
          </w:p>
        </w:tc>
        <w:tc>
          <w:tcPr>
            <w:tcW w:w="299"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15"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41.8</w:t>
            </w:r>
            <w:r>
              <w:rPr>
                <w:color w:val="51555C"/>
              </w:rPr>
              <w:t> </w:t>
            </w:r>
          </w:p>
        </w:tc>
        <w:tc>
          <w:tcPr>
            <w:tcW w:w="271"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(1)Includes amortization expense related to software development costs and amortization expense from capitalized cloud computing implementation costs.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(2)The individual amounts for each year may not sum to subtotal, non-GAAP EBITDA, non-GAAP adjusted EBITDA or non-GAAP adjusted EBITDA on a constant currency basis due to rounding.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(3)Measured by GAAP revenue divided by non-GAAP EBITDA.</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(4)See additional details in the reconciliation of GAAP to Non-GAAP operating income above.</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(5)Measured by non-GAAP organic revenue divided by non-GAAP adjusted EBITDA.</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(6)Measured by non-GAAP organic revenue growth plus non-GAAP adjusted EBITDA margin. See Non-GAAP organic revenue growth table above.</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(7)To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(8)Measured by non-GAAP organic revenue growth on constant currency basis plus non-GAAP adjusted EBITDA margin on constant currency basis. See Non-GAAP organic revenue growth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91540"/>
                <wp:effectExtent l="0" t="0" r="0" b="0"/>
                <wp:wrapNone/>
                <wp:docPr id="154" name="Frame4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69" descr=""/>
                                                <pic:cNvPicPr>
                                                  <a:picLocks noChangeAspect="1" noChangeArrowheads="1"/>
                                                </pic:cNvPicPr>
                                              </pic:nvPicPr>
                                              <pic:blipFill>
                                                <a:blip r:embed="rId112"/>
                                                <a:stretch>
                                                  <a:fillRect/>
                                                </a:stretch>
                                              </pic:blipFill>
                                              <pic:spPr bwMode="auto">
                                                <a:xfrm>
                                                  <a:off x="0" y="0"/>
                                                  <a:ext cx="733425" cy="190500"/>
                                                </a:xfrm>
                                                <a:prstGeom prst="rect">
                                                  <a:avLst/>
                                                </a:prstGeom>
                                              </pic:spPr>
                                            </pic:pic>
                                          </a:graphicData>
                                        </a:graphic>
                                      </wp:inline>
                                    </w:drawing>
                                  </w:r>
                                  <w:bookmarkStart w:id="110" w:name="i-69"/>
                                  <w:bookmarkEnd w:id="11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69" descr=""/>
                                          <pic:cNvPicPr>
                                            <a:picLocks noChangeAspect="1" noChangeArrowheads="1"/>
                                          </pic:cNvPicPr>
                                        </pic:nvPicPr>
                                        <pic:blipFill>
                                          <a:blip r:embed="rId113"/>
                                          <a:stretch>
                                            <a:fillRect/>
                                          </a:stretch>
                                        </pic:blipFill>
                                        <pic:spPr bwMode="auto">
                                          <a:xfrm>
                                            <a:off x="0" y="0"/>
                                            <a:ext cx="733425" cy="190500"/>
                                          </a:xfrm>
                                          <a:prstGeom prst="rect">
                                            <a:avLst/>
                                          </a:prstGeom>
                                        </pic:spPr>
                                      </pic:pic>
                                    </a:graphicData>
                                  </a:graphic>
                                </wp:inline>
                              </w:drawing>
                            </w:r>
                            <w:bookmarkStart w:id="111" w:name="i-69"/>
                            <w:bookmarkEnd w:id="11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i/>
          <w:color w:val="51555C"/>
          <w:sz w:val="20"/>
        </w:rPr>
      </w:pPr>
      <w:bookmarkStart w:id="112" w:name="i33a9340ff973419182af8ec3e29d7ccc_974"/>
      <w:bookmarkEnd w:id="112"/>
      <w:r>
        <w:rPr>
          <w:rFonts w:ascii="sans-serif" w:hAnsi="sans-serif"/>
          <w:b w:val="false"/>
          <w:i/>
          <w:color w:val="51555C"/>
          <w:sz w:val="20"/>
        </w:rPr>
        <w:t>Non-GAAP free cash flow and non-GAAP adjusted free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Non-GAAP free cash flow is defined as operating cash flow less capital expenditures, including costs required to be capitalized for software development, and capital expenditures for property and equipment.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Non-GAAP adjusted free cash flow is defined as operating cash flow less capital expenditures, including costs required to be capitalized for software development and capital expenditures for property and equipment, plus cash outflows related to the Security Incident.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non-GAAP free cash flow and non-GAAP adjusted free cash flow provides useful measures of the Company's operating performance. Non-GAAP adjusted free cash flow is not intended to represent and should not be viewed as the amount of residual cash flow available for discretionary expenditures.</w:t>
      </w:r>
    </w:p>
    <w:tbl>
      <w:tblPr>
        <w:tblW w:w="6755" w:type="dxa"/>
        <w:jc w:val="left"/>
        <w:tblInd w:w="0" w:type="dxa"/>
        <w:tblLayout w:type="fixed"/>
        <w:tblCellMar>
          <w:top w:w="28" w:type="dxa"/>
          <w:left w:w="28" w:type="dxa"/>
          <w:bottom w:w="28" w:type="dxa"/>
          <w:right w:w="28" w:type="dxa"/>
        </w:tblCellMar>
      </w:tblPr>
      <w:tblGrid>
        <w:gridCol w:w="1644"/>
        <w:gridCol w:w="1445"/>
        <w:gridCol w:w="1455"/>
        <w:gridCol w:w="211"/>
        <w:gridCol w:w="616"/>
        <w:gridCol w:w="256"/>
        <w:gridCol w:w="211"/>
        <w:gridCol w:w="616"/>
        <w:gridCol w:w="301"/>
      </w:tblGrid>
      <w:tr>
        <w:trPr/>
        <w:tc>
          <w:tcPr>
            <w:tcW w:w="1644"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Nine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September 30,</w:t>
            </w:r>
          </w:p>
        </w:tc>
      </w:tr>
      <w:tr>
        <w:trPr/>
        <w:tc>
          <w:tcPr>
            <w:tcW w:w="454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08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12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454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net cash provided by operating activities</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207.5 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222.4 </w:t>
            </w:r>
          </w:p>
        </w:tc>
        <w:tc>
          <w:tcPr>
            <w:tcW w:w="30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operating cash flow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54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0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Less: purchase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Less: capitalized software development costs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(40.3)</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(42.9)</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free cash flow</w:t>
            </w:r>
            <w:r>
              <w:rPr>
                <w:rFonts w:ascii="sans-serif" w:hAnsi="sans-serif"/>
                <w:b/>
                <w:color w:val="51555C"/>
                <w:sz w:val="10"/>
              </w:rPr>
              <w:t>(1)</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162.5 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172.3 </w:t>
            </w:r>
          </w:p>
        </w:tc>
        <w:tc>
          <w:tcPr>
            <w:tcW w:w="30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free cash flow margin</w:t>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19.5 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20.2 </w:t>
            </w:r>
          </w:p>
        </w:tc>
        <w:tc>
          <w:tcPr>
            <w:tcW w:w="30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Security Incident-related cash flows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4.3 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15.1 </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adjusted free cash flow</w:t>
            </w:r>
            <w:r>
              <w:rPr>
                <w:rFonts w:ascii="sans-serif" w:hAnsi="sans-serif"/>
                <w:b/>
                <w:color w:val="51555C"/>
                <w:sz w:val="10"/>
              </w:rPr>
              <w:t>(1)</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166.8 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187.4 </w:t>
            </w:r>
          </w:p>
        </w:tc>
        <w:tc>
          <w:tcPr>
            <w:tcW w:w="30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adjusted free cash flow margin</w:t>
            </w:r>
          </w:p>
        </w:tc>
        <w:tc>
          <w:tcPr>
            <w:tcW w:w="82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20.0 </w:t>
            </w:r>
          </w:p>
        </w:tc>
        <w:tc>
          <w:tcPr>
            <w:tcW w:w="2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82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22.0 </w:t>
            </w:r>
          </w:p>
        </w:tc>
        <w:tc>
          <w:tcPr>
            <w:tcW w:w="30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for each year may not sum to non-GAAP free cash flow or non-GAAP adjusted free cash flow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Seasonality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payments services, do not vary significantly as a result of these factors, but do fluctuate on a quarterly basis due to varying timing of expenditures.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Our cash flow from operations normally fluctuates quarterly due to the combination of the timing of customer contract billings and renewals,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generally been lower in our second quarter as compared to our third and fourth quarters. Partially offsetting these favorable drivers of cash flow from operations in our third and fourth quarters are base salary merit increases, which occur in July. In addition, deferred revenues can vary on a seasonal basis due to the timing of customer contract billings and renewals and student enrollments or significant acquisitions. Our cash flow from financing is negatively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91540"/>
                <wp:effectExtent l="0" t="0" r="0" b="0"/>
                <wp:wrapNone/>
                <wp:docPr id="157" name="Frame4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70" descr=""/>
                                                <pic:cNvPicPr>
                                                  <a:picLocks noChangeAspect="1" noChangeArrowheads="1"/>
                                                </pic:cNvPicPr>
                                              </pic:nvPicPr>
                                              <pic:blipFill>
                                                <a:blip r:embed="rId114"/>
                                                <a:stretch>
                                                  <a:fillRect/>
                                                </a:stretch>
                                              </pic:blipFill>
                                              <pic:spPr bwMode="auto">
                                                <a:xfrm>
                                                  <a:off x="0" y="0"/>
                                                  <a:ext cx="723900" cy="190500"/>
                                                </a:xfrm>
                                                <a:prstGeom prst="rect">
                                                  <a:avLst/>
                                                </a:prstGeom>
                                              </pic:spPr>
                                            </pic:pic>
                                          </a:graphicData>
                                        </a:graphic>
                                      </wp:inline>
                                    </w:drawing>
                                  </w:r>
                                  <w:bookmarkStart w:id="113" w:name="i-70"/>
                                  <w:bookmarkEnd w:id="113"/>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70" descr=""/>
                                          <pic:cNvPicPr>
                                            <a:picLocks noChangeAspect="1" noChangeArrowheads="1"/>
                                          </pic:cNvPicPr>
                                        </pic:nvPicPr>
                                        <pic:blipFill>
                                          <a:blip r:embed="rId115"/>
                                          <a:stretch>
                                            <a:fillRect/>
                                          </a:stretch>
                                        </pic:blipFill>
                                        <pic:spPr bwMode="auto">
                                          <a:xfrm>
                                            <a:off x="0" y="0"/>
                                            <a:ext cx="723900" cy="190500"/>
                                          </a:xfrm>
                                          <a:prstGeom prst="rect">
                                            <a:avLst/>
                                          </a:prstGeom>
                                        </pic:spPr>
                                      </pic:pic>
                                    </a:graphicData>
                                  </a:graphic>
                                </wp:inline>
                              </w:drawing>
                            </w:r>
                            <w:bookmarkStart w:id="114" w:name="i-70"/>
                            <w:bookmarkEnd w:id="114"/>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impacted in our first quarter when most of our equity awards vest, as we pay taxes on behalf of our employees related to the settlement or exercise of equity awards.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These patterns may change as a result of the continued shift to online giving, growth in volume of transactions for which we process payments, large dollar customer bookings and contract renewals, fluctuations in the timing of vendor payments, or as a result of acquisitions, new market opportunities, new solution introductions or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09" w:type="dxa"/>
        <w:jc w:val="left"/>
        <w:tblInd w:w="0" w:type="dxa"/>
        <w:tblLayout w:type="fixed"/>
        <w:tblCellMar>
          <w:top w:w="28" w:type="dxa"/>
          <w:left w:w="28" w:type="dxa"/>
          <w:bottom w:w="28" w:type="dxa"/>
          <w:right w:w="28" w:type="dxa"/>
        </w:tblCellMar>
      </w:tblPr>
      <w:tblGrid>
        <w:gridCol w:w="1412"/>
        <w:gridCol w:w="1240"/>
        <w:gridCol w:w="1757"/>
      </w:tblGrid>
      <w:tr>
        <w:trPr/>
        <w:tc>
          <w:tcPr>
            <w:tcW w:w="141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Liquidity and Capital Resources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selected financial information about our financial position:</w:t>
      </w:r>
    </w:p>
    <w:tbl>
      <w:tblPr>
        <w:tblW w:w="7363" w:type="dxa"/>
        <w:jc w:val="left"/>
        <w:tblInd w:w="0" w:type="dxa"/>
        <w:tblLayout w:type="fixed"/>
        <w:tblCellMar>
          <w:top w:w="28" w:type="dxa"/>
          <w:left w:w="28" w:type="dxa"/>
          <w:bottom w:w="28" w:type="dxa"/>
          <w:right w:w="28" w:type="dxa"/>
        </w:tblCellMar>
      </w:tblPr>
      <w:tblGrid>
        <w:gridCol w:w="1211"/>
        <w:gridCol w:w="1063"/>
        <w:gridCol w:w="1070"/>
        <w:gridCol w:w="356"/>
        <w:gridCol w:w="925"/>
        <w:gridCol w:w="174"/>
        <w:gridCol w:w="338"/>
        <w:gridCol w:w="877"/>
        <w:gridCol w:w="165"/>
        <w:gridCol w:w="337"/>
        <w:gridCol w:w="338"/>
        <w:gridCol w:w="509"/>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45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September 30,</w:t>
              <w:br/>
              <w:t>2025</w:t>
            </w:r>
          </w:p>
        </w:tc>
        <w:tc>
          <w:tcPr>
            <w:tcW w:w="13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118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r>
      <w:tr>
        <w:trPr/>
        <w:tc>
          <w:tcPr>
            <w:tcW w:w="334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Cash and cash equivalents</w:t>
            </w:r>
          </w:p>
        </w:tc>
        <w:tc>
          <w:tcPr>
            <w:tcW w:w="35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2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38.3 </w:t>
            </w:r>
          </w:p>
        </w:tc>
        <w:tc>
          <w:tcPr>
            <w:tcW w:w="17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67.6 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(43.4)</w:t>
            </w:r>
          </w:p>
        </w:tc>
        <w:tc>
          <w:tcPr>
            <w:tcW w:w="5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Property and equipment,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(7.2)</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Software development costs, net</w:t>
            </w:r>
          </w:p>
        </w:tc>
        <w:tc>
          <w:tcPr>
            <w:tcW w:w="12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154.1 </w:t>
            </w:r>
          </w:p>
        </w:tc>
        <w:tc>
          <w:tcPr>
            <w:tcW w:w="17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148.3 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3.9 </w:t>
            </w:r>
          </w:p>
        </w:tc>
        <w:tc>
          <w:tcPr>
            <w:tcW w:w="50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carrying value of debt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1,064.6 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1,075.0 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Working capital</w:t>
            </w:r>
          </w:p>
        </w:tc>
        <w:tc>
          <w:tcPr>
            <w:tcW w:w="1281"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(290.5)</w:t>
            </w:r>
          </w:p>
        </w:tc>
        <w:tc>
          <w:tcPr>
            <w:tcW w:w="17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(275.5)</w:t>
            </w:r>
          </w:p>
        </w:tc>
        <w:tc>
          <w:tcPr>
            <w:tcW w:w="16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(5.5)</w:t>
            </w:r>
          </w:p>
        </w:tc>
        <w:tc>
          <w:tcPr>
            <w:tcW w:w="5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selected financial information about our cash flows:</w:t>
      </w:r>
    </w:p>
    <w:tbl>
      <w:tblPr>
        <w:tblW w:w="7901" w:type="dxa"/>
        <w:jc w:val="left"/>
        <w:tblInd w:w="0" w:type="dxa"/>
        <w:tblLayout w:type="fixed"/>
        <w:tblCellMar>
          <w:top w:w="28" w:type="dxa"/>
          <w:left w:w="28" w:type="dxa"/>
          <w:bottom w:w="28" w:type="dxa"/>
          <w:right w:w="28" w:type="dxa"/>
        </w:tblCellMar>
      </w:tblPr>
      <w:tblGrid>
        <w:gridCol w:w="1498"/>
        <w:gridCol w:w="1317"/>
        <w:gridCol w:w="1325"/>
        <w:gridCol w:w="289"/>
        <w:gridCol w:w="905"/>
        <w:gridCol w:w="139"/>
        <w:gridCol w:w="289"/>
        <w:gridCol w:w="905"/>
        <w:gridCol w:w="139"/>
        <w:gridCol w:w="292"/>
        <w:gridCol w:w="294"/>
        <w:gridCol w:w="509"/>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Nine months ended September 30,</w:t>
            </w:r>
          </w:p>
        </w:tc>
      </w:tr>
      <w:tr>
        <w:trPr/>
        <w:tc>
          <w:tcPr>
            <w:tcW w:w="41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33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33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1095"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r>
      <w:tr>
        <w:trPr/>
        <w:tc>
          <w:tcPr>
            <w:tcW w:w="41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Net cash provided by operating activities</w:t>
            </w:r>
          </w:p>
        </w:tc>
        <w:tc>
          <w:tcPr>
            <w:tcW w:w="28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0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207.5 </w:t>
            </w:r>
          </w:p>
        </w:tc>
        <w:tc>
          <w:tcPr>
            <w:tcW w:w="13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0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222.4 </w:t>
            </w:r>
          </w:p>
        </w:tc>
        <w:tc>
          <w:tcPr>
            <w:tcW w:w="13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(6.7)</w:t>
            </w:r>
          </w:p>
        </w:tc>
        <w:tc>
          <w:tcPr>
            <w:tcW w:w="5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Net cash used in investing activities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(57.3)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(56.3)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14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Net cash used in financing activities</w:t>
            </w:r>
          </w:p>
        </w:tc>
        <w:tc>
          <w:tcPr>
            <w:tcW w:w="1194"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(508.1)</w:t>
            </w:r>
          </w:p>
        </w:tc>
        <w:tc>
          <w:tcPr>
            <w:tcW w:w="13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(435.1)</w:t>
            </w:r>
          </w:p>
        </w:tc>
        <w:tc>
          <w:tcPr>
            <w:tcW w:w="13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16.8 </w:t>
            </w:r>
          </w:p>
        </w:tc>
        <w:tc>
          <w:tcPr>
            <w:tcW w:w="5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principal sources of liquidity are our operating cash flow, funds available under the 2024 Credit Facilities and cash on hand. Our operating cash flow depends on continued customer renewal of our subscription and maintenance arrangements, market acceptance of our solutions and services, the volume and size of transactions for which we process payments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or investments or unanticipated capital or operating expenditures, we may require additional capital. In that context, we regularly evaluate opportunities to enhance our capital structure, including through potential debt or equity issuances.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a well-known seasoned issuer, we filed an automatic shelf registration statement for an undetermined amount of debt and equity securities with the SEC on January 10, 2025. Under this universal shelf registration statement we may offer and sell, from time to time, debt securities, common stock, preferred stock, depositary shares, warrants, stock purchase contracts and stock purchase units. Subject to certain conditions and pursuant to applicable SEC regulations, this registration statement is effective for three years from its date of filing with the SEC, or through January 9, 2028.</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At September 30, 2025, our total cash and cash equivalents balance included approximately $17.9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91540"/>
                <wp:effectExtent l="0" t="0" r="0" b="0"/>
                <wp:wrapNone/>
                <wp:docPr id="160" name="Frame4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6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71" descr=""/>
                                                <pic:cNvPicPr>
                                                  <a:picLocks noChangeAspect="1" noChangeArrowheads="1"/>
                                                </pic:cNvPicPr>
                                              </pic:nvPicPr>
                                              <pic:blipFill>
                                                <a:blip r:embed="rId116"/>
                                                <a:stretch>
                                                  <a:fillRect/>
                                                </a:stretch>
                                              </pic:blipFill>
                                              <pic:spPr bwMode="auto">
                                                <a:xfrm>
                                                  <a:off x="0" y="0"/>
                                                  <a:ext cx="733425" cy="190500"/>
                                                </a:xfrm>
                                                <a:prstGeom prst="rect">
                                                  <a:avLst/>
                                                </a:prstGeom>
                                              </pic:spPr>
                                            </pic:pic>
                                          </a:graphicData>
                                        </a:graphic>
                                      </wp:inline>
                                    </w:drawing>
                                  </w:r>
                                  <w:bookmarkStart w:id="115" w:name="i-71"/>
                                  <w:bookmarkEnd w:id="11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6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71" descr=""/>
                                          <pic:cNvPicPr>
                                            <a:picLocks noChangeAspect="1" noChangeArrowheads="1"/>
                                          </pic:cNvPicPr>
                                        </pic:nvPicPr>
                                        <pic:blipFill>
                                          <a:blip r:embed="rId117"/>
                                          <a:stretch>
                                            <a:fillRect/>
                                          </a:stretch>
                                        </pic:blipFill>
                                        <pic:spPr bwMode="auto">
                                          <a:xfrm>
                                            <a:off x="0" y="0"/>
                                            <a:ext cx="733425" cy="190500"/>
                                          </a:xfrm>
                                          <a:prstGeom prst="rect">
                                            <a:avLst/>
                                          </a:prstGeom>
                                        </pic:spPr>
                                      </pic:pic>
                                    </a:graphicData>
                                  </a:graphic>
                                </wp:inline>
                              </w:drawing>
                            </w:r>
                            <w:bookmarkStart w:id="116" w:name="i-71"/>
                            <w:bookmarkEnd w:id="11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Operating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cash flows from operations are derived principally from: (i) our earnings from on-going operations prior to non-cash expenses such as depreciation, amortization, stock-based compensation, deferred taxes, amortization of deferred financing costs and debt discount and adjustments to our provision for credit losses and sales returns; and (ii) changes in our working capital.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Working capital changes are composed of changes in accounts receivable, prepaid expenses and other assets, trade accounts payable, accrued expenses and other liabilities, and deferred revenue.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Net cash provided by operating activities decreased by $14.8 million during the nine months ended September 30, 2025, when compared to the same period in 2024, primarily due to a $2.8 million decrease in net income adjusted for non-cash expenses and a $12.1 million decrease in cash flow from operations associated with working capital.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decrease in cash flow from operations associated with working capital during the nine months ended September 30, 2025, when compared to the same period in 2024, was primarily due to:</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fluctuations in the timing of vendor payments; offset by</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a decrease in cash taxes paid.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United States enacted the OBBBA, which introduced significant changes to U.S. tax law. See Note 9 to our unaudited, condensed consolidated financial statements in this report for more information. Based on our preliminary review, we expect OBBBA to meaningfully reduce cash taxes for the Company through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Investing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Net cash used in investing activities of $57.3 million remained relatively consistent during the nine months ended September 30, 2025, when compared to the same period in 2024.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nine months ended September 30, 2025, we used cash of $40.3 million for software development costs, which was a decrease of $2.6 million when compared to the same period in 2024. We spent $4.8 million for purchases of property and equipment during the nine months ended September 30, 2025, which was a decrease of $2.4 million when compared to the same period in 2024. During the nine months ended September 30, 2025, we used net cash of $12.2 million for the disposition of a business compared to $1.2 million used during the same period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Financing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nine months ended September 30, 2025, we had a net decrease in borrowings of $9.9 million, primarily due to our stock repurchase program and to satisfy tax obligations of employees upon settlement of equity awards (see discussion below).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paid $39.7 million to satisfy tax obligations of employees upon settlement of equity awards during the nine months ended September 30, 2025 compared to $56.0 million during the same period in 2024. The amount of taxes paid by us on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nine months ended September 30, 2025, cash flow from financing activities associated with changes in restricted cash due to customers decreased $323.5 million, compared to a decrease of $263.7 million during the same period in 2024. This line in the statement of cash flows represents the change in the amount of restricted cash held and payable by us to customers from one period to the next. This restricted cash due to customers is not available to us for operational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91540"/>
                <wp:effectExtent l="0" t="0" r="0" b="0"/>
                <wp:wrapNone/>
                <wp:docPr id="163" name="Frame4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6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72" descr=""/>
                                                <pic:cNvPicPr>
                                                  <a:picLocks noChangeAspect="1" noChangeArrowheads="1"/>
                                                </pic:cNvPicPr>
                                              </pic:nvPicPr>
                                              <pic:blipFill>
                                                <a:blip r:embed="rId118"/>
                                                <a:stretch>
                                                  <a:fillRect/>
                                                </a:stretch>
                                              </pic:blipFill>
                                              <pic:spPr bwMode="auto">
                                                <a:xfrm>
                                                  <a:off x="0" y="0"/>
                                                  <a:ext cx="723900" cy="190500"/>
                                                </a:xfrm>
                                                <a:prstGeom prst="rect">
                                                  <a:avLst/>
                                                </a:prstGeom>
                                              </pic:spPr>
                                            </pic:pic>
                                          </a:graphicData>
                                        </a:graphic>
                                      </wp:inline>
                                    </w:drawing>
                                  </w:r>
                                  <w:bookmarkStart w:id="117" w:name="i-72"/>
                                  <w:bookmarkEnd w:id="117"/>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6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72" descr=""/>
                                          <pic:cNvPicPr>
                                            <a:picLocks noChangeAspect="1" noChangeArrowheads="1"/>
                                          </pic:cNvPicPr>
                                        </pic:nvPicPr>
                                        <pic:blipFill>
                                          <a:blip r:embed="rId119"/>
                                          <a:stretch>
                                            <a:fillRect/>
                                          </a:stretch>
                                        </pic:blipFill>
                                        <pic:spPr bwMode="auto">
                                          <a:xfrm>
                                            <a:off x="0" y="0"/>
                                            <a:ext cx="723900" cy="190500"/>
                                          </a:xfrm>
                                          <a:prstGeom prst="rect">
                                            <a:avLst/>
                                          </a:prstGeom>
                                        </pic:spPr>
                                      </pic:pic>
                                    </a:graphicData>
                                  </a:graphic>
                                </wp:inline>
                              </w:drawing>
                            </w:r>
                            <w:bookmarkStart w:id="118" w:name="i-72"/>
                            <w:bookmarkEnd w:id="118"/>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Stock repurchase program</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On July 16, 2024, our Board of Directors reauthorized, expanded and replenished our stock repurchase program by expanding the total capacity under the program to $800.0 million available for repurchases.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February 2025, we announced our intention to repurchase between 3% and 5% of our outstanding common stock as of December 31, 2024, during the course of 2025 under our stock repurchase program. During the three months ended September 30, 2025, we repurchased 459,528 shares for $30.1 million. During the nine months ended September 30, 2025, we repurchased an aggregate of 1,972,550 shares for $130.2 million. Including net share settlement of employee stock compensation, these repurchases represent approximately 5.2% of our outstanding common stock as of December 31, 2024. As of September 30, 2025, $514.4 million remained available under our stock repurchase program. We expect to remain active in the market during the fourth quarter of 2025 and into 2026. Based on our current plans, we expect total repurchases during 2025 to represent between 5.2% and 7.0% of our outstanding common stock as of December 31, 2024. We preliminarily expect our share repurchase activity in 2026 to be similar to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2024 Credit Facilities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Historically, we have drawn on our credit facility from time to time to help us meet financial needs, primarily due to the seasonality of our cash flows from operations and financing for business acquisitions. At September 30, 2025, our available borrowing capacity under the 2024 Credit Facilities was $463.5 million. The 2024 Credit Facilities mature in April 2029.</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At September 30, 2025, the carrying amount of our debt under the 2024 Credit Facilities was $1.0 billion. Our average daily borrowings during the three and nine months ended September 30, 2025 were $1.0 billion and $1.1 billion, respectively.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is a summary of the financial covenants under the 2024 Credit Facilities:</w:t>
      </w:r>
    </w:p>
    <w:tbl>
      <w:tblPr>
        <w:tblW w:w="6899" w:type="dxa"/>
        <w:jc w:val="left"/>
        <w:tblInd w:w="0" w:type="dxa"/>
        <w:tblLayout w:type="fixed"/>
        <w:tblCellMar>
          <w:top w:w="28" w:type="dxa"/>
          <w:left w:w="28" w:type="dxa"/>
          <w:bottom w:w="28" w:type="dxa"/>
          <w:right w:w="28" w:type="dxa"/>
        </w:tblCellMar>
      </w:tblPr>
      <w:tblGrid>
        <w:gridCol w:w="846"/>
        <w:gridCol w:w="746"/>
        <w:gridCol w:w="748"/>
        <w:gridCol w:w="484"/>
        <w:gridCol w:w="484"/>
        <w:gridCol w:w="486"/>
        <w:gridCol w:w="908"/>
        <w:gridCol w:w="908"/>
        <w:gridCol w:w="1289"/>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Financial covenant</w:t>
            </w:r>
          </w:p>
        </w:tc>
        <w:tc>
          <w:tcPr>
            <w:tcW w:w="14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Requirement</w:t>
            </w:r>
          </w:p>
        </w:tc>
        <w:tc>
          <w:tcPr>
            <w:tcW w:w="310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center"/>
              <w:rPr>
                <w:rFonts w:ascii="sans-serif" w:hAnsi="sans-serif"/>
                <w:b/>
                <w:color w:val="FFFFFF"/>
                <w:sz w:val="16"/>
              </w:rPr>
            </w:pPr>
            <w:r>
              <w:rPr>
                <w:rFonts w:ascii="sans-serif" w:hAnsi="sans-serif"/>
                <w:b/>
                <w:color w:val="FFFFFF"/>
                <w:sz w:val="16"/>
              </w:rPr>
              <w:t>Ratio as of September 30, 2025</w:t>
            </w:r>
          </w:p>
        </w:tc>
      </w:tr>
      <w:tr>
        <w:trPr/>
        <w:tc>
          <w:tcPr>
            <w:tcW w:w="23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Net leverage ratio</w:t>
            </w:r>
            <w:r>
              <w:rPr>
                <w:rFonts w:ascii="sans-serif" w:hAnsi="sans-serif"/>
                <w:b w:val="false"/>
                <w:color w:val="51555C"/>
                <w:sz w:val="13"/>
              </w:rPr>
              <w:t>(1)</w:t>
            </w:r>
          </w:p>
        </w:tc>
        <w:tc>
          <w:tcPr>
            <w:tcW w:w="145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 xml:space="preserve">≤ </w:t>
            </w:r>
            <w:r>
              <w:rPr>
                <w:rFonts w:ascii="sans-serif" w:hAnsi="sans-serif"/>
                <w:b w:val="false"/>
                <w:color w:val="51555C"/>
                <w:sz w:val="20"/>
              </w:rPr>
              <w:t>3.75 to 1.00</w:t>
            </w:r>
          </w:p>
        </w:tc>
        <w:tc>
          <w:tcPr>
            <w:tcW w:w="310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2.45 to 1.00</w:t>
            </w:r>
          </w:p>
        </w:tc>
      </w:tr>
      <w:tr>
        <w:trPr/>
        <w:tc>
          <w:tcPr>
            <w:tcW w:w="234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Interest coverage ratio</w:t>
            </w:r>
          </w:p>
        </w:tc>
        <w:tc>
          <w:tcPr>
            <w:tcW w:w="145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51555C"/>
              </w:rPr>
            </w:pPr>
            <w:r>
              <w:rPr>
                <w:color w:val="51555C"/>
              </w:rPr>
              <w:t xml:space="preserve">≥ </w:t>
            </w:r>
            <w:r>
              <w:rPr>
                <w:rFonts w:ascii="sans-serif" w:hAnsi="sans-serif"/>
                <w:b w:val="false"/>
                <w:color w:val="51555C"/>
                <w:sz w:val="20"/>
              </w:rPr>
              <w:t>2.50 to 1.00</w:t>
            </w:r>
          </w:p>
        </w:tc>
        <w:tc>
          <w:tcPr>
            <w:tcW w:w="310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6.21 to 1.00</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(1)Under the terms of the 2024 Credit Facilities, the Net Leverage Ratio requirement may be increased by up to 0.50 provided we satisfy certain requirements, including a permitted business acquisition, and provided that the maximum Net Leverage Ratio shall not exceed 4.25 to 1.00.</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Under the 2024 Credit Facilities,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2024 Credit Facilities, and (ii) our pro forma net leverage ratio, as set forth in the 2024 Credit Facilities, must be 0.25 less than the net leverage ratio requirement at the time of dividend declaration or share repurchase. At September 30, 2025, we were in compliance with our debt covenants under the 2024 Credit Facilities. See Note 6 to our unaudited, condensed consolidated financial statements in this report for additional information regarding the 2024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91540"/>
                <wp:effectExtent l="0" t="0" r="0" b="0"/>
                <wp:wrapNone/>
                <wp:docPr id="166" name="Frame4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6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73" descr=""/>
                                                <pic:cNvPicPr>
                                                  <a:picLocks noChangeAspect="1" noChangeArrowheads="1"/>
                                                </pic:cNvPicPr>
                                              </pic:nvPicPr>
                                              <pic:blipFill>
                                                <a:blip r:embed="rId120"/>
                                                <a:stretch>
                                                  <a:fillRect/>
                                                </a:stretch>
                                              </pic:blipFill>
                                              <pic:spPr bwMode="auto">
                                                <a:xfrm>
                                                  <a:off x="0" y="0"/>
                                                  <a:ext cx="733425" cy="190500"/>
                                                </a:xfrm>
                                                <a:prstGeom prst="rect">
                                                  <a:avLst/>
                                                </a:prstGeom>
                                              </pic:spPr>
                                            </pic:pic>
                                          </a:graphicData>
                                        </a:graphic>
                                      </wp:inline>
                                    </w:drawing>
                                  </w:r>
                                  <w:bookmarkStart w:id="119" w:name="i-73"/>
                                  <w:bookmarkEnd w:id="11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6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73" descr=""/>
                                          <pic:cNvPicPr>
                                            <a:picLocks noChangeAspect="1" noChangeArrowheads="1"/>
                                          </pic:cNvPicPr>
                                        </pic:nvPicPr>
                                        <pic:blipFill>
                                          <a:blip r:embed="rId121"/>
                                          <a:stretch>
                                            <a:fillRect/>
                                          </a:stretch>
                                        </pic:blipFill>
                                        <pic:spPr bwMode="auto">
                                          <a:xfrm>
                                            <a:off x="0" y="0"/>
                                            <a:ext cx="733425" cy="190500"/>
                                          </a:xfrm>
                                          <a:prstGeom prst="rect">
                                            <a:avLst/>
                                          </a:prstGeom>
                                        </pic:spPr>
                                      </pic:pic>
                                    </a:graphicData>
                                  </a:graphic>
                                </wp:inline>
                              </w:drawing>
                            </w:r>
                            <w:bookmarkStart w:id="120" w:name="i-73"/>
                            <w:bookmarkEnd w:id="12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Commitments and Contingencies</w:t>
      </w:r>
    </w:p>
    <w:tbl>
      <w:tblPr>
        <w:tblW w:w="7592" w:type="dxa"/>
        <w:jc w:val="left"/>
        <w:tblInd w:w="0" w:type="dxa"/>
        <w:tblLayout w:type="fixed"/>
        <w:tblCellMar>
          <w:top w:w="28" w:type="dxa"/>
          <w:left w:w="28" w:type="dxa"/>
          <w:bottom w:w="28" w:type="dxa"/>
          <w:right w:w="28" w:type="dxa"/>
        </w:tblCellMar>
      </w:tblPr>
      <w:tblGrid>
        <w:gridCol w:w="1470"/>
        <w:gridCol w:w="1291"/>
        <w:gridCol w:w="1303"/>
        <w:gridCol w:w="226"/>
        <w:gridCol w:w="706"/>
        <w:gridCol w:w="109"/>
        <w:gridCol w:w="226"/>
        <w:gridCol w:w="886"/>
        <w:gridCol w:w="109"/>
        <w:gridCol w:w="226"/>
        <w:gridCol w:w="886"/>
        <w:gridCol w:w="154"/>
      </w:tblGrid>
      <w:tr>
        <w:trPr/>
        <w:tc>
          <w:tcPr>
            <w:tcW w:w="14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Payments due by period</w:t>
            </w:r>
          </w:p>
        </w:tc>
      </w:tr>
      <w:tr>
        <w:trPr/>
        <w:tc>
          <w:tcPr>
            <w:tcW w:w="406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millions)</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Less than</w:t>
              <w:br/>
              <w:t>1 year</w:t>
            </w:r>
          </w:p>
        </w:tc>
        <w:tc>
          <w:tcPr>
            <w:tcW w:w="122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More than</w:t>
              <w:br/>
              <w:t>1 year</w:t>
            </w:r>
          </w:p>
        </w:tc>
        <w:tc>
          <w:tcPr>
            <w:tcW w:w="126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pPr>
            <w:r>
              <w:rPr>
                <w:rFonts w:ascii="sans-serif" w:hAnsi="sans-serif"/>
                <w:b/>
                <w:color w:val="FFFFFF"/>
                <w:sz w:val="16"/>
              </w:rPr>
              <w:t>Total</w:t>
            </w:r>
            <w:r>
              <w:rPr>
                <w:rFonts w:ascii="sans-serif" w:hAnsi="sans-serif"/>
                <w:b/>
                <w:color w:val="FFFFFF"/>
                <w:sz w:val="10"/>
              </w:rPr>
              <w:t>(1)</w:t>
            </w:r>
          </w:p>
        </w:tc>
      </w:tr>
      <w:tr>
        <w:trPr/>
        <w:tc>
          <w:tcPr>
            <w:tcW w:w="406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Recorded contractual obligations:</w:t>
            </w:r>
          </w:p>
        </w:tc>
        <w:tc>
          <w:tcPr>
            <w:tcW w:w="104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Debt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Operating leases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7.6 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Interest payments on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Unrecorded contractual obligations:</w:t>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Purchase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Interest payments on debt</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59.4 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166.9 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226.3 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pPr>
            <w:r>
              <w:rPr>
                <w:rFonts w:ascii="sans-serif" w:hAnsi="sans-serif"/>
                <w:b/>
                <w:color w:val="51555C"/>
                <w:sz w:val="20"/>
              </w:rPr>
              <w:t>Total contractual obligations</w:t>
            </w:r>
            <w:r>
              <w:rPr>
                <w:rFonts w:ascii="sans-serif" w:hAnsi="sans-serif"/>
                <w:b/>
                <w:color w:val="51555C"/>
                <w:sz w:val="13"/>
              </w:rPr>
              <w:t>(1)</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174.2 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8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1,287.0 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8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1,461.2 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may not sum to the total due to rounding.</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September 30, 2025, we had total remaining principal payments of approximately $1.1 billion. These payments represent principal payments only, under the following assumptions: (i) that the amounts outstanding under the 2024 Credit Facilities, our real estate loans and our other debt at September 30, 2025 will remain outstanding until maturity, with minimum payments occurring as currently scheduled, and (ii) that there are no assumed future borrowings on the revolving credit loans under the 2024 Revolving Facility for the purposes of determining minimum commitment amounts. See Note 6 to our unaudited, condensed consolidated financial statements in this report for more information.</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Interest payments on 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addition to principal payments, as of September 30, 2025, we expect to pay interest expense over the life of our debt obligations of approximately $230.0 million. These payments represent our estimated future interest payments on debt using our debt balances and the related weighted average effective interest rates as of September 30, 2025, which includes the effect of interest rate swap agreements. The actual interest expense recognized in our unaudited, condensed consolidated statements of comprehensive income will depend on the amount of debt, the length of time the debt is outstanding and the interest rate, which could be different from our assumptions on our remaining principal payments described above.</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Operating leases</w:t>
      </w:r>
    </w:p>
    <w:p>
      <w:pPr>
        <w:pStyle w:val="TextBody"/>
        <w:bidi w:val="0"/>
        <w:spacing w:lineRule="auto" w:line="288" w:before="180" w:after="283"/>
        <w:jc w:val="both"/>
        <w:rPr/>
      </w:pPr>
      <w:r>
        <w:rPr>
          <w:rFonts w:ascii="sans-serif" w:hAnsi="sans-serif"/>
          <w:b w:val="false"/>
          <w:color w:val="51555C"/>
          <w:sz w:val="20"/>
        </w:rPr>
        <w:t>As of September 30, 2025, we had remaining operating lease payments of $7.6 million. These payments have not been reduced by sublease income, incentive payments, reimbursement of leasehold improvements or the amount representing imputed interest which was insignificant. Our operating leases are generally for corporate offices, subleased offices and certain equipment and furnit</w:t>
      </w:r>
      <w:r>
        <w:rPr>
          <w:rFonts w:ascii="sans-serif" w:hAnsi="sans-serif"/>
          <w:b w:val="false"/>
          <w:color w:val="51555C"/>
          <w:sz w:val="20"/>
          <w:shd w:fill="FFFFFF" w:val="clear"/>
        </w:rPr>
        <w:t>ure. Given our remote-first workforce strategy and real estate footprint optimization efforts, we do not anticipate entering any new, material operating leases for offices for the foreseeable future. See Note 8 to our unaud</w:t>
      </w:r>
      <w:r>
        <w:rPr>
          <w:rFonts w:ascii="sans-serif" w:hAnsi="sans-serif"/>
          <w:b w:val="false"/>
          <w:color w:val="51555C"/>
          <w:sz w:val="20"/>
        </w:rPr>
        <w:t>ited, condensed consolidated financial statements in this report for more information.</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Purchase obligations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September 30, 2025, we had remaining purchase obligations of $157.8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unaudited, condensed consolidated balance sheets as of September 30, 2025, as we had not received the related services. See Note 8 to our unaudited, condensed consolidated financial statements in this report for more information.</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Other commitments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total liability for uncertain tax positions as of September 30, 2025 was $5.8 million. Our accrued interest and penalties related to tax positions taken on our tax returns was insignificant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91540"/>
                <wp:effectExtent l="0" t="0" r="0" b="0"/>
                <wp:wrapNone/>
                <wp:docPr id="169" name="Frame4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7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74" descr=""/>
                                                <pic:cNvPicPr>
                                                  <a:picLocks noChangeAspect="1" noChangeArrowheads="1"/>
                                                </pic:cNvPicPr>
                                              </pic:nvPicPr>
                                              <pic:blipFill>
                                                <a:blip r:embed="rId122"/>
                                                <a:stretch>
                                                  <a:fillRect/>
                                                </a:stretch>
                                              </pic:blipFill>
                                              <pic:spPr bwMode="auto">
                                                <a:xfrm>
                                                  <a:off x="0" y="0"/>
                                                  <a:ext cx="723900" cy="190500"/>
                                                </a:xfrm>
                                                <a:prstGeom prst="rect">
                                                  <a:avLst/>
                                                </a:prstGeom>
                                              </pic:spPr>
                                            </pic:pic>
                                          </a:graphicData>
                                        </a:graphic>
                                      </wp:inline>
                                    </w:drawing>
                                  </w:r>
                                  <w:bookmarkStart w:id="121" w:name="i-74"/>
                                  <w:bookmarkEnd w:id="121"/>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7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74" descr=""/>
                                          <pic:cNvPicPr>
                                            <a:picLocks noChangeAspect="1" noChangeArrowheads="1"/>
                                          </pic:cNvPicPr>
                                        </pic:nvPicPr>
                                        <pic:blipFill>
                                          <a:blip r:embed="rId123"/>
                                          <a:stretch>
                                            <a:fillRect/>
                                          </a:stretch>
                                        </pic:blipFill>
                                        <pic:spPr bwMode="auto">
                                          <a:xfrm>
                                            <a:off x="0" y="0"/>
                                            <a:ext cx="723900" cy="190500"/>
                                          </a:xfrm>
                                          <a:prstGeom prst="rect">
                                            <a:avLst/>
                                          </a:prstGeom>
                                        </pic:spPr>
                                      </pic:pic>
                                    </a:graphicData>
                                  </a:graphic>
                                </wp:inline>
                              </w:drawing>
                            </w:r>
                            <w:bookmarkStart w:id="122" w:name="i-74"/>
                            <w:bookmarkEnd w:id="122"/>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pPr>
      <w:r>
        <w:rPr>
          <w:rFonts w:ascii="sans-serif" w:hAnsi="sans-serif"/>
          <w:b w:val="false"/>
          <w:color w:val="51555C"/>
          <w:sz w:val="20"/>
        </w:rPr>
        <w:t xml:space="preserve">In connection with the settlement of the multi-state Attorneys General investigation, the California Attorney General investigation and the FTC investigation relating to the Security Incident, as discussed </w:t>
      </w:r>
      <w:r>
        <w:rPr>
          <w:rFonts w:ascii="sans-serif" w:hAnsi="sans-serif"/>
          <w:b w:val="false"/>
          <w:color w:val="51555C"/>
          <w:sz w:val="20"/>
          <w:shd w:fill="FFFFFF" w:val="clear"/>
        </w:rPr>
        <w:t xml:space="preserve">in </w:t>
      </w:r>
      <w:r>
        <w:rPr>
          <w:rFonts w:ascii="sans-serif" w:hAnsi="sans-serif"/>
          <w:b w:val="false"/>
          <w:color w:val="51555C"/>
          <w:sz w:val="20"/>
        </w:rPr>
        <w:t>Note 11 to our audited consolidated financial statements contained in our Annual Report on Form 10-K for the fiscal year ended December 31, 2024, we have agreed to implement and improve certain of our cybersecurity programs and tools through May 2044. The currently anticipated costs in connection with these efforts are primarily expected to be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10" w:type="dxa"/>
        <w:jc w:val="left"/>
        <w:tblInd w:w="0" w:type="dxa"/>
        <w:tblLayout w:type="fixed"/>
        <w:tblCellMar>
          <w:top w:w="28" w:type="dxa"/>
          <w:left w:w="28" w:type="dxa"/>
          <w:bottom w:w="28" w:type="dxa"/>
          <w:right w:w="28" w:type="dxa"/>
        </w:tblCellMar>
      </w:tblPr>
      <w:tblGrid>
        <w:gridCol w:w="1507"/>
        <w:gridCol w:w="1324"/>
        <w:gridCol w:w="1879"/>
      </w:tblGrid>
      <w:tr>
        <w:trPr/>
        <w:tc>
          <w:tcPr>
            <w:tcW w:w="150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Foreign Currency Exchange Rates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Approximately 16% of our total revenue for the nine months ended September 30, 2025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loss as a component of stockholders’ equity, was a loss of $4.4 million as of September 30, 2025 and a loss of $12.7 million as of December 31, 2024. We have entered into foreign currency forward contracts to hedge a portion of the foreign currency exposure that arises on translation of our investments denominated in British Pounds into U.S. dollars.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revenues and expenses denominated in non-U.S. currencies. During the nine months ended September 30, 2025, foreign translation resulted in increases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nine months ended September 30, 2025, the fluctuation in foreign currency exchange rates increased our total revenue and our income from operations by $2.6 million and $1.8 million, respectively. We have entered into foreign currency forward contracts to hedge revenues denominated in the Canadian dollar against changes in the exchange rate with the U.S. dollar.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19" w:type="dxa"/>
        <w:jc w:val="left"/>
        <w:tblInd w:w="0" w:type="dxa"/>
        <w:tblLayout w:type="fixed"/>
        <w:tblCellMar>
          <w:top w:w="28" w:type="dxa"/>
          <w:left w:w="28" w:type="dxa"/>
          <w:bottom w:w="28" w:type="dxa"/>
          <w:right w:w="28" w:type="dxa"/>
        </w:tblCellMar>
      </w:tblPr>
      <w:tblGrid>
        <w:gridCol w:w="1864"/>
        <w:gridCol w:w="1636"/>
        <w:gridCol w:w="2319"/>
      </w:tblGrid>
      <w:tr>
        <w:trPr/>
        <w:tc>
          <w:tcPr>
            <w:tcW w:w="186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Critical Accounting Policies and Estimates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have been no significant changes in our critical accounting policies and estimates during the nine months ended September 30, 2025 as compared to those disclosed in “Management’s Discussion and Analysis of Financial Condition and Results of Operations” included in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25" w:type="dxa"/>
        <w:jc w:val="left"/>
        <w:tblInd w:w="0" w:type="dxa"/>
        <w:tblLayout w:type="fixed"/>
        <w:tblCellMar>
          <w:top w:w="28" w:type="dxa"/>
          <w:left w:w="28" w:type="dxa"/>
          <w:bottom w:w="28" w:type="dxa"/>
          <w:right w:w="28" w:type="dxa"/>
        </w:tblCellMar>
      </w:tblPr>
      <w:tblGrid>
        <w:gridCol w:w="1993"/>
        <w:gridCol w:w="1751"/>
        <w:gridCol w:w="2481"/>
      </w:tblGrid>
      <w:tr>
        <w:trPr/>
        <w:tc>
          <w:tcPr>
            <w:tcW w:w="199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Recently Issued Accounting Pronouncements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the impact that recently issued accounting pronouncements are expected to have on our financial position and results of operations when adopted in the future, see Note 2 to our unaudited,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91540"/>
                <wp:effectExtent l="0" t="0" r="0" b="0"/>
                <wp:wrapNone/>
                <wp:docPr id="172" name="Frame5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7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75" descr=""/>
                                                <pic:cNvPicPr>
                                                  <a:picLocks noChangeAspect="1" noChangeArrowheads="1"/>
                                                </pic:cNvPicPr>
                                              </pic:nvPicPr>
                                              <pic:blipFill>
                                                <a:blip r:embed="rId124"/>
                                                <a:stretch>
                                                  <a:fillRect/>
                                                </a:stretch>
                                              </pic:blipFill>
                                              <pic:spPr bwMode="auto">
                                                <a:xfrm>
                                                  <a:off x="0" y="0"/>
                                                  <a:ext cx="733425" cy="190500"/>
                                                </a:xfrm>
                                                <a:prstGeom prst="rect">
                                                  <a:avLst/>
                                                </a:prstGeom>
                                              </pic:spPr>
                                            </pic:pic>
                                          </a:graphicData>
                                        </a:graphic>
                                      </wp:inline>
                                    </w:drawing>
                                  </w:r>
                                  <w:bookmarkStart w:id="123" w:name="i-75"/>
                                  <w:bookmarkEnd w:id="12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7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75" descr=""/>
                                          <pic:cNvPicPr>
                                            <a:picLocks noChangeAspect="1" noChangeArrowheads="1"/>
                                          </pic:cNvPicPr>
                                        </pic:nvPicPr>
                                        <pic:blipFill>
                                          <a:blip r:embed="rId125"/>
                                          <a:stretch>
                                            <a:fillRect/>
                                          </a:stretch>
                                        </pic:blipFill>
                                        <pic:spPr bwMode="auto">
                                          <a:xfrm>
                                            <a:off x="0" y="0"/>
                                            <a:ext cx="733425" cy="190500"/>
                                          </a:xfrm>
                                          <a:prstGeom prst="rect">
                                            <a:avLst/>
                                          </a:prstGeom>
                                        </pic:spPr>
                                      </pic:pic>
                                    </a:graphicData>
                                  </a:graphic>
                                </wp:inline>
                              </w:drawing>
                            </w:r>
                            <w:bookmarkStart w:id="124" w:name="i-75"/>
                            <w:bookmarkEnd w:id="12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3. QUANTITATIVE AND QUALITATIVE DISCLOSURES ABOUT MARKET RISK</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market rate sensitivity for interest rates and foreign currency exchange rates.</w:t>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Interest Rate Risk</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Additionally, our interest income that we primarily earn on restricted cash due to customers for our payment processing solutions acts as a partial natural hedge against our interest rate risk. Our primary interest rate exposure is related to changes in SOFR rates. Due to the nature of our debt, the materiality of the fair values of the derivative instruments and the highly liquid, short-term nature and level of our cash and cash equivalents as of September 30, 2025, we believe that the risk of exposure to changing interest rates for those positions is immaterial. There were no significant changes in how we manage interest rate risk between December 31, 2024 and September 30, 2025.</w:t>
      </w:r>
    </w:p>
    <w:tbl>
      <w:tblPr>
        <w:tblW w:w="3135" w:type="dxa"/>
        <w:jc w:val="left"/>
        <w:tblInd w:w="0" w:type="dxa"/>
        <w:tblLayout w:type="fixed"/>
        <w:tblCellMar>
          <w:top w:w="28" w:type="dxa"/>
          <w:left w:w="28" w:type="dxa"/>
          <w:bottom w:w="28" w:type="dxa"/>
          <w:right w:w="28" w:type="dxa"/>
        </w:tblCellMar>
      </w:tblPr>
      <w:tblGrid>
        <w:gridCol w:w="1003"/>
        <w:gridCol w:w="881"/>
        <w:gridCol w:w="1251"/>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Foreign Currency Risk</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our exposure to foreign currency exchange rate fluctuations, see “Management’s Discussion and Analysis of Financial Condition and Results of Operations — Foreign Currency Exchange Rates”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4. CONTROLS AND PROCEDURES</w:t>
      </w:r>
    </w:p>
    <w:tbl>
      <w:tblPr>
        <w:tblW w:w="6855" w:type="dxa"/>
        <w:jc w:val="left"/>
        <w:tblInd w:w="0" w:type="dxa"/>
        <w:tblLayout w:type="fixed"/>
        <w:tblCellMar>
          <w:top w:w="28" w:type="dxa"/>
          <w:left w:w="28" w:type="dxa"/>
          <w:bottom w:w="28" w:type="dxa"/>
          <w:right w:w="28" w:type="dxa"/>
        </w:tblCellMar>
      </w:tblPr>
      <w:tblGrid>
        <w:gridCol w:w="2195"/>
        <w:gridCol w:w="1928"/>
        <w:gridCol w:w="2732"/>
      </w:tblGrid>
      <w:tr>
        <w:trPr/>
        <w:tc>
          <w:tcPr>
            <w:tcW w:w="219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Evaluation of Disclosure Controls and Procedures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tbl>
      <w:tblPr>
        <w:tblW w:w="7305" w:type="dxa"/>
        <w:jc w:val="left"/>
        <w:tblInd w:w="0" w:type="dxa"/>
        <w:tblLayout w:type="fixed"/>
        <w:tblCellMar>
          <w:top w:w="28" w:type="dxa"/>
          <w:left w:w="28" w:type="dxa"/>
          <w:bottom w:w="28" w:type="dxa"/>
          <w:right w:w="28" w:type="dxa"/>
        </w:tblCellMar>
      </w:tblPr>
      <w:tblGrid>
        <w:gridCol w:w="2340"/>
        <w:gridCol w:w="2055"/>
        <w:gridCol w:w="2910"/>
      </w:tblGrid>
      <w:tr>
        <w:trPr/>
        <w:tc>
          <w:tcPr>
            <w:tcW w:w="234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Changes in Internal Control Over Financial Reporting</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 changes in internal control over financial reporting occurred during the most recent fiscal quarter ended September 30, 2025 with respect to our operations, which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91540"/>
                <wp:effectExtent l="0" t="0" r="0" b="0"/>
                <wp:wrapNone/>
                <wp:docPr id="175" name="Frame5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6" descr=""/>
                                                <pic:cNvPicPr>
                                                  <a:picLocks noChangeAspect="1" noChangeArrowheads="1"/>
                                                </pic:cNvPicPr>
                                              </pic:nvPicPr>
                                              <pic:blipFill>
                                                <a:blip r:embed="rId126"/>
                                                <a:stretch>
                                                  <a:fillRect/>
                                                </a:stretch>
                                              </pic:blipFill>
                                              <pic:spPr bwMode="auto">
                                                <a:xfrm>
                                                  <a:off x="0" y="0"/>
                                                  <a:ext cx="723900" cy="190500"/>
                                                </a:xfrm>
                                                <a:prstGeom prst="rect">
                                                  <a:avLst/>
                                                </a:prstGeom>
                                              </pic:spPr>
                                            </pic:pic>
                                          </a:graphicData>
                                        </a:graphic>
                                      </wp:inline>
                                    </w:drawing>
                                  </w:r>
                                  <w:bookmarkStart w:id="125" w:name="i-76"/>
                                  <w:bookmarkEnd w:id="125"/>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7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6" descr=""/>
                                          <pic:cNvPicPr>
                                            <a:picLocks noChangeAspect="1" noChangeArrowheads="1"/>
                                          </pic:cNvPicPr>
                                        </pic:nvPicPr>
                                        <pic:blipFill>
                                          <a:blip r:embed="rId127"/>
                                          <a:stretch>
                                            <a:fillRect/>
                                          </a:stretch>
                                        </pic:blipFill>
                                        <pic:spPr bwMode="auto">
                                          <a:xfrm>
                                            <a:off x="0" y="0"/>
                                            <a:ext cx="723900" cy="190500"/>
                                          </a:xfrm>
                                          <a:prstGeom prst="rect">
                                            <a:avLst/>
                                          </a:prstGeom>
                                        </pic:spPr>
                                      </pic:pic>
                                    </a:graphicData>
                                  </a:graphic>
                                </wp:inline>
                              </w:drawing>
                            </w:r>
                            <w:bookmarkStart w:id="126" w:name="i-76"/>
                            <w:bookmarkEnd w:id="126"/>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tbl>
      <w:tblPr>
        <w:tblW w:w="8393"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2206"/>
        <w:gridCol w:w="2206"/>
        <w:gridCol w:w="31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7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7" descr=""/>
                          <pic:cNvPicPr>
                            <a:picLocks noChangeAspect="1" noChangeArrowheads="1"/>
                          </pic:cNvPicPr>
                        </pic:nvPicPr>
                        <pic:blipFill>
                          <a:blip r:embed="rId128"/>
                          <a:stretch>
                            <a:fillRect/>
                          </a:stretch>
                        </pic:blipFill>
                        <pic:spPr bwMode="auto">
                          <a:xfrm>
                            <a:off x="0" y="0"/>
                            <a:ext cx="276225" cy="276225"/>
                          </a:xfrm>
                          <a:prstGeom prst="rect">
                            <a:avLst/>
                          </a:prstGeom>
                        </pic:spPr>
                      </pic:pic>
                    </a:graphicData>
                  </a:graphic>
                </wp:inline>
              </w:drawing>
            </w:r>
            <w:bookmarkStart w:id="127" w:name="i-77"/>
            <w:bookmarkEnd w:id="127"/>
          </w:p>
        </w:tc>
        <w:tc>
          <w:tcPr>
            <w:tcW w:w="7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PART II. OTHER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 LEGAL PROCEEDINGS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our legal proceedings, see Note 8 to our unaudited,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2. UNREGISTERED SALES OF EQUITY SECURITIES AND USE OF PROCEEDS</w:t>
      </w:r>
    </w:p>
    <w:tbl>
      <w:tblPr>
        <w:tblW w:w="5220" w:type="dxa"/>
        <w:jc w:val="left"/>
        <w:tblInd w:w="0" w:type="dxa"/>
        <w:tblLayout w:type="fixed"/>
        <w:tblCellMar>
          <w:top w:w="28" w:type="dxa"/>
          <w:left w:w="28" w:type="dxa"/>
          <w:bottom w:w="28" w:type="dxa"/>
          <w:right w:w="28" w:type="dxa"/>
        </w:tblCellMar>
      </w:tblPr>
      <w:tblGrid>
        <w:gridCol w:w="1672"/>
        <w:gridCol w:w="1468"/>
        <w:gridCol w:w="2080"/>
      </w:tblGrid>
      <w:tr>
        <w:trPr/>
        <w:tc>
          <w:tcPr>
            <w:tcW w:w="167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Issuer Purchases of Equity Securities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provides information about shares of common stock acquired or repurchased during the three months ended September 30, 2025 under the stock repurchase program then in effect, as well as common stock withheld by us to satisfy the minimum tax obligations of employees due upon vesting of restricted stock awards and units.</w:t>
      </w:r>
    </w:p>
    <w:tbl>
      <w:tblPr>
        <w:tblW w:w="10205" w:type="dxa"/>
        <w:jc w:val="left"/>
        <w:tblInd w:w="0" w:type="dxa"/>
        <w:tblLayout w:type="fixed"/>
        <w:tblCellMar>
          <w:top w:w="28" w:type="dxa"/>
          <w:left w:w="28" w:type="dxa"/>
          <w:bottom w:w="28" w:type="dxa"/>
          <w:right w:w="28" w:type="dxa"/>
        </w:tblCellMar>
      </w:tblPr>
      <w:tblGrid>
        <w:gridCol w:w="1401"/>
        <w:gridCol w:w="1210"/>
        <w:gridCol w:w="1222"/>
        <w:gridCol w:w="473"/>
        <w:gridCol w:w="473"/>
        <w:gridCol w:w="405"/>
        <w:gridCol w:w="109"/>
        <w:gridCol w:w="109"/>
        <w:gridCol w:w="109"/>
        <w:gridCol w:w="226"/>
        <w:gridCol w:w="706"/>
        <w:gridCol w:w="109"/>
        <w:gridCol w:w="109"/>
        <w:gridCol w:w="109"/>
        <w:gridCol w:w="109"/>
        <w:gridCol w:w="473"/>
        <w:gridCol w:w="473"/>
        <w:gridCol w:w="451"/>
        <w:gridCol w:w="109"/>
        <w:gridCol w:w="109"/>
        <w:gridCol w:w="109"/>
        <w:gridCol w:w="271"/>
        <w:gridCol w:w="1140"/>
        <w:gridCol w:w="191"/>
      </w:tblGrid>
      <w:tr>
        <w:trPr/>
        <w:tc>
          <w:tcPr>
            <w:tcW w:w="14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3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Period</w:t>
            </w:r>
          </w:p>
        </w:tc>
        <w:tc>
          <w:tcPr>
            <w:tcW w:w="135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Total</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number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of shares</w:t>
            </w:r>
          </w:p>
          <w:p>
            <w:pPr>
              <w:pStyle w:val="TableContents"/>
              <w:bidi w:val="0"/>
              <w:spacing w:lineRule="auto" w:line="288" w:before="0" w:after="0"/>
              <w:jc w:val="right"/>
              <w:rPr/>
            </w:pPr>
            <w:r>
              <w:rPr>
                <w:rFonts w:ascii="sans-serif" w:hAnsi="sans-serif"/>
                <w:b/>
                <w:color w:val="FFFFFF"/>
                <w:sz w:val="16"/>
              </w:rPr>
              <w:t>purchased</w:t>
            </w:r>
            <w:r>
              <w:rPr>
                <w:rFonts w:ascii="sans-serif" w:hAnsi="sans-serif"/>
                <w:b/>
                <w:color w:val="FFFFFF"/>
                <w:sz w:val="10"/>
              </w:rPr>
              <w:t>(1)</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Average</w:t>
              <w:br/>
              <w:t>price</w:t>
              <w:br/>
              <w:t>paid</w:t>
              <w:br/>
              <w:t>per</w:t>
              <w:br/>
              <w:t>share</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 number</w:t>
              <w:br/>
              <w:t>of shares</w:t>
              <w:br/>
              <w:t>purchased as</w:t>
              <w:br/>
              <w:t>part of</w:t>
              <w:br/>
              <w:t>publicly</w:t>
              <w:br/>
              <w:t>announced</w:t>
              <w:br/>
              <w:t>plans or</w:t>
              <w:br/>
              <w:t>programs</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Approximate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dollar value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of shares</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that may yet</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be purchased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under the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plans or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programs</w:t>
            </w:r>
          </w:p>
          <w:p>
            <w:pPr>
              <w:pStyle w:val="TableContents"/>
              <w:bidi w:val="0"/>
              <w:spacing w:lineRule="auto" w:line="288" w:before="0" w:after="0"/>
              <w:jc w:val="right"/>
              <w:rPr/>
            </w:pPr>
            <w:r>
              <w:rPr>
                <w:rFonts w:ascii="sans-serif" w:hAnsi="sans-serif"/>
                <w:b/>
                <w:color w:val="FFFFFF"/>
                <w:sz w:val="16"/>
              </w:rPr>
              <w:t>(in thousands)</w:t>
            </w:r>
            <w:r>
              <w:rPr>
                <w:rFonts w:ascii="sans-serif" w:hAnsi="sans-serif"/>
                <w:b/>
                <w:color w:val="FFFFFF"/>
                <w:sz w:val="10"/>
              </w:rPr>
              <w:t>(2)</w:t>
            </w:r>
          </w:p>
        </w:tc>
      </w:tr>
      <w:tr>
        <w:trPr/>
        <w:tc>
          <w:tcPr>
            <w:tcW w:w="383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Beginning balance, July 1, 2025</w:t>
            </w:r>
          </w:p>
        </w:tc>
        <w:tc>
          <w:tcPr>
            <w:tcW w:w="135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544,532 </w:t>
            </w:r>
          </w:p>
        </w:tc>
        <w:tc>
          <w:tcPr>
            <w:tcW w:w="19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July 1, 2025 through July 31, 2025</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544,532 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August 1, 2025 through August 31, 2025</w:t>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250,069 </w:t>
            </w:r>
          </w:p>
        </w:tc>
        <w:tc>
          <w:tcPr>
            <w:tcW w:w="40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64.06 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229,000 </w:t>
            </w:r>
          </w:p>
        </w:tc>
        <w:tc>
          <w:tcPr>
            <w:tcW w:w="45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529,843 </w:t>
            </w:r>
          </w:p>
        </w:tc>
        <w:tc>
          <w:tcPr>
            <w:tcW w:w="19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September 1, 2025 through September 30, 2025</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230,528 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230,528 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514,399 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3"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Total</w:t>
            </w:r>
          </w:p>
        </w:tc>
        <w:tc>
          <w:tcPr>
            <w:tcW w:w="94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480,597 </w:t>
            </w:r>
          </w:p>
        </w:tc>
        <w:tc>
          <w:tcPr>
            <w:tcW w:w="40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65.47 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459,528 </w:t>
            </w:r>
          </w:p>
        </w:tc>
        <w:tc>
          <w:tcPr>
            <w:tcW w:w="45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4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514,399 </w:t>
            </w:r>
          </w:p>
        </w:tc>
        <w:tc>
          <w:tcPr>
            <w:tcW w:w="19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(1)Includes 21,069 shares in August withheld by us to satisfy the minimum tax obligations of employees due upon vesting of restricted stock awards and units. The level of this acquisition activity varies from period to period based upon the timing of award grants and vesting.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(2)In July 2024, our Board of Directors reauthorized, expanded and replenished our stock repurchase program by raising the total capacity under the program to $800.0 million available for repurchases. The program does not have an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91540"/>
                <wp:effectExtent l="0" t="0" r="0" b="0"/>
                <wp:wrapNone/>
                <wp:docPr id="179" name="Frame5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8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8" descr=""/>
                                                <pic:cNvPicPr>
                                                  <a:picLocks noChangeAspect="1" noChangeArrowheads="1"/>
                                                </pic:cNvPicPr>
                                              </pic:nvPicPr>
                                              <pic:blipFill>
                                                <a:blip r:embed="rId129"/>
                                                <a:stretch>
                                                  <a:fillRect/>
                                                </a:stretch>
                                              </pic:blipFill>
                                              <pic:spPr bwMode="auto">
                                                <a:xfrm>
                                                  <a:off x="0" y="0"/>
                                                  <a:ext cx="733425" cy="190500"/>
                                                </a:xfrm>
                                                <a:prstGeom prst="rect">
                                                  <a:avLst/>
                                                </a:prstGeom>
                                              </pic:spPr>
                                            </pic:pic>
                                          </a:graphicData>
                                        </a:graphic>
                                      </wp:inline>
                                    </w:drawing>
                                  </w:r>
                                  <w:bookmarkStart w:id="128" w:name="i-78"/>
                                  <w:bookmarkEnd w:id="12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8" descr=""/>
                                          <pic:cNvPicPr>
                                            <a:picLocks noChangeAspect="1" noChangeArrowheads="1"/>
                                          </pic:cNvPicPr>
                                        </pic:nvPicPr>
                                        <pic:blipFill>
                                          <a:blip r:embed="rId130"/>
                                          <a:stretch>
                                            <a:fillRect/>
                                          </a:stretch>
                                        </pic:blipFill>
                                        <pic:spPr bwMode="auto">
                                          <a:xfrm>
                                            <a:off x="0" y="0"/>
                                            <a:ext cx="733425" cy="190500"/>
                                          </a:xfrm>
                                          <a:prstGeom prst="rect">
                                            <a:avLst/>
                                          </a:prstGeom>
                                        </pic:spPr>
                                      </pic:pic>
                                    </a:graphicData>
                                  </a:graphic>
                                </wp:inline>
                              </w:drawing>
                            </w:r>
                            <w:bookmarkStart w:id="129" w:name="i-78"/>
                            <w:bookmarkEnd w:id="12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49" w:type="dxa"/>
        <w:jc w:val="left"/>
        <w:tblInd w:w="0" w:type="dxa"/>
        <w:tblLayout w:type="fixed"/>
        <w:tblCellMar>
          <w:top w:w="28" w:type="dxa"/>
          <w:left w:w="28" w:type="dxa"/>
          <w:bottom w:w="28" w:type="dxa"/>
          <w:right w:w="28" w:type="dxa"/>
        </w:tblCellMar>
      </w:tblPr>
      <w:tblGrid>
        <w:gridCol w:w="2066"/>
        <w:gridCol w:w="1814"/>
        <w:gridCol w:w="2569"/>
      </w:tblGrid>
      <w:tr>
        <w:trPr/>
        <w:tc>
          <w:tcPr>
            <w:tcW w:w="206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Trading Arrangements Adopted or Terminated</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three months ended September 30, 2025, none of the Company’s directors or executive officers adopted or terminated any contract, instruction or written plan for the purchase or sale of Company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04054"/>
          <w:sz w:val="32"/>
        </w:rPr>
      </w:pPr>
      <w:r>
        <w:rPr>
          <w:rFonts w:ascii="sans-serif" w:hAnsi="sans-serif"/>
          <w:b/>
          <w:color w:val="004054"/>
          <w:sz w:val="32"/>
        </w:rPr>
        <w:t>ITEM 6. EXHIBITS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exhibits listed below are filed or incorporated by reference as part of this Quarterly Report on Form 10-Q:</w:t>
      </w:r>
    </w:p>
    <w:tbl>
      <w:tblPr>
        <w:tblW w:w="10205" w:type="dxa"/>
        <w:jc w:val="left"/>
        <w:tblInd w:w="0" w:type="dxa"/>
        <w:tblLayout w:type="fixed"/>
        <w:tblCellMar>
          <w:top w:w="28" w:type="dxa"/>
          <w:left w:w="28" w:type="dxa"/>
          <w:bottom w:w="28" w:type="dxa"/>
          <w:right w:w="28" w:type="dxa"/>
        </w:tblCellMar>
      </w:tblPr>
      <w:tblGrid>
        <w:gridCol w:w="310"/>
        <w:gridCol w:w="273"/>
        <w:gridCol w:w="274"/>
        <w:gridCol w:w="109"/>
        <w:gridCol w:w="109"/>
        <w:gridCol w:w="109"/>
        <w:gridCol w:w="1672"/>
        <w:gridCol w:w="1365"/>
        <w:gridCol w:w="1331"/>
        <w:gridCol w:w="109"/>
        <w:gridCol w:w="109"/>
        <w:gridCol w:w="109"/>
        <w:gridCol w:w="341"/>
        <w:gridCol w:w="341"/>
        <w:gridCol w:w="342"/>
        <w:gridCol w:w="109"/>
        <w:gridCol w:w="109"/>
        <w:gridCol w:w="109"/>
        <w:gridCol w:w="195"/>
        <w:gridCol w:w="195"/>
        <w:gridCol w:w="196"/>
        <w:gridCol w:w="109"/>
        <w:gridCol w:w="109"/>
        <w:gridCol w:w="109"/>
        <w:gridCol w:w="317"/>
        <w:gridCol w:w="317"/>
        <w:gridCol w:w="318"/>
        <w:gridCol w:w="109"/>
        <w:gridCol w:w="109"/>
        <w:gridCol w:w="109"/>
        <w:gridCol w:w="227"/>
        <w:gridCol w:w="227"/>
        <w:gridCol w:w="329"/>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21"/>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 In</w:t>
            </w:r>
          </w:p>
        </w:tc>
      </w:tr>
      <w:tr>
        <w:trPr/>
        <w:tc>
          <w:tcPr>
            <w:tcW w:w="85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Exhibit</w:t>
              <w:br/>
              <w:t>Number</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Description of Document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 Herewith</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Form</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Exhibit Number</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Filing Date</w:t>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pPr>
            <w:hyperlink w:anchor="blkbq3202510-qexx311.htm">
              <w:r>
                <w:rPr>
                  <w:rStyle w:val="InternetLink"/>
                  <w:rFonts w:ascii="sans-serif" w:hAnsi="sans-serif"/>
                  <w:b w:val="false"/>
                  <w:color w:val="7A04DD"/>
                  <w:sz w:val="20"/>
                  <w:u w:val="single"/>
                </w:rPr>
                <w:t>31.1</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hyperlink w:anchor="blkbq3202510-qexx311.htm">
              <w:r>
                <w:rPr>
                  <w:rStyle w:val="InternetLink"/>
                  <w:rFonts w:ascii="sans-serif" w:hAnsi="sans-serif"/>
                  <w:b w:val="false"/>
                  <w:color w:val="7A04DD"/>
                  <w:sz w:val="20"/>
                  <w:u w:val="single"/>
                </w:rPr>
                <w:t>Certification by the Chief Executive Officer pursuant to Section 302 of the Sarbanes-Oxley Act of 2002.</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hyperlink w:anchor="blkbq3202510-qexx312.htm">
              <w:r>
                <w:rPr>
                  <w:rStyle w:val="InternetLink"/>
                  <w:rFonts w:ascii="sans-serif" w:hAnsi="sans-serif"/>
                  <w:b w:val="false"/>
                  <w:color w:val="7A04DD"/>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hyperlink w:anchor="blkbq3202510-qexx312.htm">
              <w:r>
                <w:rPr>
                  <w:rStyle w:val="InternetLink"/>
                  <w:rFonts w:ascii="sans-serif" w:hAnsi="sans-serif"/>
                  <w:b w:val="false"/>
                  <w:color w:val="7A04DD"/>
                  <w:sz w:val="20"/>
                  <w:u w:val="single"/>
                </w:rPr>
                <w:t>Certification by the Chief Financial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pPr>
            <w:hyperlink w:anchor="blkbq3202510-qexx321.htm">
              <w:r>
                <w:rPr>
                  <w:rStyle w:val="InternetLink"/>
                  <w:rFonts w:ascii="sans-serif" w:hAnsi="sans-serif"/>
                  <w:b w:val="false"/>
                  <w:color w:val="7A04DD"/>
                  <w:sz w:val="20"/>
                  <w:u w:val="single"/>
                </w:rPr>
                <w:t>32.1</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hyperlink w:anchor="blkbq3202510-qexx321.htm">
              <w:r>
                <w:rPr>
                  <w:rStyle w:val="InternetLink"/>
                  <w:rFonts w:ascii="sans-serif" w:hAnsi="sans-serif"/>
                  <w:b w:val="false"/>
                  <w:color w:val="7A04DD"/>
                  <w:sz w:val="20"/>
                  <w:u w:val="single"/>
                </w:rPr>
                <w:t>Certification by the Chief Executive Officer pursuant to 18 U.S.C. 1350 as adopted pursuant to Section 906 of the Sarbanes-Oxley Act of 2002.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hyperlink w:anchor="blkbq3202510-qexx322.htm">
              <w:r>
                <w:rPr>
                  <w:rStyle w:val="InternetLink"/>
                  <w:rFonts w:ascii="sans-serif" w:hAnsi="sans-serif"/>
                  <w:b w:val="false"/>
                  <w:color w:val="7A04DD"/>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hyperlink w:anchor="blkbq3202510-qexx322.htm">
              <w:r>
                <w:rPr>
                  <w:rStyle w:val="InternetLink"/>
                  <w:rFonts w:ascii="sans-serif" w:hAnsi="sans-serif"/>
                  <w:b w:val="false"/>
                  <w:color w:val="7A04DD"/>
                  <w:sz w:val="20"/>
                  <w:u w:val="single"/>
                </w:rPr>
                <w:t>Certification by the Chief Financial Officer pursuant to 18 U.S.C.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101.INS</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Inline XBRL Instance Document - the Instance Document does not appear in the interactive data file because its XBRL tags are embedded within the Inline XBRL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101.CAL</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Inline XBRL Taxonomy Extension Calculation Linkbase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101.LAB</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Inline XBRL Taxonomy Extension Label Linkbase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104</w:t>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Cover Page Interactive Data File (formatted as Inline XBRL and contained in Exhibit 101).</w:t>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91540"/>
                <wp:effectExtent l="0" t="0" r="0" b="0"/>
                <wp:wrapNone/>
                <wp:docPr id="182" name="Frame5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52" w:type="dxa"/>
                              <w:jc w:val="left"/>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9" descr=""/>
                                                <pic:cNvPicPr>
                                                  <a:picLocks noChangeAspect="1" noChangeArrowheads="1"/>
                                                </pic:cNvPicPr>
                                              </pic:nvPicPr>
                                              <pic:blipFill>
                                                <a:blip r:embed="rId131"/>
                                                <a:stretch>
                                                  <a:fillRect/>
                                                </a:stretch>
                                              </pic:blipFill>
                                              <pic:spPr bwMode="auto">
                                                <a:xfrm>
                                                  <a:off x="0" y="0"/>
                                                  <a:ext cx="723900" cy="190500"/>
                                                </a:xfrm>
                                                <a:prstGeom prst="rect">
                                                  <a:avLst/>
                                                </a:prstGeom>
                                              </pic:spPr>
                                            </pic:pic>
                                          </a:graphicData>
                                        </a:graphic>
                                      </wp:inline>
                                    </w:drawing>
                                  </w:r>
                                  <w:bookmarkStart w:id="130" w:name="i-79"/>
                                  <w:bookmarkEnd w:id="130"/>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52" w:type="dxa"/>
                        <w:jc w:val="left"/>
                        <w:tblInd w:w="0" w:type="dxa"/>
                        <w:tblLayout w:type="fixed"/>
                        <w:tblCellMar>
                          <w:top w:w="28" w:type="dxa"/>
                          <w:left w:w="28" w:type="dxa"/>
                          <w:bottom w:w="28" w:type="dxa"/>
                          <w:right w:w="28" w:type="dxa"/>
                        </w:tblCellMar>
                      </w:tblPr>
                      <w:tblGrid>
                        <w:gridCol w:w="124"/>
                        <w:gridCol w:w="109"/>
                        <w:gridCol w:w="109"/>
                        <w:gridCol w:w="408"/>
                        <w:gridCol w:w="408"/>
                        <w:gridCol w:w="410"/>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8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9" descr=""/>
                                          <pic:cNvPicPr>
                                            <a:picLocks noChangeAspect="1" noChangeArrowheads="1"/>
                                          </pic:cNvPicPr>
                                        </pic:nvPicPr>
                                        <pic:blipFill>
                                          <a:blip r:embed="rId132"/>
                                          <a:stretch>
                                            <a:fillRect/>
                                          </a:stretch>
                                        </pic:blipFill>
                                        <pic:spPr bwMode="auto">
                                          <a:xfrm>
                                            <a:off x="0" y="0"/>
                                            <a:ext cx="723900" cy="190500"/>
                                          </a:xfrm>
                                          <a:prstGeom prst="rect">
                                            <a:avLst/>
                                          </a:prstGeom>
                                        </pic:spPr>
                                      </pic:pic>
                                    </a:graphicData>
                                  </a:graphic>
                                </wp:inline>
                              </w:drawing>
                            </w:r>
                            <w:bookmarkStart w:id="131" w:name="i-79"/>
                            <w:bookmarkEnd w:id="131"/>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Third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0a17843f2c4b2fa8d7abf2308f75bb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tbl>
      <w:tblPr>
        <w:tblW w:w="4149"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962"/>
        <w:gridCol w:w="962"/>
        <w:gridCol w:w="1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8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80" descr=""/>
                          <pic:cNvPicPr>
                            <a:picLocks noChangeAspect="1" noChangeArrowheads="1"/>
                          </pic:cNvPicPr>
                        </pic:nvPicPr>
                        <pic:blipFill>
                          <a:blip r:embed="rId133"/>
                          <a:stretch>
                            <a:fillRect/>
                          </a:stretch>
                        </pic:blipFill>
                        <pic:spPr bwMode="auto">
                          <a:xfrm>
                            <a:off x="0" y="0"/>
                            <a:ext cx="276225" cy="276225"/>
                          </a:xfrm>
                          <a:prstGeom prst="rect">
                            <a:avLst/>
                          </a:prstGeom>
                        </pic:spPr>
                      </pic:pic>
                    </a:graphicData>
                  </a:graphic>
                </wp:inline>
              </w:drawing>
            </w:r>
            <w:bookmarkStart w:id="132" w:name="i-80"/>
            <w:bookmarkEnd w:id="132"/>
          </w:p>
        </w:tc>
        <w:tc>
          <w:tcPr>
            <w:tcW w:w="32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SIGNATURES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Pursuant to the requirements of the Securities Exchange Act of 1934, the Registrant has duly caused this Report to be signed on its behalf by the undersigned thereunto duly authorized.</w:t>
      </w:r>
    </w:p>
    <w:tbl>
      <w:tblPr>
        <w:tblW w:w="10118" w:type="dxa"/>
        <w:jc w:val="center"/>
        <w:tblInd w:w="0" w:type="dxa"/>
        <w:tblLayout w:type="fixed"/>
        <w:tblCellMar>
          <w:top w:w="28" w:type="dxa"/>
          <w:left w:w="28" w:type="dxa"/>
          <w:bottom w:w="28" w:type="dxa"/>
          <w:right w:w="28" w:type="dxa"/>
        </w:tblCellMar>
      </w:tblPr>
      <w:tblGrid>
        <w:gridCol w:w="233"/>
        <w:gridCol w:w="205"/>
        <w:gridCol w:w="207"/>
        <w:gridCol w:w="634"/>
        <w:gridCol w:w="634"/>
        <w:gridCol w:w="636"/>
        <w:gridCol w:w="328"/>
        <w:gridCol w:w="328"/>
        <w:gridCol w:w="328"/>
        <w:gridCol w:w="1916"/>
        <w:gridCol w:w="1916"/>
        <w:gridCol w:w="2753"/>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BLACKBAUD,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Date:</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November 3, 2025</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By:</w:t>
            </w:r>
          </w:p>
        </w:tc>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/s/ 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(Principal Executive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Date:</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November 3, 2025</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By:</w:t>
            </w:r>
          </w:p>
        </w:tc>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/s/ 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91540"/>
                <wp:effectExtent l="0" t="0" r="0" b="0"/>
                <wp:wrapNone/>
                <wp:docPr id="186" name="Frame5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8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1" descr=""/>
                                                <pic:cNvPicPr>
                                                  <a:picLocks noChangeAspect="1" noChangeArrowheads="1"/>
                                                </pic:cNvPicPr>
                                              </pic:nvPicPr>
                                              <pic:blipFill>
                                                <a:blip r:embed="rId134"/>
                                                <a:stretch>
                                                  <a:fillRect/>
                                                </a:stretch>
                                              </pic:blipFill>
                                              <pic:spPr bwMode="auto">
                                                <a:xfrm>
                                                  <a:off x="0" y="0"/>
                                                  <a:ext cx="733425" cy="190500"/>
                                                </a:xfrm>
                                                <a:prstGeom prst="rect">
                                                  <a:avLst/>
                                                </a:prstGeom>
                                              </pic:spPr>
                                            </pic:pic>
                                          </a:graphicData>
                                        </a:graphic>
                                      </wp:inline>
                                    </w:drawing>
                                  </w:r>
                                  <w:bookmarkStart w:id="133" w:name="i-81"/>
                                  <w:bookmarkEnd w:id="13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68" w:type="dxa"/>
                        <w:jc w:val="center"/>
                        <w:tblInd w:w="0" w:type="dxa"/>
                        <w:tblLayout w:type="fixed"/>
                        <w:tblCellMar>
                          <w:top w:w="28" w:type="dxa"/>
                          <w:left w:w="28" w:type="dxa"/>
                          <w:bottom w:w="28" w:type="dxa"/>
                          <w:right w:w="28" w:type="dxa"/>
                        </w:tblCellMar>
                      </w:tblPr>
                      <w:tblGrid>
                        <w:gridCol w:w="962"/>
                        <w:gridCol w:w="843"/>
                        <w:gridCol w:w="850"/>
                        <w:gridCol w:w="413"/>
                        <w:gridCol w:w="413"/>
                        <w:gridCol w:w="415"/>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Third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8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1" descr=""/>
                                          <pic:cNvPicPr>
                                            <a:picLocks noChangeAspect="1" noChangeArrowheads="1"/>
                                          </pic:cNvPicPr>
                                        </pic:nvPicPr>
                                        <pic:blipFill>
                                          <a:blip r:embed="rId135"/>
                                          <a:stretch>
                                            <a:fillRect/>
                                          </a:stretch>
                                        </pic:blipFill>
                                        <pic:spPr bwMode="auto">
                                          <a:xfrm>
                                            <a:off x="0" y="0"/>
                                            <a:ext cx="733425" cy="190500"/>
                                          </a:xfrm>
                                          <a:prstGeom prst="rect">
                                            <a:avLst/>
                                          </a:prstGeom>
                                        </pic:spPr>
                                      </pic:pic>
                                    </a:graphicData>
                                  </a:graphic>
                                </wp:inline>
                              </w:drawing>
                            </w:r>
                            <w:bookmarkStart w:id="134" w:name="i-81"/>
                            <w:bookmarkEnd w:id="13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31.1</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SECTION 302 OF THE SARBANES-OXLEY ACT OF 2002</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I, Michael P. Gianoni, certify that: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1.I have reviewed this quarterly report on Form 10-Q of Blackbaud, Inc.;</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51555C"/>
        </w:rPr>
      </w:pPr>
      <w:r>
        <w:rPr>
          <w:color w:val="51555C"/>
        </w:rPr>
        <w:t> </w:t>
      </w:r>
    </w:p>
    <w:tbl>
      <w:tblPr>
        <w:tblW w:w="9880" w:type="dxa"/>
        <w:jc w:val="center"/>
        <w:tblInd w:w="0" w:type="dxa"/>
        <w:tblLayout w:type="fixed"/>
        <w:tblCellMar>
          <w:top w:w="28" w:type="dxa"/>
          <w:left w:w="28" w:type="dxa"/>
          <w:bottom w:w="28" w:type="dxa"/>
          <w:right w:w="28" w:type="dxa"/>
        </w:tblCellMar>
      </w:tblPr>
      <w:tblGrid>
        <w:gridCol w:w="233"/>
        <w:gridCol w:w="205"/>
        <w:gridCol w:w="207"/>
        <w:gridCol w:w="634"/>
        <w:gridCol w:w="634"/>
        <w:gridCol w:w="636"/>
        <w:gridCol w:w="139"/>
        <w:gridCol w:w="139"/>
        <w:gridCol w:w="141"/>
        <w:gridCol w:w="109"/>
        <w:gridCol w:w="109"/>
        <w:gridCol w:w="109"/>
        <w:gridCol w:w="1930"/>
        <w:gridCol w:w="1930"/>
        <w:gridCol w:w="272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November 3, 2025</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8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31.2</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SECTION 302 OF THE SARBANES-OXLEY ACT OF 2002</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I, Chad M. Anderson, certify that: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1.I have reviewed this quarterly report on Form 10-Q of Blackbaud, Inc.;</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51555C"/>
        </w:rPr>
      </w:pPr>
      <w:r>
        <w:rPr>
          <w:color w:val="51555C"/>
        </w:rPr>
        <w:t> </w:t>
      </w:r>
    </w:p>
    <w:tbl>
      <w:tblPr>
        <w:tblW w:w="8485" w:type="dxa"/>
        <w:jc w:val="center"/>
        <w:tblInd w:w="0" w:type="dxa"/>
        <w:tblLayout w:type="fixed"/>
        <w:tblCellMar>
          <w:top w:w="28" w:type="dxa"/>
          <w:left w:w="28" w:type="dxa"/>
          <w:bottom w:w="28" w:type="dxa"/>
          <w:right w:w="28" w:type="dxa"/>
        </w:tblCellMar>
      </w:tblPr>
      <w:tblGrid>
        <w:gridCol w:w="233"/>
        <w:gridCol w:w="205"/>
        <w:gridCol w:w="207"/>
        <w:gridCol w:w="634"/>
        <w:gridCol w:w="634"/>
        <w:gridCol w:w="636"/>
        <w:gridCol w:w="139"/>
        <w:gridCol w:w="139"/>
        <w:gridCol w:w="141"/>
        <w:gridCol w:w="109"/>
        <w:gridCol w:w="109"/>
        <w:gridCol w:w="109"/>
        <w:gridCol w:w="1519"/>
        <w:gridCol w:w="1519"/>
        <w:gridCol w:w="215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November 3, 2025</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9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32.1</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18 U.S.C. SECTION 1350, AS ADOPTED</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PURSUANT TO SECTION 906 OF THE SARBANES-OXLEY ACT OF 2002</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connection with the Quarterly Report on Form 10-Q of Blackbaud, Inc. (the “Company”) for the period ended September 30, 2025 as filed with the Securities and Exchange Commission on or about the date hereof (the “Report”), I, Michael P. Gianoni, Chief Executive Officer, President and Vice Chairman of the Board, hereby certify, pursuant to 18 U.S.C. 1350, as adopted pursuant to Section 906 of the Sarbanes-Oxley Act of 2002, that, to my knowledge:</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51555C"/>
        </w:rPr>
      </w:pPr>
      <w:r>
        <w:rPr>
          <w:color w:val="51555C"/>
        </w:rPr>
        <w:t> </w:t>
      </w:r>
    </w:p>
    <w:tbl>
      <w:tblPr>
        <w:tblW w:w="9880" w:type="dxa"/>
        <w:jc w:val="left"/>
        <w:tblInd w:w="0" w:type="dxa"/>
        <w:tblLayout w:type="fixed"/>
        <w:tblCellMar>
          <w:top w:w="28" w:type="dxa"/>
          <w:left w:w="28" w:type="dxa"/>
          <w:bottom w:w="28" w:type="dxa"/>
          <w:right w:w="28" w:type="dxa"/>
        </w:tblCellMar>
      </w:tblPr>
      <w:tblGrid>
        <w:gridCol w:w="233"/>
        <w:gridCol w:w="205"/>
        <w:gridCol w:w="207"/>
        <w:gridCol w:w="634"/>
        <w:gridCol w:w="634"/>
        <w:gridCol w:w="636"/>
        <w:gridCol w:w="139"/>
        <w:gridCol w:w="139"/>
        <w:gridCol w:w="141"/>
        <w:gridCol w:w="109"/>
        <w:gridCol w:w="109"/>
        <w:gridCol w:w="109"/>
        <w:gridCol w:w="1930"/>
        <w:gridCol w:w="1930"/>
        <w:gridCol w:w="272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November 3, 2025</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9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32.2</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18 U.S.C. SECTION 1350, AS ADOPTED</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PURSUANT TO SECTION 906 OF THE SARBANES-OXLEY ACT OF 2002</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connection with the Quarterly Report on Form 10-Q of Blackbaud, Inc. (the “Company”) for the period ended September 30, 2025 as filed with the Securities and Exchange Commission on or about the date hereof (the “Report”), I, Chad M. Anderson, Executive Vice President and Chief Financial Officer, hereby certify, pursuant to 18 U.S.C. 1350, as adopted pursuant to Section 906 of the Sarbanes-Oxley Act of 2002, that, to my knowledge:</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51555C"/>
        </w:rPr>
      </w:pPr>
      <w:r>
        <w:rPr>
          <w:color w:val="51555C"/>
        </w:rPr>
        <w:t> </w:t>
      </w:r>
    </w:p>
    <w:tbl>
      <w:tblPr>
        <w:tblW w:w="8485" w:type="dxa"/>
        <w:jc w:val="left"/>
        <w:tblInd w:w="0" w:type="dxa"/>
        <w:tblLayout w:type="fixed"/>
        <w:tblCellMar>
          <w:top w:w="28" w:type="dxa"/>
          <w:left w:w="28" w:type="dxa"/>
          <w:bottom w:w="28" w:type="dxa"/>
          <w:right w:w="28" w:type="dxa"/>
        </w:tblCellMar>
      </w:tblPr>
      <w:tblGrid>
        <w:gridCol w:w="233"/>
        <w:gridCol w:w="205"/>
        <w:gridCol w:w="207"/>
        <w:gridCol w:w="634"/>
        <w:gridCol w:w="634"/>
        <w:gridCol w:w="636"/>
        <w:gridCol w:w="139"/>
        <w:gridCol w:w="139"/>
        <w:gridCol w:w="141"/>
        <w:gridCol w:w="109"/>
        <w:gridCol w:w="109"/>
        <w:gridCol w:w="109"/>
        <w:gridCol w:w="1519"/>
        <w:gridCol w:w="1519"/>
        <w:gridCol w:w="215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November 3, 2025</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92"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4.jpeg"/><Relationship Id="rId66" Type="http://schemas.openxmlformats.org/officeDocument/2006/relationships/image" Target="media/image5.jpeg"/><Relationship Id="rId67" Type="http://schemas.openxmlformats.org/officeDocument/2006/relationships/image" Target="media/image6.jpeg"/><Relationship Id="rId68" Type="http://schemas.openxmlformats.org/officeDocument/2006/relationships/image" Target="media/image7.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8.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9.jpeg"/><Relationship Id="rId77" Type="http://schemas.openxmlformats.org/officeDocument/2006/relationships/image" Target="media/image10.jpeg"/><Relationship Id="rId78" Type="http://schemas.openxmlformats.org/officeDocument/2006/relationships/image" Target="media/image11.jpeg"/><Relationship Id="rId79" Type="http://schemas.openxmlformats.org/officeDocument/2006/relationships/image" Target="media/image12.jpeg"/><Relationship Id="rId80" Type="http://schemas.openxmlformats.org/officeDocument/2006/relationships/image" Target="media/image13.jpeg"/><Relationship Id="rId81" Type="http://schemas.openxmlformats.org/officeDocument/2006/relationships/image" Target="media/image14.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15.jpeg"/><Relationship Id="rId85" Type="http://schemas.openxmlformats.org/officeDocument/2006/relationships/image" Target="media/image16.jpeg"/><Relationship Id="rId86" Type="http://schemas.openxmlformats.org/officeDocument/2006/relationships/image" Target="media/image17.jpeg"/><Relationship Id="rId87" Type="http://schemas.openxmlformats.org/officeDocument/2006/relationships/image" Target="media/image18.jpeg"/><Relationship Id="rId88" Type="http://schemas.openxmlformats.org/officeDocument/2006/relationships/image" Target="media/image19.jpeg"/><Relationship Id="rId89" Type="http://schemas.openxmlformats.org/officeDocument/2006/relationships/image" Target="media/image20.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1.jpeg"/><Relationship Id="rId95" Type="http://schemas.openxmlformats.org/officeDocument/2006/relationships/image" Target="media/image2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3.jpeg"/><Relationship Id="rId99" Type="http://schemas.openxmlformats.org/officeDocument/2006/relationships/image" Target="media/image24.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5.jpeg"/><Relationship Id="rId103" Type="http://schemas.openxmlformats.org/officeDocument/2006/relationships/image" Target="media/image26.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image" Target="media/image2.jpeg"/><Relationship Id="rId121" Type="http://schemas.openxmlformats.org/officeDocument/2006/relationships/image" Target="media/image2.jpeg"/><Relationship Id="rId122" Type="http://schemas.openxmlformats.org/officeDocument/2006/relationships/image" Target="media/image2.jpeg"/><Relationship Id="rId123" Type="http://schemas.openxmlformats.org/officeDocument/2006/relationships/image" Target="media/image2.jpeg"/><Relationship Id="rId124" Type="http://schemas.openxmlformats.org/officeDocument/2006/relationships/image" Target="media/image2.jpeg"/><Relationship Id="rId125" Type="http://schemas.openxmlformats.org/officeDocument/2006/relationships/image" Target="media/image2.jpeg"/><Relationship Id="rId126" Type="http://schemas.openxmlformats.org/officeDocument/2006/relationships/image" Target="media/image2.jpeg"/><Relationship Id="rId127" Type="http://schemas.openxmlformats.org/officeDocument/2006/relationships/image" Target="media/image2.jpeg"/><Relationship Id="rId128" Type="http://schemas.openxmlformats.org/officeDocument/2006/relationships/image" Target="media/image3.jpeg"/><Relationship Id="rId129" Type="http://schemas.openxmlformats.org/officeDocument/2006/relationships/image" Target="media/image2.jpeg"/><Relationship Id="rId130" Type="http://schemas.openxmlformats.org/officeDocument/2006/relationships/image" Target="media/image2.jpeg"/><Relationship Id="rId131" Type="http://schemas.openxmlformats.org/officeDocument/2006/relationships/image" Target="media/image2.jpeg"/><Relationship Id="rId132" Type="http://schemas.openxmlformats.org/officeDocument/2006/relationships/image" Target="media/image2.jpeg"/><Relationship Id="rId133" Type="http://schemas.openxmlformats.org/officeDocument/2006/relationships/image" Target="media/image3.jpeg"/><Relationship Id="rId134" Type="http://schemas.openxmlformats.org/officeDocument/2006/relationships/image" Target="media/image2.jpeg"/><Relationship Id="rId135" Type="http://schemas.openxmlformats.org/officeDocument/2006/relationships/image" Target="media/image2.jpeg"/><Relationship Id="rId136" Type="http://schemas.openxmlformats.org/officeDocument/2006/relationships/fontTable" Target="fontTable.xml"/><Relationship Id="rId1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23623</Words>
  <Characters>132972</Characters>
  <CharactersWithSpaces>154928</CharactersWithSpaces>
  <Paragraphs>4758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