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51555C"/>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51555C"/>
        </w:rPr>
        <w:t>SECURITIES AND EXCHANGE COMMISSION</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51555C"/>
        </w:rPr>
        <w:t>Washington, D.C. 20549</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51555C"/>
        </w:rPr>
        <w:t>FORM 10-Q</w:t>
      </w:r>
    </w:p>
    <w:p>
      <w:pPr>
        <w:spacing w:after="0" w:line="222" w:lineRule="exact"/>
        <w:rPr>
          <w:sz w:val="24"/>
          <w:szCs w:val="24"/>
          <w:color w:val="auto"/>
        </w:rPr>
      </w:pPr>
    </w:p>
    <w:p>
      <w:pPr>
        <w:ind w:left="700" w:right="2440" w:hanging="550"/>
        <w:spacing w:after="0" w:line="349" w:lineRule="auto"/>
        <w:tabs>
          <w:tab w:leader="none" w:pos="484" w:val="left"/>
        </w:tabs>
        <w:numPr>
          <w:ilvl w:val="0"/>
          <w:numId w:val="1"/>
        </w:numPr>
        <w:rPr>
          <w:rFonts w:ascii="MS PGothic" w:cs="MS PGothic" w:eastAsia="MS PGothic" w:hAnsi="MS PGothic"/>
          <w:sz w:val="20"/>
          <w:szCs w:val="20"/>
          <w:color w:val="51555C"/>
        </w:rPr>
      </w:pPr>
      <w:r>
        <w:rPr>
          <w:rFonts w:ascii="Arial" w:cs="Arial" w:eastAsia="Arial" w:hAnsi="Arial"/>
          <w:sz w:val="16"/>
          <w:szCs w:val="16"/>
          <w:b w:val="1"/>
          <w:bCs w:val="1"/>
          <w:color w:val="51555C"/>
        </w:rPr>
        <w:t xml:space="preserve">QUARTERLY REPORT PURSUANT TO SECTION 13 OR 15(d) OF THE SECURITIES EXCHANGE ACT OF 1934 </w:t>
      </w:r>
      <w:r>
        <w:rPr>
          <w:rFonts w:ascii="Arial" w:cs="Arial" w:eastAsia="Arial" w:hAnsi="Arial"/>
          <w:sz w:val="16"/>
          <w:szCs w:val="16"/>
          <w:color w:val="51555C"/>
        </w:rPr>
        <w:t>For the quarterly period ended September 30, 2026</w:t>
      </w:r>
    </w:p>
    <w:p>
      <w:pPr>
        <w:jc w:val="center"/>
        <w:ind w:right="-19"/>
        <w:spacing w:after="0"/>
        <w:rPr>
          <w:sz w:val="20"/>
          <w:szCs w:val="20"/>
          <w:color w:val="auto"/>
        </w:rPr>
      </w:pPr>
      <w:r>
        <w:rPr>
          <w:rFonts w:ascii="Arial" w:cs="Arial" w:eastAsia="Arial" w:hAnsi="Arial"/>
          <w:sz w:val="16"/>
          <w:szCs w:val="16"/>
          <w:b w:val="1"/>
          <w:bCs w:val="1"/>
          <w:color w:val="51555C"/>
        </w:rPr>
        <w:t>or</w:t>
      </w:r>
    </w:p>
    <w:p>
      <w:pPr>
        <w:spacing w:after="0" w:line="154"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51555C"/>
        </w:rPr>
      </w:pPr>
      <w:r>
        <w:rPr>
          <w:rFonts w:ascii="Arial" w:cs="Arial" w:eastAsia="Arial" w:hAnsi="Arial"/>
          <w:sz w:val="16"/>
          <w:szCs w:val="16"/>
          <w:b w:val="1"/>
          <w:bCs w:val="1"/>
          <w:color w:val="51555C"/>
        </w:rPr>
        <w:t>TRANSITION REPORT PURSUANT TO SECTION 13 OR 15(d) OF THE SECURITIES EXCHANGE ACT OF 1934</w:t>
      </w:r>
    </w:p>
    <w:p>
      <w:pPr>
        <w:spacing w:after="0" w:line="6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51555C"/>
        </w:rPr>
        <w:t>For the transition period from</w:t>
      </w:r>
      <w:r>
        <w:rPr>
          <w:sz w:val="20"/>
          <w:szCs w:val="20"/>
          <w:color w:val="auto"/>
        </w:rPr>
        <w:tab/>
      </w:r>
      <w:r>
        <w:rPr>
          <w:rFonts w:ascii="Arial" w:cs="Arial" w:eastAsia="Arial" w:hAnsi="Arial"/>
          <w:sz w:val="16"/>
          <w:szCs w:val="16"/>
          <w:color w:val="51555C"/>
        </w:rPr>
        <w:t>to</w:t>
      </w:r>
      <w:r>
        <w:rPr>
          <w:sz w:val="20"/>
          <w:szCs w:val="20"/>
          <w:color w:val="auto"/>
        </w:rPr>
        <w:tab/>
      </w:r>
      <w:r>
        <w:rPr>
          <w:rFonts w:ascii="Arial" w:cs="Arial" w:eastAsia="Arial" w:hAnsi="Arial"/>
          <w:sz w:val="16"/>
          <w:szCs w:val="16"/>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-4445</wp:posOffset>
            </wp:positionV>
            <wp:extent cx="1257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51555C"/>
        </w:rPr>
        <w:t xml:space="preserve">Commission file number: </w:t>
      </w:r>
      <w:r>
        <w:rPr>
          <w:rFonts w:ascii="Arial" w:cs="Arial" w:eastAsia="Arial" w:hAnsi="Arial"/>
          <w:sz w:val="16"/>
          <w:szCs w:val="16"/>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175260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51555C"/>
        </w:rPr>
        <w:t>Blackbaud,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p>
      <w:pPr>
        <w:spacing w:after="0" w:line="16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51555C"/>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b w:val="1"/>
          <w:bCs w:val="1"/>
          <w:color w:val="51555C"/>
        </w:rPr>
        <w:t>11-2617163</w:t>
      </w:r>
    </w:p>
    <w:p>
      <w:pPr>
        <w:spacing w:after="0" w:line="70" w:lineRule="exact"/>
        <w:rPr>
          <w:sz w:val="24"/>
          <w:szCs w:val="24"/>
          <w:color w:val="auto"/>
        </w:rPr>
      </w:pPr>
    </w:p>
    <w:p>
      <w:pPr>
        <w:sectPr>
          <w:pgSz w:w="11900" w:h="16838" w:orient="portrait"/>
          <w:cols w:equalWidth="0" w:num="2">
            <w:col w:w="7340" w:space="720"/>
            <w:col w:w="3180"/>
          </w:cols>
          <w:pgMar w:left="320" w:top="926"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51555C"/>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51555C"/>
        </w:rPr>
        <w:t>(I.R.S. Employer Identification No.)</w:t>
      </w:r>
    </w:p>
    <w:p>
      <w:pPr>
        <w:spacing w:after="0" w:line="113" w:lineRule="exact"/>
        <w:rPr>
          <w:sz w:val="24"/>
          <w:szCs w:val="24"/>
          <w:color w:val="auto"/>
        </w:rPr>
      </w:pPr>
    </w:p>
    <w:p>
      <w:pPr>
        <w:sectPr>
          <w:pgSz w:w="11900" w:h="16838" w:orient="portrait"/>
          <w:cols w:equalWidth="0" w:num="2">
            <w:col w:w="6520" w:space="720"/>
            <w:col w:w="4000"/>
          </w:cols>
          <w:pgMar w:left="320" w:top="926" w:right="339" w:bottom="1440" w:gutter="0" w:footer="0" w:header="0"/>
          <w:type w:val="continuous"/>
        </w:sectPr>
      </w:pPr>
    </w:p>
    <w:p>
      <w:pPr>
        <w:ind w:left="4920"/>
        <w:spacing w:after="0"/>
        <w:rPr>
          <w:sz w:val="20"/>
          <w:szCs w:val="20"/>
          <w:color w:val="auto"/>
        </w:rPr>
      </w:pPr>
      <w:r>
        <w:rPr>
          <w:rFonts w:ascii="Arial" w:cs="Arial" w:eastAsia="Arial" w:hAnsi="Arial"/>
          <w:sz w:val="16"/>
          <w:szCs w:val="16"/>
          <w:b w:val="1"/>
          <w:bCs w:val="1"/>
          <w:color w:val="51555C"/>
        </w:rPr>
        <w:t>65 Fairchild Street</w:t>
      </w:r>
    </w:p>
    <w:p>
      <w:pPr>
        <w:spacing w:after="0" w:line="35"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51555C"/>
        </w:rPr>
        <w:t>Charleston, South Carolina 29492</w:t>
      </w:r>
    </w:p>
    <w:p>
      <w:pPr>
        <w:spacing w:after="0" w:line="5" w:lineRule="exact"/>
        <w:rPr>
          <w:sz w:val="24"/>
          <w:szCs w:val="24"/>
          <w:color w:val="auto"/>
        </w:rPr>
      </w:pPr>
    </w:p>
    <w:p>
      <w:pPr>
        <w:ind w:left="3540"/>
        <w:spacing w:after="0"/>
        <w:rPr>
          <w:sz w:val="20"/>
          <w:szCs w:val="20"/>
          <w:color w:val="auto"/>
        </w:rPr>
      </w:pPr>
      <w:r>
        <w:rPr>
          <w:rFonts w:ascii="Arial" w:cs="Arial" w:eastAsia="Arial" w:hAnsi="Arial"/>
          <w:sz w:val="16"/>
          <w:szCs w:val="16"/>
          <w:color w:val="51555C"/>
        </w:rPr>
        <w:t>(Address of principal executive offices, including zip code)</w:t>
      </w:r>
    </w:p>
    <w:p>
      <w:pPr>
        <w:spacing w:after="0" w:line="15"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51555C"/>
        </w:rPr>
        <w:t>(843) 216-6200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51555C"/>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51555C"/>
              </w:rPr>
              <w:t>Securities Registered Pursuant to Section 12(b) of the Act:</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4"/>
        </w:trPr>
        <w:tc>
          <w:tcPr>
            <w:tcW w:w="1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51555C"/>
              </w:rPr>
              <w:t>Title of Each Class</w:t>
            </w:r>
          </w:p>
        </w:tc>
        <w:tc>
          <w:tcPr>
            <w:tcW w:w="1800" w:type="dxa"/>
            <w:vAlign w:val="bottom"/>
          </w:tcPr>
          <w:p>
            <w:pPr>
              <w:spacing w:after="0"/>
              <w:rPr>
                <w:sz w:val="17"/>
                <w:szCs w:val="17"/>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51555C"/>
              </w:rPr>
              <w:t>Trading Symbol(s)</w:t>
            </w:r>
          </w:p>
        </w:tc>
        <w:tc>
          <w:tcPr>
            <w:tcW w:w="1160" w:type="dxa"/>
            <w:vAlign w:val="bottom"/>
          </w:tcPr>
          <w:p>
            <w:pPr>
              <w:spacing w:after="0"/>
              <w:rPr>
                <w:sz w:val="17"/>
                <w:szCs w:val="17"/>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51555C"/>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51555C"/>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51555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51555C"/>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51555C"/>
              </w:rPr>
              <w:t>Common Stock, $0.001 Par Value</w:t>
            </w:r>
          </w:p>
        </w:tc>
        <w:tc>
          <w:tcPr>
            <w:tcW w:w="4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51555C"/>
                <w:w w:val="98"/>
              </w:rPr>
              <w:t>BLKB</w:t>
            </w:r>
          </w:p>
        </w:tc>
        <w:tc>
          <w:tcPr>
            <w:tcW w:w="1160" w:type="dxa"/>
            <w:vAlign w:val="bottom"/>
          </w:tcPr>
          <w:p>
            <w:pPr>
              <w:spacing w:after="0"/>
              <w:rPr>
                <w:sz w:val="23"/>
                <w:szCs w:val="23"/>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51555C"/>
              </w:rPr>
              <w:t>Nasdaq Global Select Market</w:t>
            </w:r>
          </w:p>
        </w:tc>
      </w:tr>
      <w:tr>
        <w:trPr>
          <w:trHeight w:val="62"/>
        </w:trPr>
        <w:tc>
          <w:tcPr>
            <w:tcW w:w="14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r>
    </w:tbl>
    <w:p>
      <w:pPr>
        <w:spacing w:after="0" w:line="200" w:lineRule="exact"/>
        <w:rPr>
          <w:sz w:val="24"/>
          <w:szCs w:val="24"/>
          <w:color w:val="auto"/>
        </w:rPr>
      </w:pPr>
    </w:p>
    <w:p>
      <w:pPr>
        <w:spacing w:after="0" w:line="285" w:lineRule="exact"/>
        <w:rPr>
          <w:sz w:val="24"/>
          <w:szCs w:val="24"/>
          <w:color w:val="auto"/>
        </w:rPr>
      </w:pPr>
    </w:p>
    <w:p>
      <w:pPr>
        <w:jc w:val="both"/>
        <w:spacing w:after="0" w:line="264" w:lineRule="auto"/>
        <w:rPr>
          <w:sz w:val="20"/>
          <w:szCs w:val="20"/>
          <w:color w:val="auto"/>
        </w:rPr>
      </w:pPr>
      <w:r>
        <w:rPr>
          <w:rFonts w:ascii="Arial" w:cs="Arial" w:eastAsia="Arial" w:hAnsi="Arial"/>
          <w:sz w:val="16"/>
          <w:szCs w:val="16"/>
          <w:color w:val="51555C"/>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rPr>
          <w:sz w:val="20"/>
          <w:szCs w:val="20"/>
          <w:color w:val="auto"/>
        </w:rPr>
      </w:pPr>
      <w:r>
        <w:rPr>
          <w:rFonts w:ascii="Arial" w:cs="Arial" w:eastAsia="Arial" w:hAnsi="Arial"/>
          <w:sz w:val="16"/>
          <w:szCs w:val="16"/>
          <w:color w:val="51555C"/>
        </w:rPr>
        <w:t>requirements for the past 90 days.</w:t>
      </w:r>
    </w:p>
    <w:p>
      <w:pPr>
        <w:spacing w:after="0" w:line="31"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ab/>
        <w:t xml:space="preserve">No </w:t>
      </w:r>
      <w:r>
        <w:rPr>
          <w:rFonts w:ascii="MS PGothic" w:cs="MS PGothic" w:eastAsia="MS PGothic" w:hAnsi="MS PGothic"/>
          <w:sz w:val="19"/>
          <w:szCs w:val="19"/>
          <w:color w:val="51555C"/>
        </w:rPr>
        <w:t>☐</w:t>
      </w:r>
    </w:p>
    <w:p>
      <w:pPr>
        <w:spacing w:after="0" w:line="10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51555C"/>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ab/>
        <w:t xml:space="preserve">No </w:t>
      </w:r>
      <w:r>
        <w:rPr>
          <w:rFonts w:ascii="MS PGothic" w:cs="MS PGothic" w:eastAsia="MS PGothic" w:hAnsi="MS PGothic"/>
          <w:sz w:val="19"/>
          <w:szCs w:val="19"/>
          <w:color w:val="51555C"/>
        </w:rPr>
        <w:t>☐</w:t>
      </w:r>
    </w:p>
    <w:p>
      <w:pPr>
        <w:spacing w:after="0" w:line="113"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51555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2040" w:type="dxa"/>
            <w:vAlign w:val="bottom"/>
          </w:tcPr>
          <w:p>
            <w:pPr>
              <w:spacing w:after="0"/>
              <w:rPr>
                <w:sz w:val="20"/>
                <w:szCs w:val="20"/>
                <w:color w:val="auto"/>
              </w:rPr>
            </w:pPr>
            <w:r>
              <w:rPr>
                <w:rFonts w:ascii="Arial" w:cs="Arial" w:eastAsia="Arial" w:hAnsi="Arial"/>
                <w:sz w:val="16"/>
                <w:szCs w:val="16"/>
                <w:color w:val="51555C"/>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rPr>
              <w:t>☑</w:t>
            </w:r>
          </w:p>
        </w:tc>
        <w:tc>
          <w:tcPr>
            <w:tcW w:w="5120" w:type="dxa"/>
            <w:vAlign w:val="bottom"/>
          </w:tcPr>
          <w:p>
            <w:pPr>
              <w:ind w:left="2740"/>
              <w:spacing w:after="0"/>
              <w:rPr>
                <w:sz w:val="20"/>
                <w:szCs w:val="20"/>
                <w:color w:val="auto"/>
              </w:rPr>
            </w:pPr>
            <w:r>
              <w:rPr>
                <w:rFonts w:ascii="Arial" w:cs="Arial" w:eastAsia="Arial" w:hAnsi="Arial"/>
                <w:sz w:val="16"/>
                <w:szCs w:val="16"/>
                <w:color w:val="51555C"/>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297"/>
        </w:trPr>
        <w:tc>
          <w:tcPr>
            <w:tcW w:w="2040" w:type="dxa"/>
            <w:vAlign w:val="bottom"/>
          </w:tcPr>
          <w:p>
            <w:pPr>
              <w:spacing w:after="0"/>
              <w:rPr>
                <w:sz w:val="20"/>
                <w:szCs w:val="20"/>
                <w:color w:val="auto"/>
              </w:rPr>
            </w:pPr>
            <w:r>
              <w:rPr>
                <w:rFonts w:ascii="Arial" w:cs="Arial" w:eastAsia="Arial" w:hAnsi="Arial"/>
                <w:sz w:val="16"/>
                <w:szCs w:val="16"/>
                <w:color w:val="51555C"/>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rPr>
              <w:t>☐</w:t>
            </w:r>
          </w:p>
        </w:tc>
        <w:tc>
          <w:tcPr>
            <w:tcW w:w="5120" w:type="dxa"/>
            <w:vAlign w:val="bottom"/>
          </w:tcPr>
          <w:p>
            <w:pPr>
              <w:ind w:left="2740"/>
              <w:spacing w:after="0"/>
              <w:rPr>
                <w:sz w:val="20"/>
                <w:szCs w:val="20"/>
                <w:color w:val="auto"/>
              </w:rPr>
            </w:pPr>
            <w:r>
              <w:rPr>
                <w:rFonts w:ascii="Arial" w:cs="Arial" w:eastAsia="Arial" w:hAnsi="Arial"/>
                <w:sz w:val="16"/>
                <w:szCs w:val="16"/>
                <w:color w:val="51555C"/>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334"/>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51555C"/>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bl>
    <w:p>
      <w:pPr>
        <w:spacing w:after="0" w:line="85" w:lineRule="exact"/>
        <w:rPr>
          <w:sz w:val="24"/>
          <w:szCs w:val="24"/>
          <w:color w:val="auto"/>
        </w:rPr>
      </w:pPr>
    </w:p>
    <w:p>
      <w:pPr>
        <w:ind w:right="20"/>
        <w:spacing w:after="0" w:line="234" w:lineRule="exact"/>
        <w:rPr>
          <w:sz w:val="20"/>
          <w:szCs w:val="20"/>
          <w:color w:val="auto"/>
        </w:rPr>
      </w:pPr>
      <w:r>
        <w:rPr>
          <w:rFonts w:ascii="Arial" w:cs="Arial" w:eastAsia="Arial" w:hAnsi="Arial"/>
          <w:sz w:val="16"/>
          <w:szCs w:val="16"/>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51555C"/>
        </w:rPr>
        <w:t>☐</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51555C"/>
        </w:rPr>
        <w:t>Indicate by check mark whether registrant is a shell company (as defined in Rule 12b-2 of the Exchange Act).</w:t>
      </w:r>
    </w:p>
    <w:p>
      <w:pPr>
        <w:spacing w:after="0" w:line="24" w:lineRule="exact"/>
        <w:rPr>
          <w:sz w:val="24"/>
          <w:szCs w:val="24"/>
          <w:color w:val="auto"/>
        </w:rPr>
      </w:pPr>
    </w:p>
    <w:p>
      <w:pPr>
        <w:spacing w:after="0" w:line="219" w:lineRule="exact"/>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 xml:space="preserve"> No </w:t>
      </w:r>
      <w:r>
        <w:rPr>
          <w:rFonts w:ascii="MS PGothic" w:cs="MS PGothic" w:eastAsia="MS PGothic" w:hAnsi="MS PGothic"/>
          <w:sz w:val="19"/>
          <w:szCs w:val="19"/>
          <w:color w:val="51555C"/>
        </w:rPr>
        <w: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51555C"/>
        </w:rPr>
        <w:t>The number of shares of the registrant’s Common Stock outstanding as of October 26, 2026 was 44,978,875.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25" w:lineRule="exact"/>
        <w:rPr>
          <w:sz w:val="20"/>
          <w:szCs w:val="20"/>
          <w:color w:val="auto"/>
        </w:rPr>
      </w:pPr>
    </w:p>
    <w:p>
      <w:pPr>
        <w:ind w:left="20" w:right="2760"/>
        <w:spacing w:after="0" w:line="403" w:lineRule="auto"/>
        <w:rPr>
          <w:sz w:val="20"/>
          <w:szCs w:val="20"/>
          <w:color w:val="auto"/>
        </w:rPr>
      </w:pPr>
      <w:r>
        <w:rPr>
          <w:rFonts w:ascii="Arial" w:cs="Arial" w:eastAsia="Arial" w:hAnsi="Arial"/>
          <w:sz w:val="20"/>
          <w:szCs w:val="20"/>
          <w:b w:val="1"/>
          <w:bCs w:val="1"/>
          <w:color w:val="004054"/>
        </w:rPr>
        <w:t>CAUTIONARY STATEMENT REGARDING FORWARD-LOOKING STATEMENTS 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0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20"/>
        <w:spacing w:after="0"/>
        <w:tabs>
          <w:tab w:leader="none" w:pos="1060" w:val="left"/>
        </w:tabs>
        <w:rPr>
          <w:sz w:val="20"/>
          <w:szCs w:val="20"/>
          <w:color w:val="auto"/>
        </w:rPr>
      </w:pPr>
      <w:r>
        <w:rPr>
          <w:rFonts w:ascii="Arial" w:cs="Arial" w:eastAsia="Arial" w:hAnsi="Arial"/>
          <w:sz w:val="18"/>
          <w:szCs w:val="18"/>
          <w:color w:val="51555C"/>
        </w:rPr>
        <w:t>Item 1.</w:t>
      </w:r>
      <w:r>
        <w:rPr>
          <w:sz w:val="20"/>
          <w:szCs w:val="20"/>
          <w:color w:val="auto"/>
        </w:rPr>
        <w:tab/>
      </w:r>
      <w:r>
        <w:rPr>
          <w:rFonts w:ascii="Arial" w:cs="Arial" w:eastAsia="Arial" w:hAnsi="Arial"/>
          <w:sz w:val="17"/>
          <w:szCs w:val="17"/>
          <w:color w:val="51555C"/>
        </w:rPr>
        <w:t>Financial statements</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Balance Sheets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Statements of Comprehensive Income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Statements of Cash Flows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Condensed Consolidated Statements of Stockholders’ Equity (Unaudited)</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51555C"/>
        </w:rPr>
        <w:t>Notes to Condensed Consolidated Financial Statements (Unaudited)</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2.</w:t>
      </w:r>
      <w:r>
        <w:rPr>
          <w:sz w:val="20"/>
          <w:szCs w:val="20"/>
          <w:color w:val="auto"/>
        </w:rPr>
        <w:tab/>
      </w:r>
      <w:r>
        <w:rPr>
          <w:rFonts w:ascii="Arial" w:cs="Arial" w:eastAsia="Arial" w:hAnsi="Arial"/>
          <w:sz w:val="18"/>
          <w:szCs w:val="18"/>
          <w:color w:val="51555C"/>
        </w:rPr>
        <w:t>Management's discussion and analysis of financial condition and results of operations</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3.</w:t>
      </w:r>
      <w:r>
        <w:rPr>
          <w:sz w:val="20"/>
          <w:szCs w:val="20"/>
          <w:color w:val="auto"/>
        </w:rPr>
        <w:tab/>
      </w:r>
      <w:r>
        <w:rPr>
          <w:rFonts w:ascii="Arial" w:cs="Arial" w:eastAsia="Arial" w:hAnsi="Arial"/>
          <w:sz w:val="17"/>
          <w:szCs w:val="17"/>
          <w:color w:val="51555C"/>
        </w:rPr>
        <w:t>Quantitative and qualitative disclosures about market risk</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4.</w:t>
      </w:r>
      <w:r>
        <w:rPr>
          <w:sz w:val="20"/>
          <w:szCs w:val="20"/>
          <w:color w:val="auto"/>
        </w:rPr>
        <w:tab/>
      </w:r>
      <w:r>
        <w:rPr>
          <w:rFonts w:ascii="Arial" w:cs="Arial" w:eastAsia="Arial" w:hAnsi="Arial"/>
          <w:sz w:val="17"/>
          <w:szCs w:val="17"/>
          <w:color w:val="51555C"/>
        </w:rPr>
        <w:t>Controls and procedures</w:t>
      </w:r>
    </w:p>
    <w:p>
      <w:pPr>
        <w:spacing w:after="0" w:line="382"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20"/>
          <w:szCs w:val="20"/>
          <w:b w:val="1"/>
          <w:bCs w:val="1"/>
          <w:color w:val="004054"/>
        </w:rPr>
        <w:t>PART II.</w:t>
      </w:r>
      <w:r>
        <w:rPr>
          <w:sz w:val="20"/>
          <w:szCs w:val="20"/>
          <w:color w:val="auto"/>
        </w:rPr>
        <w:tab/>
      </w:r>
      <w:r>
        <w:rPr>
          <w:rFonts w:ascii="Arial" w:cs="Arial" w:eastAsia="Arial" w:hAnsi="Arial"/>
          <w:sz w:val="19"/>
          <w:szCs w:val="19"/>
          <w:b w:val="1"/>
          <w:bCs w:val="1"/>
          <w:color w:val="0040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06"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1.</w:t>
      </w:r>
      <w:r>
        <w:rPr>
          <w:sz w:val="20"/>
          <w:szCs w:val="20"/>
          <w:color w:val="auto"/>
        </w:rPr>
        <w:tab/>
      </w:r>
      <w:r>
        <w:rPr>
          <w:rFonts w:ascii="Arial" w:cs="Arial" w:eastAsia="Arial" w:hAnsi="Arial"/>
          <w:sz w:val="17"/>
          <w:szCs w:val="17"/>
          <w:color w:val="51555C"/>
        </w:rPr>
        <w:t>Legal proceedings</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2.</w:t>
      </w:r>
      <w:r>
        <w:rPr>
          <w:sz w:val="20"/>
          <w:szCs w:val="20"/>
          <w:color w:val="auto"/>
        </w:rPr>
        <w:tab/>
      </w:r>
      <w:r>
        <w:rPr>
          <w:rFonts w:ascii="Arial" w:cs="Arial" w:eastAsia="Arial" w:hAnsi="Arial"/>
          <w:sz w:val="17"/>
          <w:szCs w:val="17"/>
          <w:color w:val="51555C"/>
        </w:rPr>
        <w:t>Unregistered sales of equity securities and use of proceeds</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5.</w:t>
      </w:r>
      <w:r>
        <w:rPr>
          <w:sz w:val="20"/>
          <w:szCs w:val="20"/>
          <w:color w:val="auto"/>
        </w:rPr>
        <w:tab/>
      </w:r>
      <w:r>
        <w:rPr>
          <w:rFonts w:ascii="Arial" w:cs="Arial" w:eastAsia="Arial" w:hAnsi="Arial"/>
          <w:sz w:val="17"/>
          <w:szCs w:val="17"/>
          <w:color w:val="51555C"/>
        </w:rPr>
        <w:t>Other information</w:t>
      </w:r>
    </w:p>
    <w:p>
      <w:pPr>
        <w:spacing w:after="0" w:line="11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color w:val="51555C"/>
        </w:rPr>
        <w:t>Item 6.</w:t>
      </w:r>
      <w:r>
        <w:rPr>
          <w:sz w:val="20"/>
          <w:szCs w:val="20"/>
          <w:color w:val="auto"/>
        </w:rPr>
        <w:tab/>
      </w:r>
      <w:r>
        <w:rPr>
          <w:rFonts w:ascii="Arial" w:cs="Arial" w:eastAsia="Arial" w:hAnsi="Arial"/>
          <w:sz w:val="17"/>
          <w:szCs w:val="17"/>
          <w:color w:val="51555C"/>
        </w:rPr>
        <w:t>Exhibits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054"/>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51555C"/>
        </w:rPr>
        <w:t>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41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846455</wp:posOffset>
            </wp:positionV>
            <wp:extent cx="6769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51555C"/>
        </w:rPr>
        <w:t>1</w:t>
      </w:r>
    </w:p>
    <w:p>
      <w:pPr>
        <w:sectPr>
          <w:pgSz w:w="11900" w:h="16838" w:orient="portrait"/>
          <w:cols w:equalWidth="0" w:num="2">
            <w:col w:w="10020" w:space="720"/>
            <w:col w:w="480"/>
          </w:cols>
          <w:pgMar w:left="320" w:top="1091"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7A04DD"/>
        </w:rPr>
        <w:t>Table of Contents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80" w:right="640" w:hanging="476"/>
        <w:spacing w:after="0"/>
        <w:rPr>
          <w:sz w:val="20"/>
          <w:szCs w:val="20"/>
          <w:color w:val="auto"/>
        </w:rPr>
      </w:pPr>
      <w:r>
        <w:rPr>
          <w:sz w:val="1"/>
          <w:szCs w:val="1"/>
          <w:color w:val="auto"/>
        </w:rPr>
        <w:drawing>
          <wp:inline distT="0" distB="0" distL="0" distR="0">
            <wp:extent cx="248285" cy="248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CAUTIONARY STATEMENT REGARDING FORWARD-LOOKING STATEMENTS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developed and acquired businesses and technologies, including artificial intelligence ("AI"), the effect of our stock repurchase program,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Important factors that could cause actual results to differ materially from our expectations expressed in forward-looking statements include, but are not limited to, those summarized elsewhere in this report, in our Annual Report on Form 10-K for the year ended December 31, 2025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pacing w:after="0" w:line="30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51555C"/>
        </w:rPr>
        <w:t>2</w:t>
      </w:r>
      <w:r>
        <w:rPr>
          <w:sz w:val="20"/>
          <w:szCs w:val="20"/>
          <w:color w:val="auto"/>
        </w:rPr>
        <w:tab/>
      </w:r>
      <w:r>
        <w:rPr>
          <w:sz w:val="1"/>
          <w:szCs w:val="1"/>
          <w:color w:val="auto"/>
        </w:rPr>
        <w:drawing>
          <wp:inline distT="0" distB="0" distL="0" distR="0">
            <wp:extent cx="676910" cy="171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ind w:left="140"/>
        <w:spacing w:after="0"/>
        <w:rPr>
          <w:sz w:val="20"/>
          <w:szCs w:val="20"/>
          <w:color w:val="auto"/>
        </w:rPr>
      </w:pPr>
      <w:r>
        <w:rPr>
          <w:sz w:val="1"/>
          <w:szCs w:val="1"/>
          <w:color w:val="auto"/>
        </w:rPr>
        <w:drawing>
          <wp:inline distT="0" distB="0" distL="0" distR="0">
            <wp:extent cx="248285" cy="2482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285" cy="2482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381"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FINANCIAL STATEMENTS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30" w:type="dxa"/>
            <w:vAlign w:val="bottom"/>
            <w:shd w:val="clear" w:color="auto" w:fill="004054"/>
          </w:tcPr>
          <w:p>
            <w:pPr>
              <w:spacing w:after="0"/>
              <w:rPr>
                <w:sz w:val="17"/>
                <w:szCs w:val="17"/>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96"/>
        </w:trPr>
        <w:tc>
          <w:tcPr>
            <w:tcW w:w="793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5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9"/>
        </w:trPr>
        <w:tc>
          <w:tcPr>
            <w:tcW w:w="7930" w:type="dxa"/>
            <w:vAlign w:val="bottom"/>
            <w:shd w:val="clear" w:color="auto" w:fill="004054"/>
          </w:tcPr>
          <w:p>
            <w:pPr>
              <w:spacing w:after="0"/>
              <w:rPr>
                <w:sz w:val="2"/>
                <w:szCs w:val="2"/>
                <w:color w:val="auto"/>
              </w:rPr>
            </w:pPr>
          </w:p>
        </w:tc>
        <w:tc>
          <w:tcPr>
            <w:tcW w:w="1640" w:type="dxa"/>
            <w:vAlign w:val="bottom"/>
            <w:shd w:val="clear" w:color="auto" w:fill="004054"/>
          </w:tcPr>
          <w:p>
            <w:pPr>
              <w:spacing w:after="0"/>
              <w:rPr>
                <w:sz w:val="2"/>
                <w:szCs w:val="2"/>
                <w:color w:val="auto"/>
              </w:rPr>
            </w:pPr>
          </w:p>
        </w:tc>
        <w:tc>
          <w:tcPr>
            <w:tcW w:w="1650" w:type="dxa"/>
            <w:vAlign w:val="bottom"/>
            <w:shd w:val="clear" w:color="auto" w:fill="00405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Assets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Cash and cash equivalents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83210"/>
                    </a:xfrm>
                    <a:prstGeom prst="rect">
                      <a:avLst/>
                    </a:prstGeom>
                    <a:noFill/>
                  </pic:spPr>
                </pic:pic>
              </a:graphicData>
            </a:graphic>
          </wp:anchor>
        </w:drawing>
      </w:r>
    </w:p>
    <w:p>
      <w:pPr>
        <w:spacing w:after="0" w:line="3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51555C"/>
        </w:rPr>
        <w:t>Accounts receivable, net of allowance of $6,529 and $5,876 at September 30, 2026 and December 31, 2025, respectively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Prepaid expenses and other current assets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Property and equipment, net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Software development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Goodwill</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Other assets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51555C"/>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Liabilities and stockholders’ equity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Trade accounts payable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Due to customers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Debt,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Deferred revenue, current portion</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Debt, net of current portion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Deferred revenue, net of current portion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51555C"/>
        </w:rPr>
        <w:t>Total liabilities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Commitments and contingencies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Stockholders’ equity: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Preferred stock; 20,000,000 shares authorized, none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403225"/>
                    </a:xfrm>
                    <a:prstGeom prst="rect">
                      <a:avLst/>
                    </a:prstGeom>
                    <a:noFill/>
                  </pic:spPr>
                </pic:pic>
              </a:graphicData>
            </a:graphic>
          </wp:anchor>
        </w:drawing>
      </w:r>
    </w:p>
    <w:p>
      <w:pPr>
        <w:spacing w:after="0" w:line="39" w:lineRule="exact"/>
        <w:rPr>
          <w:sz w:val="20"/>
          <w:szCs w:val="20"/>
          <w:color w:val="auto"/>
        </w:rPr>
      </w:pPr>
    </w:p>
    <w:p>
      <w:pPr>
        <w:ind w:left="460" w:right="80"/>
        <w:spacing w:after="0" w:line="275" w:lineRule="auto"/>
        <w:rPr>
          <w:sz w:val="20"/>
          <w:szCs w:val="20"/>
          <w:color w:val="auto"/>
        </w:rPr>
      </w:pPr>
      <w:r>
        <w:rPr>
          <w:rFonts w:ascii="Arial" w:cs="Arial" w:eastAsia="Arial" w:hAnsi="Arial"/>
          <w:sz w:val="16"/>
          <w:szCs w:val="16"/>
          <w:color w:val="51555C"/>
        </w:rPr>
        <w:t>Common stock, $0.001 par value; 180,000,000 shares authorized, 74,080,118 and 72,312,354 shares issued at September 30, 2026 and December 31, 2025, respectively; 45,102,406 and 46,705,325 shares outstanding at September 30, 2026 and December 31, 2025, respectively</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283210"/>
                    </a:xfrm>
                    <a:prstGeom prst="rect">
                      <a:avLst/>
                    </a:prstGeom>
                    <a:noFill/>
                  </pic:spPr>
                </pic:pic>
              </a:graphicData>
            </a:graphic>
          </wp:anchor>
        </w:drawing>
      </w:r>
    </w:p>
    <w:p>
      <w:pPr>
        <w:spacing w:after="0" w:line="39"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51555C"/>
        </w:rPr>
        <w:t>Treasury stock, at cost; 28,977,712 and 25,607,029 shares at September 30, 2026 and December 31, 2025, respectively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259"/>
              <w:spacing w:after="0"/>
              <w:rPr>
                <w:sz w:val="20"/>
                <w:szCs w:val="20"/>
                <w:color w:val="auto"/>
              </w:rPr>
            </w:pPr>
            <w:r>
              <w:rPr>
                <w:rFonts w:ascii="Arial" w:cs="Arial" w:eastAsia="Arial" w:hAnsi="Arial"/>
                <w:sz w:val="16"/>
                <w:szCs w:val="16"/>
                <w:color w:val="51555C"/>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35,734</w:t>
            </w:r>
          </w:p>
        </w:tc>
        <w:tc>
          <w:tcPr>
            <w:tcW w:w="460" w:type="dxa"/>
            <w:vAlign w:val="bottom"/>
          </w:tcPr>
          <w:p>
            <w:pPr>
              <w:jc w:val="right"/>
              <w:ind w:right="259"/>
              <w:spacing w:after="0"/>
              <w:rPr>
                <w:sz w:val="20"/>
                <w:szCs w:val="20"/>
                <w:color w:val="auto"/>
              </w:rPr>
            </w:pPr>
            <w:r>
              <w:rPr>
                <w:rFonts w:ascii="Arial" w:cs="Arial" w:eastAsia="Arial" w:hAnsi="Arial"/>
                <w:sz w:val="16"/>
                <w:szCs w:val="16"/>
                <w:color w:val="51555C"/>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38,914</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428,166</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720,061</w:t>
            </w:r>
          </w:p>
        </w:tc>
      </w:tr>
      <w:tr>
        <w:trPr>
          <w:trHeight w:val="446"/>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76,214</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80,517</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3,918</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1,308</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86,064</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89,290</w:t>
            </w:r>
          </w:p>
        </w:tc>
      </w:tr>
      <w:tr>
        <w:trPr>
          <w:trHeight w:val="228"/>
        </w:trPr>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630,096</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930,090</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83,827</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85,076</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159,048</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155,842</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1,055,937</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1,056,815</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87,413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106,654</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90,516</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56,205</w:t>
            </w:r>
          </w:p>
        </w:tc>
      </w:tr>
      <w:tr>
        <w:trPr>
          <w:trHeight w:val="236"/>
        </w:trPr>
        <w:tc>
          <w:tcPr>
            <w:tcW w:w="440" w:type="dxa"/>
            <w:vAlign w:val="bottom"/>
            <w:tcBorders>
              <w:bottom w:val="single" w:sz="8" w:color="51555C"/>
            </w:tcBorders>
          </w:tcPr>
          <w:p>
            <w:pPr>
              <w:jc w:val="right"/>
              <w:ind w:right="259"/>
              <w:spacing w:after="0"/>
              <w:rPr>
                <w:sz w:val="20"/>
                <w:szCs w:val="20"/>
                <w:color w:val="auto"/>
              </w:rPr>
            </w:pPr>
            <w:r>
              <w:rPr>
                <w:rFonts w:ascii="Arial" w:cs="Arial" w:eastAsia="Arial" w:hAnsi="Arial"/>
                <w:sz w:val="16"/>
                <w:szCs w:val="16"/>
                <w:color w:val="51555C"/>
                <w:w w:val="89"/>
              </w:rPr>
              <w:t>$</w:t>
            </w: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2,106,837</w:t>
            </w:r>
          </w:p>
        </w:tc>
        <w:tc>
          <w:tcPr>
            <w:tcW w:w="460" w:type="dxa"/>
            <w:vAlign w:val="bottom"/>
            <w:tcBorders>
              <w:bottom w:val="single" w:sz="8" w:color="51555C"/>
            </w:tcBorders>
          </w:tcPr>
          <w:p>
            <w:pPr>
              <w:jc w:val="right"/>
              <w:ind w:right="259"/>
              <w:spacing w:after="0"/>
              <w:rPr>
                <w:sz w:val="20"/>
                <w:szCs w:val="20"/>
                <w:color w:val="auto"/>
              </w:rPr>
            </w:pPr>
            <w:r>
              <w:rPr>
                <w:rFonts w:ascii="Arial" w:cs="Arial" w:eastAsia="Arial" w:hAnsi="Arial"/>
                <w:sz w:val="16"/>
                <w:szCs w:val="16"/>
                <w:color w:val="51555C"/>
              </w:rPr>
              <w:t>$</w:t>
            </w: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2,390,682</w:t>
            </w:r>
          </w:p>
        </w:tc>
      </w:tr>
      <w:tr>
        <w:trPr>
          <w:trHeight w:val="700"/>
        </w:trPr>
        <w:tc>
          <w:tcPr>
            <w:tcW w:w="440" w:type="dxa"/>
            <w:vAlign w:val="bottom"/>
          </w:tcPr>
          <w:p>
            <w:pPr>
              <w:jc w:val="right"/>
              <w:ind w:right="259"/>
              <w:spacing w:after="0"/>
              <w:rPr>
                <w:sz w:val="20"/>
                <w:szCs w:val="20"/>
                <w:color w:val="auto"/>
              </w:rPr>
            </w:pPr>
            <w:r>
              <w:rPr>
                <w:rFonts w:ascii="Arial" w:cs="Arial" w:eastAsia="Arial" w:hAnsi="Arial"/>
                <w:sz w:val="16"/>
                <w:szCs w:val="16"/>
                <w:color w:val="51555C"/>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38,404</w:t>
            </w:r>
          </w:p>
        </w:tc>
        <w:tc>
          <w:tcPr>
            <w:tcW w:w="460" w:type="dxa"/>
            <w:vAlign w:val="bottom"/>
          </w:tcPr>
          <w:p>
            <w:pPr>
              <w:jc w:val="right"/>
              <w:ind w:right="259"/>
              <w:spacing w:after="0"/>
              <w:rPr>
                <w:sz w:val="20"/>
                <w:szCs w:val="20"/>
                <w:color w:val="auto"/>
              </w:rPr>
            </w:pPr>
            <w:r>
              <w:rPr>
                <w:rFonts w:ascii="Arial" w:cs="Arial" w:eastAsia="Arial" w:hAnsi="Arial"/>
                <w:sz w:val="16"/>
                <w:szCs w:val="16"/>
                <w:color w:val="51555C"/>
              </w:rPr>
              <w:t>$</w:t>
            </w:r>
          </w:p>
        </w:tc>
        <w:tc>
          <w:tcPr>
            <w:tcW w:w="1200" w:type="dxa"/>
            <w:vAlign w:val="bottom"/>
          </w:tcPr>
          <w:p>
            <w:pPr>
              <w:jc w:val="right"/>
              <w:spacing w:after="0"/>
              <w:rPr>
                <w:sz w:val="20"/>
                <w:szCs w:val="20"/>
                <w:color w:val="auto"/>
              </w:rPr>
            </w:pPr>
            <w:r>
              <w:rPr>
                <w:rFonts w:ascii="Arial" w:cs="Arial" w:eastAsia="Arial" w:hAnsi="Arial"/>
                <w:sz w:val="16"/>
                <w:szCs w:val="16"/>
                <w:color w:val="51555C"/>
              </w:rPr>
              <w:t>27,344</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51,047</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43,272</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430,703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719,833</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22,654</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22,660</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380,989</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368,986</w:t>
            </w:r>
          </w:p>
        </w:tc>
      </w:tr>
      <w:tr>
        <w:trPr>
          <w:trHeight w:val="228"/>
        </w:trPr>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923,797</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1,182,095</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1,022,143</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1,087,037</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25,100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21,981</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3,674</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2,778</w:t>
            </w:r>
          </w:p>
        </w:tc>
      </w:tr>
      <w:tr>
        <w:trPr>
          <w:trHeight w:val="252"/>
        </w:trPr>
        <w:tc>
          <w:tcPr>
            <w:tcW w:w="44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12,638</w:t>
            </w:r>
          </w:p>
        </w:tc>
        <w:tc>
          <w:tcPr>
            <w:tcW w:w="460" w:type="dxa"/>
            <w:vAlign w:val="bottom"/>
            <w:tcBorders>
              <w:bottom w:val="single" w:sz="8" w:color="51555C"/>
            </w:tcBorders>
          </w:tcPr>
          <w:p>
            <w:pPr>
              <w:spacing w:after="0"/>
              <w:rPr>
                <w:sz w:val="21"/>
                <w:szCs w:val="21"/>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11,737</w:t>
            </w:r>
          </w:p>
        </w:tc>
      </w:tr>
      <w:tr>
        <w:trPr>
          <w:trHeight w:val="236"/>
        </w:trPr>
        <w:tc>
          <w:tcPr>
            <w:tcW w:w="440" w:type="dxa"/>
            <w:vAlign w:val="bottom"/>
            <w:tcBorders>
              <w:bottom w:val="single" w:sz="8" w:color="51555C"/>
            </w:tcBorders>
          </w:tcPr>
          <w:p>
            <w:pPr>
              <w:spacing w:after="0"/>
              <w:rPr>
                <w:sz w:val="20"/>
                <w:szCs w:val="20"/>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1,987,352</w:t>
            </w:r>
          </w:p>
        </w:tc>
        <w:tc>
          <w:tcPr>
            <w:tcW w:w="460" w:type="dxa"/>
            <w:vAlign w:val="bottom"/>
            <w:tcBorders>
              <w:bottom w:val="single" w:sz="8" w:color="51555C"/>
            </w:tcBorders>
          </w:tcPr>
          <w:p>
            <w:pPr>
              <w:spacing w:after="0"/>
              <w:rPr>
                <w:sz w:val="20"/>
                <w:szCs w:val="20"/>
                <w:color w:val="auto"/>
              </w:rPr>
            </w:pPr>
          </w:p>
        </w:tc>
        <w:tc>
          <w:tcPr>
            <w:tcW w:w="12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2,305,628</w:t>
            </w:r>
          </w:p>
        </w:tc>
      </w:tr>
      <w:tr>
        <w:trPr>
          <w:trHeight w:val="700"/>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635"/>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74</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72</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1,459,322</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1,391,641</w:t>
            </w:r>
          </w:p>
        </w:tc>
      </w:tr>
      <w:tr>
        <w:trPr>
          <w:trHeight w:val="446"/>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(1,471,199)</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(1,316,224)</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3,210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(5,948)</w:t>
            </w:r>
          </w:p>
        </w:tc>
      </w:tr>
      <w:tr>
        <w:trPr>
          <w:trHeight w:val="243"/>
        </w:trPr>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128,078</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51555C"/>
              </w:rPr>
              <w:t>15,513</w:t>
            </w:r>
          </w:p>
        </w:tc>
      </w:tr>
    </w:tbl>
    <w:p>
      <w:pPr>
        <w:spacing w:after="0" w:line="1" w:lineRule="exact"/>
        <w:rPr>
          <w:sz w:val="20"/>
          <w:szCs w:val="20"/>
          <w:color w:val="auto"/>
        </w:rPr>
      </w:pPr>
    </w:p>
    <w:p>
      <w:pPr>
        <w:sectPr>
          <w:pgSz w:w="11900" w:h="16838" w:orient="portrait"/>
          <w:cols w:equalWidth="0" w:num="2">
            <w:col w:w="7820" w:space="100"/>
            <w:col w:w="3320"/>
          </w:cols>
          <w:pgMar w:left="320" w:top="977"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7920" w:type="dxa"/>
            <w:vAlign w:val="bottom"/>
            <w:tcBorders>
              <w:bottom w:val="single" w:sz="8" w:color="EBFBFF"/>
            </w:tcBorders>
          </w:tcPr>
          <w:p>
            <w:pPr>
              <w:ind w:left="900"/>
              <w:spacing w:after="0"/>
              <w:rPr>
                <w:sz w:val="20"/>
                <w:szCs w:val="20"/>
                <w:color w:val="auto"/>
              </w:rPr>
            </w:pPr>
            <w:r>
              <w:rPr>
                <w:rFonts w:ascii="Arial" w:cs="Arial" w:eastAsia="Arial" w:hAnsi="Arial"/>
                <w:sz w:val="16"/>
                <w:szCs w:val="16"/>
                <w:b w:val="1"/>
                <w:bCs w:val="1"/>
                <w:color w:val="51555C"/>
              </w:rPr>
              <w:t>Total stockholders’ equity</w:t>
            </w:r>
          </w:p>
        </w:tc>
        <w:tc>
          <w:tcPr>
            <w:tcW w:w="480" w:type="dxa"/>
            <w:vAlign w:val="bottom"/>
            <w:tcBorders>
              <w:top w:val="single" w:sz="8" w:color="51555C"/>
              <w:bottom w:val="single" w:sz="8" w:color="51555C"/>
            </w:tcBorders>
          </w:tcPr>
          <w:p>
            <w:pPr>
              <w:spacing w:after="0"/>
              <w:rPr>
                <w:sz w:val="21"/>
                <w:szCs w:val="21"/>
                <w:color w:val="auto"/>
              </w:rPr>
            </w:pPr>
          </w:p>
        </w:tc>
        <w:tc>
          <w:tcPr>
            <w:tcW w:w="114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6"/>
                <w:szCs w:val="16"/>
                <w:color w:val="51555C"/>
              </w:rPr>
              <w:t>119,485</w:t>
            </w:r>
          </w:p>
        </w:tc>
        <w:tc>
          <w:tcPr>
            <w:tcW w:w="500" w:type="dxa"/>
            <w:vAlign w:val="bottom"/>
            <w:tcBorders>
              <w:top w:val="single" w:sz="8" w:color="51555C"/>
              <w:bottom w:val="single" w:sz="8" w:color="51555C"/>
            </w:tcBorders>
          </w:tcPr>
          <w:p>
            <w:pPr>
              <w:spacing w:after="0"/>
              <w:rPr>
                <w:sz w:val="21"/>
                <w:szCs w:val="21"/>
                <w:color w:val="auto"/>
              </w:rPr>
            </w:pPr>
          </w:p>
        </w:tc>
        <w:tc>
          <w:tcPr>
            <w:tcW w:w="118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6"/>
                <w:szCs w:val="16"/>
                <w:color w:val="51555C"/>
              </w:rPr>
              <w:t>85,054</w:t>
            </w:r>
          </w:p>
        </w:tc>
      </w:tr>
      <w:tr>
        <w:trPr>
          <w:trHeight w:val="235"/>
        </w:trPr>
        <w:tc>
          <w:tcPr>
            <w:tcW w:w="7920" w:type="dxa"/>
            <w:vAlign w:val="bottom"/>
            <w:tcBorders>
              <w:bottom w:val="single" w:sz="8" w:color="0CD973"/>
            </w:tcBorders>
            <w:shd w:val="clear" w:color="auto" w:fill="EBFBFF"/>
          </w:tcPr>
          <w:p>
            <w:pPr>
              <w:ind w:left="900"/>
              <w:spacing w:after="0"/>
              <w:rPr>
                <w:sz w:val="20"/>
                <w:szCs w:val="20"/>
                <w:color w:val="auto"/>
              </w:rPr>
            </w:pPr>
            <w:r>
              <w:rPr>
                <w:rFonts w:ascii="Arial" w:cs="Arial" w:eastAsia="Arial" w:hAnsi="Arial"/>
                <w:sz w:val="16"/>
                <w:szCs w:val="16"/>
                <w:b w:val="1"/>
                <w:bCs w:val="1"/>
                <w:color w:val="51555C"/>
              </w:rPr>
              <w:t>Total liabilities and stockholders’ equity</w:t>
            </w:r>
          </w:p>
        </w:tc>
        <w:tc>
          <w:tcPr>
            <w:tcW w:w="480" w:type="dxa"/>
            <w:vAlign w:val="bottom"/>
            <w:tcBorders>
              <w:bottom w:val="single" w:sz="8" w:color="0CD973"/>
            </w:tcBorders>
            <w:shd w:val="clear" w:color="auto" w:fill="EBFBFF"/>
          </w:tcPr>
          <w:p>
            <w:pPr>
              <w:jc w:val="right"/>
              <w:ind w:right="299"/>
              <w:spacing w:after="0"/>
              <w:rPr>
                <w:sz w:val="20"/>
                <w:szCs w:val="20"/>
                <w:color w:val="auto"/>
              </w:rPr>
            </w:pPr>
            <w:r>
              <w:rPr>
                <w:rFonts w:ascii="Arial" w:cs="Arial" w:eastAsia="Arial" w:hAnsi="Arial"/>
                <w:sz w:val="16"/>
                <w:szCs w:val="16"/>
                <w:color w:val="51555C"/>
                <w:w w:val="89"/>
              </w:rPr>
              <w:t>$</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2,106,837</w:t>
            </w:r>
          </w:p>
        </w:tc>
        <w:tc>
          <w:tcPr>
            <w:tcW w:w="500" w:type="dxa"/>
            <w:vAlign w:val="bottom"/>
            <w:tcBorders>
              <w:bottom w:val="single" w:sz="8" w:color="0CD973"/>
            </w:tcBorders>
            <w:shd w:val="clear" w:color="auto" w:fill="EBFBFF"/>
          </w:tcPr>
          <w:p>
            <w:pPr>
              <w:jc w:val="right"/>
              <w:ind w:right="279"/>
              <w:spacing w:after="0"/>
              <w:rPr>
                <w:sz w:val="20"/>
                <w:szCs w:val="20"/>
                <w:color w:val="auto"/>
              </w:rPr>
            </w:pPr>
            <w:r>
              <w:rPr>
                <w:rFonts w:ascii="Arial" w:cs="Arial" w:eastAsia="Arial" w:hAnsi="Arial"/>
                <w:sz w:val="16"/>
                <w:szCs w:val="16"/>
                <w:color w:val="51555C"/>
              </w:rPr>
              <w:t>$</w:t>
            </w:r>
          </w:p>
        </w:tc>
        <w:tc>
          <w:tcPr>
            <w:tcW w:w="1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2,390,682</w:t>
            </w:r>
          </w:p>
        </w:tc>
      </w:tr>
    </w:tbl>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312420</wp:posOffset>
            </wp:positionV>
            <wp:extent cx="67691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3</w:t>
            </w:r>
          </w:p>
        </w:tc>
      </w:tr>
      <w:tr>
        <w:trPr>
          <w:trHeight w:val="325"/>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4" w:name="page5"/>
    <w:bookmarkEnd w:id="4"/>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tcBorders>
              <w:top w:val="single" w:sz="8" w:color="004054"/>
            </w:tcBorders>
            <w:shd w:val="clear" w:color="auto" w:fill="004054"/>
          </w:tcPr>
          <w:p>
            <w:pPr>
              <w:spacing w:after="0"/>
              <w:rPr>
                <w:sz w:val="17"/>
                <w:szCs w:val="17"/>
                <w:color w:val="auto"/>
              </w:rPr>
            </w:pPr>
          </w:p>
        </w:tc>
        <w:tc>
          <w:tcPr>
            <w:tcW w:w="260" w:type="dxa"/>
            <w:vAlign w:val="bottom"/>
            <w:tcBorders>
              <w:top w:val="single" w:sz="8" w:color="004054"/>
            </w:tcBorders>
            <w:shd w:val="clear" w:color="auto" w:fill="004054"/>
          </w:tcPr>
          <w:p>
            <w:pPr>
              <w:spacing w:after="0"/>
              <w:rPr>
                <w:sz w:val="17"/>
                <w:szCs w:val="17"/>
                <w:color w:val="auto"/>
              </w:rPr>
            </w:pPr>
          </w:p>
        </w:tc>
        <w:tc>
          <w:tcPr>
            <w:tcW w:w="2360" w:type="dxa"/>
            <w:vAlign w:val="bottom"/>
            <w:tcBorders>
              <w:top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top w:val="single" w:sz="8" w:color="004054"/>
            </w:tcBorders>
          </w:tcPr>
          <w:p>
            <w:pPr>
              <w:spacing w:after="0"/>
              <w:rPr>
                <w:sz w:val="17"/>
                <w:szCs w:val="17"/>
                <w:color w:val="auto"/>
              </w:rPr>
            </w:pPr>
          </w:p>
        </w:tc>
        <w:tc>
          <w:tcPr>
            <w:tcW w:w="260" w:type="dxa"/>
            <w:vAlign w:val="bottom"/>
            <w:tcBorders>
              <w:top w:val="single" w:sz="8" w:color="004054"/>
            </w:tcBorders>
            <w:shd w:val="clear" w:color="auto" w:fill="004054"/>
          </w:tcPr>
          <w:p>
            <w:pPr>
              <w:spacing w:after="0"/>
              <w:rPr>
                <w:sz w:val="17"/>
                <w:szCs w:val="17"/>
                <w:color w:val="auto"/>
              </w:rPr>
            </w:pPr>
          </w:p>
        </w:tc>
        <w:tc>
          <w:tcPr>
            <w:tcW w:w="2360" w:type="dxa"/>
            <w:vAlign w:val="bottom"/>
            <w:tcBorders>
              <w:top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tcBorders>
              <w:top w:val="single" w:sz="8" w:color="004054"/>
            </w:tcBorders>
            <w:shd w:val="clear" w:color="auto" w:fill="004054"/>
          </w:tcPr>
          <w:p>
            <w:pPr>
              <w:spacing w:after="0"/>
              <w:rPr>
                <w:sz w:val="17"/>
                <w:szCs w:val="17"/>
                <w:color w:val="auto"/>
              </w:rPr>
            </w:pPr>
          </w:p>
        </w:tc>
      </w:tr>
      <w:tr>
        <w:trPr>
          <w:trHeight w:val="196"/>
        </w:trPr>
        <w:tc>
          <w:tcPr>
            <w:tcW w:w="590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40" w:type="dxa"/>
            <w:vAlign w:val="bottom"/>
            <w:shd w:val="clear" w:color="auto" w:fill="004054"/>
          </w:tcPr>
          <w:p>
            <w:pPr>
              <w:spacing w:after="0"/>
              <w:rPr>
                <w:sz w:val="17"/>
                <w:szCs w:val="17"/>
                <w:color w:val="auto"/>
              </w:rPr>
            </w:pPr>
          </w:p>
        </w:tc>
        <w:tc>
          <w:tcPr>
            <w:tcW w:w="220" w:type="dxa"/>
            <w:vAlign w:val="bottom"/>
            <w:shd w:val="clear" w:color="auto" w:fill="004054"/>
          </w:tcPr>
          <w:p>
            <w:pPr>
              <w:spacing w:after="0"/>
              <w:rPr>
                <w:sz w:val="17"/>
                <w:szCs w:val="17"/>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6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374"/>
        </w:trPr>
        <w:tc>
          <w:tcPr>
            <w:tcW w:w="5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60" w:type="dxa"/>
            <w:vAlign w:val="bottom"/>
            <w:tcBorders>
              <w:bottom w:val="single" w:sz="8" w:color="004054"/>
            </w:tcBorders>
            <w:shd w:val="clear" w:color="auto" w:fill="004054"/>
          </w:tcPr>
          <w:p>
            <w:pPr>
              <w:spacing w:after="0"/>
              <w:rPr>
                <w:sz w:val="24"/>
                <w:szCs w:val="24"/>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2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4"/>
                <w:szCs w:val="24"/>
                <w:color w:val="auto"/>
              </w:rPr>
            </w:pPr>
          </w:p>
        </w:tc>
        <w:tc>
          <w:tcPr>
            <w:tcW w:w="260" w:type="dxa"/>
            <w:vAlign w:val="bottom"/>
            <w:tcBorders>
              <w:bottom w:val="single" w:sz="8" w:color="004054"/>
            </w:tcBorders>
            <w:shd w:val="clear" w:color="auto" w:fill="004054"/>
          </w:tcPr>
          <w:p>
            <w:pPr>
              <w:spacing w:after="0"/>
              <w:rPr>
                <w:sz w:val="24"/>
                <w:szCs w:val="24"/>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4"/>
                <w:szCs w:val="24"/>
                <w:color w:val="auto"/>
              </w:rPr>
            </w:pPr>
          </w:p>
        </w:tc>
      </w:tr>
      <w:tr>
        <w:trPr>
          <w:trHeight w:val="24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Revenue</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292,641</w:t>
            </w:r>
          </w:p>
        </w:tc>
        <w:tc>
          <w:tcPr>
            <w:tcW w:w="22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281,143</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6"/>
                <w:szCs w:val="16"/>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864,378</w:t>
            </w:r>
          </w:p>
        </w:tc>
        <w:tc>
          <w:tcPr>
            <w:tcW w:w="20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833,109</w:t>
            </w:r>
          </w:p>
        </w:tc>
        <w:tc>
          <w:tcPr>
            <w:tcW w:w="20" w:type="dxa"/>
            <w:vAlign w:val="bottom"/>
          </w:tcPr>
          <w:p>
            <w:pPr>
              <w:spacing w:after="0"/>
              <w:rPr>
                <w:sz w:val="21"/>
                <w:szCs w:val="21"/>
                <w:color w:val="auto"/>
              </w:rPr>
            </w:pPr>
          </w:p>
        </w:tc>
      </w:tr>
      <w:tr>
        <w:trPr>
          <w:trHeight w:val="239"/>
        </w:trPr>
        <w:tc>
          <w:tcPr>
            <w:tcW w:w="590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Cost of revenue</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114,850</w:t>
            </w:r>
          </w:p>
        </w:tc>
        <w:tc>
          <w:tcPr>
            <w:tcW w:w="22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113,653</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341,865</w:t>
            </w:r>
          </w:p>
        </w:tc>
        <w:tc>
          <w:tcPr>
            <w:tcW w:w="20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342,101</w:t>
            </w:r>
          </w:p>
        </w:tc>
        <w:tc>
          <w:tcPr>
            <w:tcW w:w="20" w:type="dxa"/>
            <w:vAlign w:val="bottom"/>
          </w:tcPr>
          <w:p>
            <w:pPr>
              <w:spacing w:after="0"/>
              <w:rPr>
                <w:sz w:val="20"/>
                <w:szCs w:val="20"/>
                <w:color w:val="auto"/>
              </w:rPr>
            </w:pPr>
          </w:p>
        </w:tc>
      </w:tr>
      <w:tr>
        <w:trPr>
          <w:trHeight w:val="240"/>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Gross profit</w:t>
            </w:r>
          </w:p>
        </w:tc>
        <w:tc>
          <w:tcPr>
            <w:tcW w:w="260" w:type="dxa"/>
            <w:vAlign w:val="bottom"/>
            <w:tcBorders>
              <w:bottom w:val="single" w:sz="8" w:color="51555C"/>
            </w:tcBorders>
            <w:shd w:val="clear" w:color="auto" w:fill="EBFBFF"/>
          </w:tcPr>
          <w:p>
            <w:pPr>
              <w:spacing w:after="0"/>
              <w:rPr>
                <w:sz w:val="20"/>
                <w:szCs w:val="20"/>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177,791</w:t>
            </w:r>
          </w:p>
        </w:tc>
        <w:tc>
          <w:tcPr>
            <w:tcW w:w="220" w:type="dxa"/>
            <w:vAlign w:val="bottom"/>
            <w:tcBorders>
              <w:bottom w:val="single" w:sz="8" w:color="51555C"/>
            </w:tcBorders>
            <w:shd w:val="clear" w:color="auto" w:fill="EBFBFF"/>
          </w:tcPr>
          <w:p>
            <w:pPr>
              <w:spacing w:after="0"/>
              <w:rPr>
                <w:sz w:val="20"/>
                <w:szCs w:val="20"/>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167,490</w:t>
            </w:r>
          </w:p>
        </w:tc>
        <w:tc>
          <w:tcPr>
            <w:tcW w:w="100" w:type="dxa"/>
            <w:vAlign w:val="bottom"/>
            <w:shd w:val="clear" w:color="auto" w:fill="EBFBFF"/>
          </w:tcPr>
          <w:p>
            <w:pPr>
              <w:spacing w:after="0"/>
              <w:rPr>
                <w:sz w:val="20"/>
                <w:szCs w:val="20"/>
                <w:color w:val="auto"/>
              </w:rPr>
            </w:pPr>
          </w:p>
        </w:tc>
        <w:tc>
          <w:tcPr>
            <w:tcW w:w="260" w:type="dxa"/>
            <w:vAlign w:val="bottom"/>
            <w:tcBorders>
              <w:bottom w:val="single" w:sz="8" w:color="51555C"/>
            </w:tcBorders>
            <w:shd w:val="clear" w:color="auto" w:fill="EBFBFF"/>
          </w:tcPr>
          <w:p>
            <w:pPr>
              <w:spacing w:after="0"/>
              <w:rPr>
                <w:sz w:val="20"/>
                <w:szCs w:val="20"/>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522,513</w:t>
            </w:r>
          </w:p>
        </w:tc>
        <w:tc>
          <w:tcPr>
            <w:tcW w:w="200" w:type="dxa"/>
            <w:vAlign w:val="bottom"/>
            <w:tcBorders>
              <w:bottom w:val="single" w:sz="8" w:color="51555C"/>
            </w:tcBorders>
            <w:shd w:val="clear" w:color="auto" w:fill="EBFBFF"/>
          </w:tcPr>
          <w:p>
            <w:pPr>
              <w:spacing w:after="0"/>
              <w:rPr>
                <w:sz w:val="20"/>
                <w:szCs w:val="20"/>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491,008</w:t>
            </w:r>
          </w:p>
        </w:tc>
        <w:tc>
          <w:tcPr>
            <w:tcW w:w="20" w:type="dxa"/>
            <w:vAlign w:val="bottom"/>
          </w:tcPr>
          <w:p>
            <w:pPr>
              <w:spacing w:after="0"/>
              <w:rPr>
                <w:sz w:val="20"/>
                <w:szCs w:val="20"/>
                <w:color w:val="auto"/>
              </w:rPr>
            </w:pP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b w:val="1"/>
                <w:bCs w:val="1"/>
                <w:color w:val="51555C"/>
              </w:rPr>
              <w:t>Operating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Sales, marketing and customer success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46,218</w:t>
            </w:r>
          </w:p>
        </w:tc>
        <w:tc>
          <w:tcPr>
            <w:tcW w:w="22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44,105</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139,823</w:t>
            </w:r>
          </w:p>
        </w:tc>
        <w:tc>
          <w:tcPr>
            <w:tcW w:w="20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132,795</w:t>
            </w:r>
          </w:p>
        </w:tc>
        <w:tc>
          <w:tcPr>
            <w:tcW w:w="20" w:type="dxa"/>
            <w:vAlign w:val="bottom"/>
          </w:tcPr>
          <w:p>
            <w:pPr>
              <w:spacing w:after="0"/>
              <w:rPr>
                <w:sz w:val="21"/>
                <w:szCs w:val="21"/>
                <w:color w:val="auto"/>
              </w:rPr>
            </w:pPr>
          </w:p>
        </w:tc>
      </w:tr>
      <w:tr>
        <w:trPr>
          <w:trHeight w:val="235"/>
        </w:trPr>
        <w:tc>
          <w:tcPr>
            <w:tcW w:w="5900" w:type="dxa"/>
            <w:vAlign w:val="bottom"/>
          </w:tcPr>
          <w:p>
            <w:pPr>
              <w:ind w:left="240"/>
              <w:spacing w:after="0"/>
              <w:rPr>
                <w:sz w:val="20"/>
                <w:szCs w:val="20"/>
                <w:color w:val="auto"/>
              </w:rPr>
            </w:pPr>
            <w:r>
              <w:rPr>
                <w:rFonts w:ascii="Arial" w:cs="Arial" w:eastAsia="Arial" w:hAnsi="Arial"/>
                <w:sz w:val="16"/>
                <w:szCs w:val="16"/>
                <w:color w:val="51555C"/>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36,206</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37,198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107,978</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104,352</w:t>
            </w:r>
          </w:p>
        </w:tc>
        <w:tc>
          <w:tcPr>
            <w:tcW w:w="20" w:type="dxa"/>
            <w:vAlign w:val="bottom"/>
          </w:tcPr>
          <w:p>
            <w:pPr>
              <w:spacing w:after="0"/>
              <w:rPr>
                <w:sz w:val="20"/>
                <w:szCs w:val="20"/>
                <w:color w:val="auto"/>
              </w:rPr>
            </w:pPr>
          </w:p>
        </w:tc>
      </w:tr>
      <w:tr>
        <w:trPr>
          <w:trHeight w:val="251"/>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General and administrative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34,828</w:t>
            </w:r>
          </w:p>
        </w:tc>
        <w:tc>
          <w:tcPr>
            <w:tcW w:w="22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31,044</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99,538</w:t>
            </w:r>
          </w:p>
        </w:tc>
        <w:tc>
          <w:tcPr>
            <w:tcW w:w="20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120,579</w:t>
            </w:r>
          </w:p>
        </w:tc>
        <w:tc>
          <w:tcPr>
            <w:tcW w:w="20" w:type="dxa"/>
            <w:vAlign w:val="bottom"/>
          </w:tcPr>
          <w:p>
            <w:pPr>
              <w:spacing w:after="0"/>
              <w:rPr>
                <w:sz w:val="21"/>
                <w:szCs w:val="21"/>
                <w:color w:val="auto"/>
              </w:rPr>
            </w:pPr>
          </w:p>
        </w:tc>
      </w:tr>
      <w:tr>
        <w:trPr>
          <w:trHeight w:val="237"/>
        </w:trPr>
        <w:tc>
          <w:tcPr>
            <w:tcW w:w="590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Amortization of intangible assets</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588</w:t>
            </w:r>
          </w:p>
        </w:tc>
        <w:tc>
          <w:tcPr>
            <w:tcW w:w="22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570</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1,762</w:t>
            </w:r>
          </w:p>
        </w:tc>
        <w:tc>
          <w:tcPr>
            <w:tcW w:w="20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1,670</w:t>
            </w:r>
          </w:p>
        </w:tc>
        <w:tc>
          <w:tcPr>
            <w:tcW w:w="20" w:type="dxa"/>
            <w:vAlign w:val="bottom"/>
          </w:tcPr>
          <w:p>
            <w:pPr>
              <w:spacing w:after="0"/>
              <w:rPr>
                <w:sz w:val="20"/>
                <w:szCs w:val="20"/>
                <w:color w:val="auto"/>
              </w:rPr>
            </w:pPr>
          </w:p>
        </w:tc>
      </w:tr>
      <w:tr>
        <w:trPr>
          <w:trHeight w:val="243"/>
        </w:trPr>
        <w:tc>
          <w:tcPr>
            <w:tcW w:w="5900" w:type="dxa"/>
            <w:vAlign w:val="bottom"/>
            <w:shd w:val="clear" w:color="auto" w:fill="EBFBFF"/>
          </w:tcPr>
          <w:p>
            <w:pPr>
              <w:ind w:left="460"/>
              <w:spacing w:after="0"/>
              <w:rPr>
                <w:sz w:val="20"/>
                <w:szCs w:val="20"/>
                <w:color w:val="auto"/>
              </w:rPr>
            </w:pPr>
            <w:r>
              <w:rPr>
                <w:rFonts w:ascii="Arial" w:cs="Arial" w:eastAsia="Arial" w:hAnsi="Arial"/>
                <w:sz w:val="16"/>
                <w:szCs w:val="16"/>
                <w:b w:val="1"/>
                <w:bCs w:val="1"/>
                <w:color w:val="51555C"/>
              </w:rPr>
              <w:t>Total operating expenses</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117,840</w:t>
            </w:r>
          </w:p>
        </w:tc>
        <w:tc>
          <w:tcPr>
            <w:tcW w:w="220" w:type="dxa"/>
            <w:vAlign w:val="bottom"/>
            <w:tcBorders>
              <w:bottom w:val="single" w:sz="8" w:color="51555C"/>
            </w:tcBorders>
            <w:shd w:val="clear" w:color="auto" w:fill="EBFBFF"/>
          </w:tcPr>
          <w:p>
            <w:pPr>
              <w:spacing w:after="0"/>
              <w:rPr>
                <w:sz w:val="21"/>
                <w:szCs w:val="21"/>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112,917</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349,101</w:t>
            </w:r>
          </w:p>
        </w:tc>
        <w:tc>
          <w:tcPr>
            <w:tcW w:w="200" w:type="dxa"/>
            <w:vAlign w:val="bottom"/>
            <w:tcBorders>
              <w:bottom w:val="single" w:sz="8" w:color="51555C"/>
            </w:tcBorders>
            <w:shd w:val="clear" w:color="auto" w:fill="EBFBFF"/>
          </w:tcPr>
          <w:p>
            <w:pPr>
              <w:spacing w:after="0"/>
              <w:rPr>
                <w:sz w:val="21"/>
                <w:szCs w:val="21"/>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359,396</w:t>
            </w:r>
          </w:p>
        </w:tc>
        <w:tc>
          <w:tcPr>
            <w:tcW w:w="20" w:type="dxa"/>
            <w:vAlign w:val="bottom"/>
          </w:tcPr>
          <w:p>
            <w:pPr>
              <w:spacing w:after="0"/>
              <w:rPr>
                <w:sz w:val="21"/>
                <w:szCs w:val="21"/>
                <w:color w:val="auto"/>
              </w:rPr>
            </w:pPr>
          </w:p>
        </w:tc>
      </w:tr>
      <w:tr>
        <w:trPr>
          <w:trHeight w:val="230"/>
        </w:trPr>
        <w:tc>
          <w:tcPr>
            <w:tcW w:w="590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Income from operations</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59,951</w:t>
            </w:r>
          </w:p>
        </w:tc>
        <w:tc>
          <w:tcPr>
            <w:tcW w:w="22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54,573</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173,412</w:t>
            </w:r>
          </w:p>
        </w:tc>
        <w:tc>
          <w:tcPr>
            <w:tcW w:w="20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131,612</w:t>
            </w:r>
          </w:p>
        </w:tc>
        <w:tc>
          <w:tcPr>
            <w:tcW w:w="20" w:type="dxa"/>
            <w:vAlign w:val="bottom"/>
          </w:tcPr>
          <w:p>
            <w:pPr>
              <w:spacing w:after="0"/>
              <w:rPr>
                <w:sz w:val="20"/>
                <w:szCs w:val="20"/>
                <w:color w:val="auto"/>
              </w:rPr>
            </w:pPr>
          </w:p>
        </w:tc>
      </w:tr>
      <w:tr>
        <w:trPr>
          <w:trHeight w:val="24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Interest expense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(16,109)</w:t>
            </w:r>
          </w:p>
        </w:tc>
        <w:tc>
          <w:tcPr>
            <w:tcW w:w="22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(16,774)</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(49,724)</w:t>
            </w:r>
          </w:p>
        </w:tc>
        <w:tc>
          <w:tcPr>
            <w:tcW w:w="20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(52,130)</w:t>
            </w:r>
          </w:p>
        </w:tc>
        <w:tc>
          <w:tcPr>
            <w:tcW w:w="20" w:type="dxa"/>
            <w:vAlign w:val="bottom"/>
          </w:tcPr>
          <w:p>
            <w:pPr>
              <w:spacing w:after="0"/>
              <w:rPr>
                <w:sz w:val="21"/>
                <w:szCs w:val="21"/>
                <w:color w:val="auto"/>
              </w:rPr>
            </w:pPr>
          </w:p>
        </w:tc>
      </w:tr>
      <w:tr>
        <w:trPr>
          <w:trHeight w:val="237"/>
        </w:trPr>
        <w:tc>
          <w:tcPr>
            <w:tcW w:w="590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Other income, net</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2,597</w:t>
            </w:r>
          </w:p>
        </w:tc>
        <w:tc>
          <w:tcPr>
            <w:tcW w:w="22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3,245</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6,977</w:t>
            </w:r>
          </w:p>
        </w:tc>
        <w:tc>
          <w:tcPr>
            <w:tcW w:w="20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6,468</w:t>
            </w:r>
          </w:p>
        </w:tc>
        <w:tc>
          <w:tcPr>
            <w:tcW w:w="20" w:type="dxa"/>
            <w:vAlign w:val="bottom"/>
          </w:tcPr>
          <w:p>
            <w:pPr>
              <w:spacing w:after="0"/>
              <w:rPr>
                <w:sz w:val="20"/>
                <w:szCs w:val="20"/>
                <w:color w:val="auto"/>
              </w:rPr>
            </w:pPr>
          </w:p>
        </w:tc>
      </w:tr>
      <w:tr>
        <w:trPr>
          <w:trHeight w:val="24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Income before provision (benefit) for income taxes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46,439</w:t>
            </w:r>
          </w:p>
        </w:tc>
        <w:tc>
          <w:tcPr>
            <w:tcW w:w="22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41,044</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130,665</w:t>
            </w:r>
          </w:p>
        </w:tc>
        <w:tc>
          <w:tcPr>
            <w:tcW w:w="20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85,950</w:t>
            </w:r>
          </w:p>
        </w:tc>
        <w:tc>
          <w:tcPr>
            <w:tcW w:w="20" w:type="dxa"/>
            <w:vAlign w:val="bottom"/>
          </w:tcPr>
          <w:p>
            <w:pPr>
              <w:spacing w:after="0"/>
              <w:rPr>
                <w:sz w:val="21"/>
                <w:szCs w:val="21"/>
                <w:color w:val="auto"/>
              </w:rPr>
            </w:pPr>
          </w:p>
        </w:tc>
      </w:tr>
      <w:tr>
        <w:trPr>
          <w:trHeight w:val="237"/>
        </w:trPr>
        <w:tc>
          <w:tcPr>
            <w:tcW w:w="590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Income tax provision (benefit)</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371</w:t>
            </w:r>
          </w:p>
        </w:tc>
        <w:tc>
          <w:tcPr>
            <w:tcW w:w="22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(6,448)</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18,100</w:t>
            </w:r>
          </w:p>
        </w:tc>
        <w:tc>
          <w:tcPr>
            <w:tcW w:w="20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7,669</w:t>
            </w:r>
          </w:p>
        </w:tc>
        <w:tc>
          <w:tcPr>
            <w:tcW w:w="20" w:type="dxa"/>
            <w:vAlign w:val="bottom"/>
          </w:tcPr>
          <w:p>
            <w:pPr>
              <w:spacing w:after="0"/>
              <w:rPr>
                <w:sz w:val="20"/>
                <w:szCs w:val="20"/>
                <w:color w:val="auto"/>
              </w:rPr>
            </w:pPr>
          </w:p>
        </w:tc>
      </w:tr>
      <w:tr>
        <w:trPr>
          <w:trHeight w:val="24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Net income</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46,068</w:t>
            </w:r>
          </w:p>
        </w:tc>
        <w:tc>
          <w:tcPr>
            <w:tcW w:w="22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47,492</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6"/>
                <w:szCs w:val="16"/>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112,565</w:t>
            </w:r>
          </w:p>
        </w:tc>
        <w:tc>
          <w:tcPr>
            <w:tcW w:w="20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78,281</w:t>
            </w:r>
          </w:p>
        </w:tc>
        <w:tc>
          <w:tcPr>
            <w:tcW w:w="20" w:type="dxa"/>
            <w:vAlign w:val="bottom"/>
          </w:tcPr>
          <w:p>
            <w:pPr>
              <w:spacing w:after="0"/>
              <w:rPr>
                <w:sz w:val="21"/>
                <w:szCs w:val="21"/>
                <w:color w:val="auto"/>
              </w:rPr>
            </w:pP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b w:val="1"/>
                <w:bCs w:val="1"/>
                <w:color w:val="51555C"/>
              </w:rPr>
              <w:t>Earnings per share</w:t>
            </w:r>
          </w:p>
        </w:tc>
        <w:tc>
          <w:tcPr>
            <w:tcW w:w="260" w:type="dxa"/>
            <w:vAlign w:val="bottom"/>
            <w:tcBorders>
              <w:top w:val="single" w:sz="8" w:color="51555C"/>
            </w:tcBorders>
          </w:tcPr>
          <w:p>
            <w:pPr>
              <w:spacing w:after="0"/>
              <w:rPr>
                <w:sz w:val="19"/>
                <w:szCs w:val="19"/>
                <w:color w:val="auto"/>
              </w:rPr>
            </w:pPr>
          </w:p>
        </w:tc>
        <w:tc>
          <w:tcPr>
            <w:tcW w:w="1040" w:type="dxa"/>
            <w:vAlign w:val="bottom"/>
            <w:tcBorders>
              <w:top w:val="single" w:sz="8" w:color="51555C"/>
            </w:tcBorders>
          </w:tcPr>
          <w:p>
            <w:pPr>
              <w:spacing w:after="0"/>
              <w:rPr>
                <w:sz w:val="19"/>
                <w:szCs w:val="19"/>
                <w:color w:val="auto"/>
              </w:rPr>
            </w:pPr>
          </w:p>
        </w:tc>
        <w:tc>
          <w:tcPr>
            <w:tcW w:w="220" w:type="dxa"/>
            <w:vAlign w:val="bottom"/>
            <w:tcBorders>
              <w:top w:val="single" w:sz="8" w:color="51555C"/>
            </w:tcBorders>
          </w:tcPr>
          <w:p>
            <w:pPr>
              <w:spacing w:after="0"/>
              <w:rPr>
                <w:sz w:val="19"/>
                <w:szCs w:val="19"/>
                <w:color w:val="auto"/>
              </w:rPr>
            </w:pPr>
          </w:p>
        </w:tc>
        <w:tc>
          <w:tcPr>
            <w:tcW w:w="1100" w:type="dxa"/>
            <w:vAlign w:val="bottom"/>
            <w:tcBorders>
              <w:top w:val="single" w:sz="8" w:color="51555C"/>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51555C"/>
            </w:tcBorders>
          </w:tcPr>
          <w:p>
            <w:pPr>
              <w:spacing w:after="0"/>
              <w:rPr>
                <w:sz w:val="19"/>
                <w:szCs w:val="19"/>
                <w:color w:val="auto"/>
              </w:rPr>
            </w:pPr>
          </w:p>
        </w:tc>
        <w:tc>
          <w:tcPr>
            <w:tcW w:w="1060" w:type="dxa"/>
            <w:vAlign w:val="bottom"/>
            <w:tcBorders>
              <w:top w:val="single" w:sz="8" w:color="51555C"/>
            </w:tcBorders>
          </w:tcPr>
          <w:p>
            <w:pPr>
              <w:spacing w:after="0"/>
              <w:rPr>
                <w:sz w:val="19"/>
                <w:szCs w:val="19"/>
                <w:color w:val="auto"/>
              </w:rPr>
            </w:pPr>
          </w:p>
        </w:tc>
        <w:tc>
          <w:tcPr>
            <w:tcW w:w="200" w:type="dxa"/>
            <w:vAlign w:val="bottom"/>
            <w:tcBorders>
              <w:top w:val="single" w:sz="8" w:color="51555C"/>
            </w:tcBorders>
          </w:tcPr>
          <w:p>
            <w:pPr>
              <w:spacing w:after="0"/>
              <w:rPr>
                <w:sz w:val="19"/>
                <w:szCs w:val="19"/>
                <w:color w:val="auto"/>
              </w:rPr>
            </w:pPr>
          </w:p>
        </w:tc>
        <w:tc>
          <w:tcPr>
            <w:tcW w:w="1100" w:type="dxa"/>
            <w:vAlign w:val="bottom"/>
            <w:tcBorders>
              <w:top w:val="single" w:sz="8" w:color="51555C"/>
            </w:tcBorders>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Basic</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1.04</w:t>
            </w:r>
          </w:p>
        </w:tc>
        <w:tc>
          <w:tcPr>
            <w:tcW w:w="22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6"/>
                <w:szCs w:val="16"/>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2.51</w:t>
            </w:r>
          </w:p>
        </w:tc>
        <w:tc>
          <w:tcPr>
            <w:tcW w:w="20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1.63</w:t>
            </w:r>
          </w:p>
        </w:tc>
        <w:tc>
          <w:tcPr>
            <w:tcW w:w="20" w:type="dxa"/>
            <w:vAlign w:val="bottom"/>
          </w:tcPr>
          <w:p>
            <w:pPr>
              <w:spacing w:after="0"/>
              <w:rPr>
                <w:sz w:val="21"/>
                <w:szCs w:val="21"/>
                <w:color w:val="auto"/>
              </w:rPr>
            </w:pPr>
          </w:p>
        </w:tc>
      </w:tr>
      <w:tr>
        <w:trPr>
          <w:trHeight w:val="235"/>
        </w:trPr>
        <w:tc>
          <w:tcPr>
            <w:tcW w:w="5900" w:type="dxa"/>
            <w:vAlign w:val="bottom"/>
          </w:tcPr>
          <w:p>
            <w:pPr>
              <w:ind w:left="240"/>
              <w:spacing w:after="0"/>
              <w:rPr>
                <w:sz w:val="20"/>
                <w:szCs w:val="20"/>
                <w:color w:val="auto"/>
              </w:rPr>
            </w:pPr>
            <w:r>
              <w:rPr>
                <w:rFonts w:ascii="Arial" w:cs="Arial" w:eastAsia="Arial" w:hAnsi="Arial"/>
                <w:sz w:val="16"/>
                <w:szCs w:val="16"/>
                <w:color w:val="51555C"/>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1.02</w:t>
            </w:r>
          </w:p>
        </w:tc>
        <w:tc>
          <w:tcPr>
            <w:tcW w:w="220" w:type="dxa"/>
            <w:vAlign w:val="bottom"/>
          </w:tcPr>
          <w:p>
            <w:pPr>
              <w:jc w:val="right"/>
              <w:ind w:right="19"/>
              <w:spacing w:after="0"/>
              <w:rPr>
                <w:sz w:val="20"/>
                <w:szCs w:val="20"/>
                <w:color w:val="auto"/>
              </w:rPr>
            </w:pPr>
            <w:r>
              <w:rPr>
                <w:rFonts w:ascii="Arial" w:cs="Arial" w:eastAsia="Arial" w:hAnsi="Arial"/>
                <w:sz w:val="16"/>
                <w:szCs w:val="16"/>
                <w:color w:val="51555C"/>
              </w:rPr>
              <w:t>$</w:t>
            </w:r>
          </w:p>
        </w:tc>
        <w:tc>
          <w:tcPr>
            <w:tcW w:w="1100" w:type="dxa"/>
            <w:vAlign w:val="bottom"/>
          </w:tcPr>
          <w:p>
            <w:pPr>
              <w:jc w:val="right"/>
              <w:spacing w:after="0"/>
              <w:rPr>
                <w:sz w:val="20"/>
                <w:szCs w:val="20"/>
                <w:color w:val="auto"/>
              </w:rPr>
            </w:pPr>
            <w:r>
              <w:rPr>
                <w:rFonts w:ascii="Arial" w:cs="Arial" w:eastAsia="Arial" w:hAnsi="Arial"/>
                <w:sz w:val="16"/>
                <w:szCs w:val="16"/>
                <w:color w:val="51555C"/>
              </w:rPr>
              <w:t>0.98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51555C"/>
              </w:rPr>
              <w:t>$</w:t>
            </w:r>
          </w:p>
        </w:tc>
        <w:tc>
          <w:tcPr>
            <w:tcW w:w="1060" w:type="dxa"/>
            <w:vAlign w:val="bottom"/>
          </w:tcPr>
          <w:p>
            <w:pPr>
              <w:jc w:val="right"/>
              <w:spacing w:after="0"/>
              <w:rPr>
                <w:sz w:val="20"/>
                <w:szCs w:val="20"/>
                <w:color w:val="auto"/>
              </w:rPr>
            </w:pPr>
            <w:r>
              <w:rPr>
                <w:rFonts w:ascii="Arial" w:cs="Arial" w:eastAsia="Arial" w:hAnsi="Arial"/>
                <w:sz w:val="16"/>
                <w:szCs w:val="16"/>
                <w:color w:val="51555C"/>
              </w:rPr>
              <w:t>2.49</w:t>
            </w:r>
          </w:p>
        </w:tc>
        <w:tc>
          <w:tcPr>
            <w:tcW w:w="200" w:type="dxa"/>
            <w:vAlign w:val="bottom"/>
          </w:tcPr>
          <w:p>
            <w:pPr>
              <w:jc w:val="right"/>
              <w:ind w:right="19"/>
              <w:spacing w:after="0"/>
              <w:rPr>
                <w:sz w:val="20"/>
                <w:szCs w:val="20"/>
                <w:color w:val="auto"/>
              </w:rPr>
            </w:pPr>
            <w:r>
              <w:rPr>
                <w:rFonts w:ascii="Arial" w:cs="Arial" w:eastAsia="Arial" w:hAnsi="Arial"/>
                <w:sz w:val="16"/>
                <w:szCs w:val="16"/>
                <w:color w:val="51555C"/>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51555C"/>
              </w:rPr>
              <w:t>1.61</w:t>
            </w:r>
          </w:p>
        </w:tc>
        <w:tc>
          <w:tcPr>
            <w:tcW w:w="20" w:type="dxa"/>
            <w:vAlign w:val="bottom"/>
          </w:tcPr>
          <w:p>
            <w:pPr>
              <w:spacing w:after="0"/>
              <w:rPr>
                <w:sz w:val="20"/>
                <w:szCs w:val="20"/>
                <w:color w:val="auto"/>
              </w:rPr>
            </w:pPr>
          </w:p>
        </w:tc>
      </w:tr>
      <w:tr>
        <w:trPr>
          <w:trHeight w:val="251"/>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Common shares and equivalents outstanding</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20" w:type="dxa"/>
            <w:vAlign w:val="bottom"/>
            <w:shd w:val="clear" w:color="auto" w:fill="EBFBFF"/>
          </w:tcPr>
          <w:p>
            <w:pPr>
              <w:spacing w:after="0"/>
              <w:rPr>
                <w:sz w:val="21"/>
                <w:szCs w:val="21"/>
                <w:color w:val="auto"/>
              </w:rPr>
            </w:pPr>
          </w:p>
        </w:tc>
        <w:tc>
          <w:tcPr>
            <w:tcW w:w="1100" w:type="dxa"/>
            <w:vAlign w:val="bottom"/>
            <w:shd w:val="clear" w:color="auto" w:fill="EBFBFF"/>
          </w:tcPr>
          <w:p>
            <w:pPr>
              <w:spacing w:after="0"/>
              <w:rPr>
                <w:sz w:val="21"/>
                <w:szCs w:val="21"/>
                <w:color w:val="auto"/>
              </w:rPr>
            </w:pP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spacing w:after="0"/>
              <w:rPr>
                <w:sz w:val="21"/>
                <w:szCs w:val="21"/>
                <w:color w:val="auto"/>
              </w:rPr>
            </w:pPr>
          </w:p>
        </w:tc>
        <w:tc>
          <w:tcPr>
            <w:tcW w:w="200" w:type="dxa"/>
            <w:vAlign w:val="bottom"/>
            <w:shd w:val="clear" w:color="auto" w:fill="EBFBFF"/>
          </w:tcPr>
          <w:p>
            <w:pPr>
              <w:spacing w:after="0"/>
              <w:rPr>
                <w:sz w:val="21"/>
                <w:szCs w:val="21"/>
                <w:color w:val="auto"/>
              </w:rPr>
            </w:pPr>
          </w:p>
        </w:tc>
        <w:tc>
          <w:tcPr>
            <w:tcW w:w="110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900" w:type="dxa"/>
            <w:vAlign w:val="bottom"/>
          </w:tcPr>
          <w:p>
            <w:pPr>
              <w:ind w:left="240"/>
              <w:spacing w:after="0"/>
              <w:rPr>
                <w:sz w:val="20"/>
                <w:szCs w:val="20"/>
                <w:color w:val="auto"/>
              </w:rPr>
            </w:pPr>
            <w:r>
              <w:rPr>
                <w:rFonts w:ascii="Arial" w:cs="Arial" w:eastAsia="Arial" w:hAnsi="Arial"/>
                <w:sz w:val="16"/>
                <w:szCs w:val="16"/>
                <w:color w:val="51555C"/>
              </w:rPr>
              <w:t>Basic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44,267,816</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47,680,002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44,858,491</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51555C"/>
              </w:rPr>
              <w:t>47,961,631</w:t>
            </w:r>
          </w:p>
        </w:tc>
        <w:tc>
          <w:tcPr>
            <w:tcW w:w="20" w:type="dxa"/>
            <w:vAlign w:val="bottom"/>
          </w:tcPr>
          <w:p>
            <w:pPr>
              <w:spacing w:after="0"/>
              <w:rPr>
                <w:sz w:val="20"/>
                <w:szCs w:val="20"/>
                <w:color w:val="auto"/>
              </w:rPr>
            </w:pPr>
          </w:p>
        </w:tc>
      </w:tr>
      <w:tr>
        <w:trPr>
          <w:trHeight w:val="251"/>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Diluted weighted average shares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44,961,588</w:t>
            </w:r>
          </w:p>
        </w:tc>
        <w:tc>
          <w:tcPr>
            <w:tcW w:w="22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48,498,285</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45,245,216</w:t>
            </w:r>
          </w:p>
        </w:tc>
        <w:tc>
          <w:tcPr>
            <w:tcW w:w="200" w:type="dxa"/>
            <w:vAlign w:val="bottom"/>
            <w:shd w:val="clear" w:color="auto" w:fill="EBFBFF"/>
          </w:tcPr>
          <w:p>
            <w:pPr>
              <w:spacing w:after="0"/>
              <w:rPr>
                <w:sz w:val="21"/>
                <w:szCs w:val="21"/>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48,634,027</w:t>
            </w:r>
          </w:p>
        </w:tc>
        <w:tc>
          <w:tcPr>
            <w:tcW w:w="20" w:type="dxa"/>
            <w:vAlign w:val="bottom"/>
          </w:tcPr>
          <w:p>
            <w:pPr>
              <w:spacing w:after="0"/>
              <w:rPr>
                <w:sz w:val="21"/>
                <w:szCs w:val="21"/>
                <w:color w:val="auto"/>
              </w:rPr>
            </w:pPr>
          </w:p>
        </w:tc>
      </w:tr>
      <w:tr>
        <w:trPr>
          <w:trHeight w:val="239"/>
        </w:trPr>
        <w:tc>
          <w:tcPr>
            <w:tcW w:w="5900" w:type="dxa"/>
            <w:vAlign w:val="bottom"/>
          </w:tcPr>
          <w:p>
            <w:pPr>
              <w:ind w:left="20"/>
              <w:spacing w:after="0"/>
              <w:rPr>
                <w:sz w:val="20"/>
                <w:szCs w:val="20"/>
                <w:color w:val="auto"/>
              </w:rPr>
            </w:pPr>
            <w:r>
              <w:rPr>
                <w:rFonts w:ascii="Arial" w:cs="Arial" w:eastAsia="Arial" w:hAnsi="Arial"/>
                <w:sz w:val="16"/>
                <w:szCs w:val="16"/>
                <w:b w:val="1"/>
                <w:bCs w:val="1"/>
                <w:color w:val="51555C"/>
              </w:rPr>
              <w:t>Other comprehensive income (loss)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Foreign currency translation adjustment</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(106)</w:t>
            </w:r>
          </w:p>
        </w:tc>
        <w:tc>
          <w:tcPr>
            <w:tcW w:w="22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(2,284)</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6"/>
                <w:szCs w:val="16"/>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(1,703)</w:t>
            </w:r>
          </w:p>
        </w:tc>
        <w:tc>
          <w:tcPr>
            <w:tcW w:w="20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8,299</w:t>
            </w:r>
          </w:p>
        </w:tc>
        <w:tc>
          <w:tcPr>
            <w:tcW w:w="20" w:type="dxa"/>
            <w:vAlign w:val="bottom"/>
          </w:tcPr>
          <w:p>
            <w:pPr>
              <w:spacing w:after="0"/>
              <w:rPr>
                <w:sz w:val="21"/>
                <w:szCs w:val="21"/>
                <w:color w:val="auto"/>
              </w:rPr>
            </w:pPr>
          </w:p>
        </w:tc>
      </w:tr>
      <w:tr>
        <w:trPr>
          <w:trHeight w:val="236"/>
        </w:trPr>
        <w:tc>
          <w:tcPr>
            <w:tcW w:w="590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Unrealized gain (loss) on derivative instruments, net of tax</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4,241</w:t>
            </w:r>
          </w:p>
        </w:tc>
        <w:tc>
          <w:tcPr>
            <w:tcW w:w="22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(622)</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10,861</w:t>
            </w:r>
          </w:p>
        </w:tc>
        <w:tc>
          <w:tcPr>
            <w:tcW w:w="200" w:type="dxa"/>
            <w:vAlign w:val="bottom"/>
            <w:tcBorders>
              <w:bottom w:val="single" w:sz="8" w:color="51555C"/>
            </w:tcBorders>
          </w:tcPr>
          <w:p>
            <w:pPr>
              <w:spacing w:after="0"/>
              <w:rPr>
                <w:sz w:val="20"/>
                <w:szCs w:val="20"/>
                <w:color w:val="auto"/>
              </w:rPr>
            </w:pPr>
          </w:p>
        </w:tc>
        <w:tc>
          <w:tcPr>
            <w:tcW w:w="11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(12,628)</w:t>
            </w:r>
          </w:p>
        </w:tc>
        <w:tc>
          <w:tcPr>
            <w:tcW w:w="20" w:type="dxa"/>
            <w:vAlign w:val="bottom"/>
          </w:tcPr>
          <w:p>
            <w:pPr>
              <w:spacing w:after="0"/>
              <w:rPr>
                <w:sz w:val="20"/>
                <w:szCs w:val="20"/>
                <w:color w:val="auto"/>
              </w:rPr>
            </w:pPr>
          </w:p>
        </w:tc>
      </w:tr>
      <w:tr>
        <w:trPr>
          <w:trHeight w:val="243"/>
        </w:trPr>
        <w:tc>
          <w:tcPr>
            <w:tcW w:w="5900" w:type="dxa"/>
            <w:vAlign w:val="bottom"/>
            <w:shd w:val="clear" w:color="auto" w:fill="EBFBFF"/>
          </w:tcPr>
          <w:p>
            <w:pPr>
              <w:ind w:left="460"/>
              <w:spacing w:after="0"/>
              <w:rPr>
                <w:sz w:val="20"/>
                <w:szCs w:val="20"/>
                <w:color w:val="auto"/>
              </w:rPr>
            </w:pPr>
            <w:r>
              <w:rPr>
                <w:rFonts w:ascii="Arial" w:cs="Arial" w:eastAsia="Arial" w:hAnsi="Arial"/>
                <w:sz w:val="16"/>
                <w:szCs w:val="16"/>
                <w:b w:val="1"/>
                <w:bCs w:val="1"/>
                <w:color w:val="51555C"/>
              </w:rPr>
              <w:t>Total other comprehensive income (loss)</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4,135</w:t>
            </w:r>
          </w:p>
        </w:tc>
        <w:tc>
          <w:tcPr>
            <w:tcW w:w="220" w:type="dxa"/>
            <w:vAlign w:val="bottom"/>
            <w:tcBorders>
              <w:bottom w:val="single" w:sz="8" w:color="51555C"/>
            </w:tcBorders>
            <w:shd w:val="clear" w:color="auto" w:fill="EBFBFF"/>
          </w:tcPr>
          <w:p>
            <w:pPr>
              <w:spacing w:after="0"/>
              <w:rPr>
                <w:sz w:val="21"/>
                <w:szCs w:val="21"/>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(2,906)</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9,158</w:t>
            </w:r>
          </w:p>
        </w:tc>
        <w:tc>
          <w:tcPr>
            <w:tcW w:w="200" w:type="dxa"/>
            <w:vAlign w:val="bottom"/>
            <w:tcBorders>
              <w:bottom w:val="single" w:sz="8" w:color="51555C"/>
            </w:tcBorders>
            <w:shd w:val="clear" w:color="auto" w:fill="EBFBFF"/>
          </w:tcPr>
          <w:p>
            <w:pPr>
              <w:spacing w:after="0"/>
              <w:rPr>
                <w:sz w:val="21"/>
                <w:szCs w:val="21"/>
                <w:color w:val="auto"/>
              </w:rPr>
            </w:pPr>
          </w:p>
        </w:tc>
        <w:tc>
          <w:tcPr>
            <w:tcW w:w="11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(4,329)</w:t>
            </w:r>
          </w:p>
        </w:tc>
        <w:tc>
          <w:tcPr>
            <w:tcW w:w="20" w:type="dxa"/>
            <w:vAlign w:val="bottom"/>
          </w:tcPr>
          <w:p>
            <w:pPr>
              <w:spacing w:after="0"/>
              <w:rPr>
                <w:sz w:val="21"/>
                <w:szCs w:val="21"/>
                <w:color w:val="auto"/>
              </w:rPr>
            </w:pPr>
          </w:p>
        </w:tc>
      </w:tr>
      <w:tr>
        <w:trPr>
          <w:trHeight w:val="230"/>
        </w:trPr>
        <w:tc>
          <w:tcPr>
            <w:tcW w:w="590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Comprehensive income</w:t>
            </w:r>
          </w:p>
        </w:tc>
        <w:tc>
          <w:tcPr>
            <w:tcW w:w="260" w:type="dxa"/>
            <w:vAlign w:val="bottom"/>
            <w:tcBorders>
              <w:bottom w:val="single" w:sz="8" w:color="0CD973"/>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50,203</w:t>
            </w:r>
          </w:p>
        </w:tc>
        <w:tc>
          <w:tcPr>
            <w:tcW w:w="220" w:type="dxa"/>
            <w:vAlign w:val="bottom"/>
            <w:tcBorders>
              <w:bottom w:val="single" w:sz="8" w:color="0CD973"/>
            </w:tcBorders>
          </w:tcPr>
          <w:p>
            <w:pPr>
              <w:jc w:val="right"/>
              <w:ind w:right="19"/>
              <w:spacing w:after="0"/>
              <w:rPr>
                <w:sz w:val="20"/>
                <w:szCs w:val="20"/>
                <w:color w:val="auto"/>
              </w:rPr>
            </w:pPr>
            <w:r>
              <w:rPr>
                <w:rFonts w:ascii="Arial" w:cs="Arial" w:eastAsia="Arial" w:hAnsi="Arial"/>
                <w:sz w:val="16"/>
                <w:szCs w:val="16"/>
                <w:color w:val="51555C"/>
              </w:rPr>
              <w:t>$</w:t>
            </w:r>
          </w:p>
        </w:tc>
        <w:tc>
          <w:tcPr>
            <w:tcW w:w="110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44,586</w:t>
            </w:r>
          </w:p>
        </w:tc>
        <w:tc>
          <w:tcPr>
            <w:tcW w:w="360" w:type="dxa"/>
            <w:vAlign w:val="bottom"/>
            <w:tcBorders>
              <w:bottom w:val="single" w:sz="8" w:color="0CD973"/>
            </w:tcBorders>
            <w:gridSpan w:val="2"/>
          </w:tcPr>
          <w:p>
            <w:pPr>
              <w:jc w:val="right"/>
              <w:ind w:right="160"/>
              <w:spacing w:after="0"/>
              <w:rPr>
                <w:sz w:val="20"/>
                <w:szCs w:val="20"/>
                <w:color w:val="auto"/>
              </w:rPr>
            </w:pPr>
            <w:r>
              <w:rPr>
                <w:rFonts w:ascii="Arial" w:cs="Arial" w:eastAsia="Arial" w:hAnsi="Arial"/>
                <w:sz w:val="16"/>
                <w:szCs w:val="16"/>
                <w:color w:val="51555C"/>
              </w:rPr>
              <w:t>$</w:t>
            </w:r>
          </w:p>
        </w:tc>
        <w:tc>
          <w:tcPr>
            <w:tcW w:w="10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121,723</w:t>
            </w:r>
          </w:p>
        </w:tc>
        <w:tc>
          <w:tcPr>
            <w:tcW w:w="200" w:type="dxa"/>
            <w:vAlign w:val="bottom"/>
            <w:tcBorders>
              <w:bottom w:val="single" w:sz="8" w:color="0CD973"/>
            </w:tcBorders>
          </w:tcPr>
          <w:p>
            <w:pPr>
              <w:jc w:val="right"/>
              <w:ind w:right="19"/>
              <w:spacing w:after="0"/>
              <w:rPr>
                <w:sz w:val="20"/>
                <w:szCs w:val="20"/>
                <w:color w:val="auto"/>
              </w:rPr>
            </w:pPr>
            <w:r>
              <w:rPr>
                <w:rFonts w:ascii="Arial" w:cs="Arial" w:eastAsia="Arial" w:hAnsi="Arial"/>
                <w:sz w:val="16"/>
                <w:szCs w:val="16"/>
                <w:color w:val="51555C"/>
                <w:w w:val="89"/>
              </w:rPr>
              <w:t>$</w:t>
            </w:r>
          </w:p>
        </w:tc>
        <w:tc>
          <w:tcPr>
            <w:tcW w:w="110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73,952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-4328795</wp:posOffset>
            </wp:positionV>
            <wp:extent cx="34029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51555C"/>
        </w:rPr>
        <w:t>4</w:t>
      </w:r>
      <w:r>
        <w:rPr>
          <w:sz w:val="20"/>
          <w:szCs w:val="20"/>
          <w:color w:val="auto"/>
        </w:rPr>
        <w:tab/>
      </w:r>
      <w:r>
        <w:rPr>
          <w:sz w:val="1"/>
          <w:szCs w:val="1"/>
          <w:color w:val="auto"/>
        </w:rPr>
        <w:drawing>
          <wp:inline distT="0" distB="0" distL="0" distR="0">
            <wp:extent cx="67691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51555C"/>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51555C"/>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582930"/>
                    </a:xfrm>
                    <a:prstGeom prst="rect">
                      <a:avLst/>
                    </a:prstGeom>
                    <a:noFill/>
                  </pic:spPr>
                </pic:pic>
              </a:graphicData>
            </a:graphic>
          </wp:anchor>
        </w:drawing>
      </w:r>
    </w:p>
    <w:p>
      <w:pPr>
        <w:spacing w:after="0" w:line="48"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Nine months ended</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tcBorders>
              <w:bottom w:val="single" w:sz="8" w:color="004054"/>
            </w:tcBorders>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20" w:type="dxa"/>
            <w:vAlign w:val="bottom"/>
            <w:tcBorders>
              <w:bottom w:val="single" w:sz="8" w:color="004054"/>
              <w:right w:val="single" w:sz="8" w:color="004054"/>
            </w:tcBorders>
          </w:tcPr>
          <w:p>
            <w:pPr>
              <w:jc w:val="right"/>
              <w:spacing w:after="0"/>
              <w:rPr>
                <w:sz w:val="20"/>
                <w:szCs w:val="20"/>
                <w:color w:val="auto"/>
              </w:rPr>
            </w:pPr>
            <w:r>
              <w:rPr>
                <w:rFonts w:ascii="Arial" w:cs="Arial" w:eastAsia="Arial" w:hAnsi="Arial"/>
                <w:sz w:val="14"/>
                <w:szCs w:val="14"/>
                <w:b w:val="1"/>
                <w:bCs w:val="1"/>
                <w:color w:val="FFFFFF"/>
              </w:rPr>
              <w:t>2026</w:t>
            </w:r>
          </w:p>
        </w:tc>
        <w:tc>
          <w:tcPr>
            <w:tcW w:w="1200" w:type="dxa"/>
            <w:vAlign w:val="bottom"/>
            <w:tcBorders>
              <w:bottom w:val="single" w:sz="8" w:color="004054"/>
            </w:tcBorders>
          </w:tcPr>
          <w:p>
            <w:pPr>
              <w:jc w:val="right"/>
              <w:spacing w:after="0"/>
              <w:rPr>
                <w:sz w:val="20"/>
                <w:szCs w:val="20"/>
                <w:color w:val="auto"/>
              </w:rPr>
            </w:pPr>
            <w:r>
              <w:rPr>
                <w:rFonts w:ascii="Arial" w:cs="Arial" w:eastAsia="Arial" w:hAnsi="Arial"/>
                <w:sz w:val="14"/>
                <w:szCs w:val="14"/>
                <w:b w:val="1"/>
                <w:bCs w:val="1"/>
                <w:color w:val="FFFFFF"/>
              </w:rPr>
              <w:t>2025</w:t>
            </w:r>
          </w:p>
        </w:tc>
      </w:tr>
    </w:tbl>
    <w:p>
      <w:pPr>
        <w:spacing w:after="0" w:line="13"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20"/>
        <w:spacing w:after="0"/>
        <w:rPr>
          <w:sz w:val="20"/>
          <w:szCs w:val="20"/>
          <w:color w:val="auto"/>
        </w:rPr>
      </w:pPr>
      <w:r>
        <w:rPr>
          <w:rFonts w:ascii="Arial" w:cs="Arial" w:eastAsia="Arial" w:hAnsi="Arial"/>
          <w:sz w:val="16"/>
          <w:szCs w:val="16"/>
          <w:b w:val="1"/>
          <w:bCs w:val="1"/>
          <w:color w:val="51555C"/>
        </w:rPr>
        <w:t>Cash flows from operating activities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51555C"/>
        </w:rPr>
        <w:t>Adjustments to reconcile net income to net cash provided by operating activities: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Net provision for credit losses and sales returns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Deferred taxes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Amortization of deferred financing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Other non-cash adjustments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51555C"/>
        </w:rPr>
        <w:t>Changes in operating assets and liabilities, net of acquisition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Accounts receivable</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Trade accounts payable</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Deferred revenue</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51555C"/>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Cash flows from investing activities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Capitalized software development costs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Cash used in disposition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Other investing activities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51555C"/>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Cash flows from financing activities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Payments on debt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Employee taxes paid for withheld shares upon equity award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Change in due to customers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Purchase of treasury stock, including excise tax payments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51555C"/>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20" w:right="2960" w:firstLine="108"/>
        <w:spacing w:after="0" w:line="325" w:lineRule="auto"/>
        <w:rPr>
          <w:sz w:val="20"/>
          <w:szCs w:val="20"/>
          <w:color w:val="auto"/>
        </w:rPr>
      </w:pPr>
      <w:r>
        <w:rPr>
          <w:rFonts w:ascii="Arial" w:cs="Arial" w:eastAsia="Arial" w:hAnsi="Arial"/>
          <w:sz w:val="16"/>
          <w:szCs w:val="16"/>
          <w:color w:val="51555C"/>
        </w:rPr>
        <w:t xml:space="preserve">Effect of exchange rate on cash, cash equivalents and restricted cash </w:t>
      </w:r>
      <w:r>
        <w:rPr>
          <w:rFonts w:ascii="Arial" w:cs="Arial" w:eastAsia="Arial" w:hAnsi="Arial"/>
          <w:sz w:val="16"/>
          <w:szCs w:val="16"/>
          <w:b w:val="1"/>
          <w:bCs w:val="1"/>
          <w:color w:val="51555C"/>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0" w:right="3120"/>
        <w:spacing w:after="0" w:line="367" w:lineRule="auto"/>
        <w:rPr>
          <w:sz w:val="20"/>
          <w:szCs w:val="20"/>
          <w:color w:val="auto"/>
        </w:rPr>
      </w:pPr>
      <w:r>
        <w:rPr>
          <w:rFonts w:ascii="Arial" w:cs="Arial" w:eastAsia="Arial" w:hAnsi="Arial"/>
          <w:sz w:val="16"/>
          <w:szCs w:val="16"/>
          <w:b w:val="1"/>
          <w:bCs w:val="1"/>
          <w:color w:val="51555C"/>
        </w:rPr>
        <w:t>Cash, cash equivalents and restricted cash, beginning of period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540" w:val="left"/>
          <w:tab w:leader="none" w:pos="1820" w:val="left"/>
        </w:tabs>
        <w:rPr>
          <w:sz w:val="20"/>
          <w:szCs w:val="20"/>
          <w:color w:val="auto"/>
        </w:rPr>
      </w:pPr>
      <w:r>
        <w:rPr>
          <w:rFonts w:ascii="Arial" w:cs="Arial" w:eastAsia="Arial" w:hAnsi="Arial"/>
          <w:sz w:val="16"/>
          <w:szCs w:val="16"/>
          <w:color w:val="51555C"/>
        </w:rPr>
        <w:t>$</w:t>
      </w:r>
      <w:r>
        <w:rPr>
          <w:sz w:val="20"/>
          <w:szCs w:val="20"/>
          <w:color w:val="auto"/>
        </w:rPr>
        <w:tab/>
      </w:r>
      <w:r>
        <w:rPr>
          <w:rFonts w:ascii="Arial" w:cs="Arial" w:eastAsia="Arial" w:hAnsi="Arial"/>
          <w:sz w:val="16"/>
          <w:szCs w:val="16"/>
          <w:color w:val="51555C"/>
        </w:rPr>
        <w:t>112,565 $</w:t>
      </w:r>
      <w:r>
        <w:rPr>
          <w:sz w:val="20"/>
          <w:szCs w:val="20"/>
          <w:color w:val="auto"/>
        </w:rPr>
        <w:tab/>
      </w:r>
      <w:r>
        <w:rPr>
          <w:rFonts w:ascii="Arial" w:cs="Arial" w:eastAsia="Arial" w:hAnsi="Arial"/>
          <w:sz w:val="16"/>
          <w:szCs w:val="16"/>
          <w:color w:val="51555C"/>
        </w:rPr>
        <w:t>78,281</w:t>
      </w:r>
    </w:p>
    <w:p>
      <w:pPr>
        <w:spacing w:after="0" w:line="302"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6"/>
          <w:szCs w:val="16"/>
          <w:color w:val="51555C"/>
        </w:rPr>
        <w:t>62,595</w:t>
      </w:r>
      <w:r>
        <w:rPr>
          <w:sz w:val="20"/>
          <w:szCs w:val="20"/>
          <w:color w:val="auto"/>
        </w:rPr>
        <w:tab/>
      </w:r>
      <w:r>
        <w:rPr>
          <w:rFonts w:ascii="Arial" w:cs="Arial" w:eastAsia="Arial" w:hAnsi="Arial"/>
          <w:sz w:val="16"/>
          <w:szCs w:val="16"/>
          <w:color w:val="51555C"/>
        </w:rPr>
        <w:t>64,652</w:t>
      </w:r>
    </w:p>
    <w:p>
      <w:pPr>
        <w:spacing w:after="0" w:line="59" w:lineRule="exact"/>
        <w:rPr>
          <w:sz w:val="20"/>
          <w:szCs w:val="20"/>
          <w:color w:val="auto"/>
        </w:rPr>
      </w:pPr>
    </w:p>
    <w:p>
      <w:pPr>
        <w:ind w:left="720"/>
        <w:spacing w:after="0"/>
        <w:tabs>
          <w:tab w:leader="none" w:pos="1920" w:val="left"/>
        </w:tabs>
        <w:rPr>
          <w:sz w:val="20"/>
          <w:szCs w:val="20"/>
          <w:color w:val="auto"/>
        </w:rPr>
      </w:pPr>
      <w:r>
        <w:rPr>
          <w:rFonts w:ascii="Arial" w:cs="Arial" w:eastAsia="Arial" w:hAnsi="Arial"/>
          <w:sz w:val="16"/>
          <w:szCs w:val="16"/>
          <w:color w:val="51555C"/>
        </w:rPr>
        <w:t>5,064</w:t>
      </w:r>
      <w:r>
        <w:rPr>
          <w:sz w:val="20"/>
          <w:szCs w:val="20"/>
          <w:color w:val="auto"/>
        </w:rPr>
        <w:tab/>
      </w:r>
      <w:r>
        <w:rPr>
          <w:rFonts w:ascii="Arial" w:cs="Arial" w:eastAsia="Arial" w:hAnsi="Arial"/>
          <w:sz w:val="16"/>
          <w:szCs w:val="16"/>
          <w:color w:val="51555C"/>
        </w:rPr>
        <w:t>3,788</w:t>
      </w:r>
    </w:p>
    <w:p>
      <w:pPr>
        <w:spacing w:after="0" w:line="59"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6"/>
          <w:szCs w:val="16"/>
          <w:color w:val="51555C"/>
        </w:rPr>
        <w:t>67,682</w:t>
      </w:r>
      <w:r>
        <w:rPr>
          <w:sz w:val="20"/>
          <w:szCs w:val="20"/>
          <w:color w:val="auto"/>
        </w:rPr>
        <w:tab/>
      </w:r>
      <w:r>
        <w:rPr>
          <w:rFonts w:ascii="Arial" w:cs="Arial" w:eastAsia="Arial" w:hAnsi="Arial"/>
          <w:sz w:val="16"/>
          <w:szCs w:val="16"/>
          <w:color w:val="51555C"/>
        </w:rPr>
        <w:t>71,079</w:t>
      </w:r>
    </w:p>
    <w:p>
      <w:pPr>
        <w:spacing w:after="0" w:line="59" w:lineRule="exact"/>
        <w:rPr>
          <w:sz w:val="20"/>
          <w:szCs w:val="20"/>
          <w:color w:val="auto"/>
        </w:rPr>
      </w:pPr>
    </w:p>
    <w:p>
      <w:pPr>
        <w:jc w:val="both"/>
        <w:ind w:left="720"/>
        <w:spacing w:after="0"/>
        <w:tabs>
          <w:tab w:leader="none" w:pos="1760" w:val="left"/>
        </w:tabs>
        <w:rPr>
          <w:sz w:val="20"/>
          <w:szCs w:val="20"/>
          <w:color w:val="auto"/>
        </w:rPr>
      </w:pPr>
      <w:r>
        <w:rPr>
          <w:rFonts w:ascii="Arial" w:cs="Arial" w:eastAsia="Arial" w:hAnsi="Arial"/>
          <w:sz w:val="16"/>
          <w:szCs w:val="16"/>
          <w:color w:val="51555C"/>
        </w:rPr>
        <w:t>4,892</w:t>
      </w:r>
      <w:r>
        <w:rPr>
          <w:sz w:val="20"/>
          <w:szCs w:val="20"/>
          <w:color w:val="auto"/>
        </w:rPr>
        <w:tab/>
      </w:r>
      <w:r>
        <w:rPr>
          <w:rFonts w:ascii="Arial" w:cs="Arial" w:eastAsia="Arial" w:hAnsi="Arial"/>
          <w:sz w:val="16"/>
          <w:szCs w:val="16"/>
          <w:color w:val="51555C"/>
        </w:rPr>
        <w:t>(16,682)</w:t>
      </w:r>
    </w:p>
    <w:p>
      <w:pPr>
        <w:spacing w:after="0" w:line="59" w:lineRule="exact"/>
        <w:rPr>
          <w:sz w:val="20"/>
          <w:szCs w:val="20"/>
          <w:color w:val="auto"/>
        </w:rPr>
      </w:pPr>
    </w:p>
    <w:p>
      <w:pPr>
        <w:ind w:left="720"/>
        <w:spacing w:after="0"/>
        <w:tabs>
          <w:tab w:leader="none" w:pos="1920" w:val="left"/>
        </w:tabs>
        <w:rPr>
          <w:sz w:val="20"/>
          <w:szCs w:val="20"/>
          <w:color w:val="auto"/>
        </w:rPr>
      </w:pPr>
      <w:r>
        <w:rPr>
          <w:rFonts w:ascii="Arial" w:cs="Arial" w:eastAsia="Arial" w:hAnsi="Arial"/>
          <w:sz w:val="16"/>
          <w:szCs w:val="16"/>
          <w:color w:val="51555C"/>
        </w:rPr>
        <w:t>1,861</w:t>
      </w:r>
      <w:r>
        <w:rPr>
          <w:sz w:val="20"/>
          <w:szCs w:val="20"/>
          <w:color w:val="auto"/>
        </w:rPr>
        <w:tab/>
      </w:r>
      <w:r>
        <w:rPr>
          <w:rFonts w:ascii="Arial" w:cs="Arial" w:eastAsia="Arial" w:hAnsi="Arial"/>
          <w:sz w:val="16"/>
          <w:szCs w:val="16"/>
          <w:color w:val="51555C"/>
        </w:rPr>
        <w:t>1,940</w:t>
      </w:r>
    </w:p>
    <w:p>
      <w:pPr>
        <w:spacing w:after="0" w:line="59" w:lineRule="exact"/>
        <w:rPr>
          <w:sz w:val="20"/>
          <w:szCs w:val="20"/>
          <w:color w:val="auto"/>
        </w:rPr>
      </w:pPr>
    </w:p>
    <w:p>
      <w:pPr>
        <w:jc w:val="both"/>
        <w:ind w:left="720"/>
        <w:spacing w:after="0"/>
        <w:tabs>
          <w:tab w:leader="none" w:pos="1860" w:val="left"/>
        </w:tabs>
        <w:rPr>
          <w:sz w:val="20"/>
          <w:szCs w:val="20"/>
          <w:color w:val="auto"/>
        </w:rPr>
      </w:pPr>
      <w:r>
        <w:rPr>
          <w:rFonts w:ascii="Arial" w:cs="Arial" w:eastAsia="Arial" w:hAnsi="Arial"/>
          <w:sz w:val="16"/>
          <w:szCs w:val="16"/>
          <w:color w:val="51555C"/>
        </w:rPr>
        <w:t>1,313</w:t>
      </w:r>
      <w:r>
        <w:rPr>
          <w:sz w:val="20"/>
          <w:szCs w:val="20"/>
          <w:color w:val="auto"/>
        </w:rPr>
        <w:tab/>
      </w:r>
      <w:r>
        <w:rPr>
          <w:rFonts w:ascii="Arial" w:cs="Arial" w:eastAsia="Arial" w:hAnsi="Arial"/>
          <w:sz w:val="16"/>
          <w:szCs w:val="16"/>
          <w:color w:val="51555C"/>
        </w:rPr>
        <w:t>(5,180)</w:t>
      </w:r>
    </w:p>
    <w:p>
      <w:pPr>
        <w:spacing w:after="0" w:line="302" w:lineRule="exact"/>
        <w:rPr>
          <w:sz w:val="20"/>
          <w:szCs w:val="20"/>
          <w:color w:val="auto"/>
        </w:rPr>
      </w:pPr>
    </w:p>
    <w:p>
      <w:pPr>
        <w:ind w:left="1880" w:hanging="1087"/>
        <w:spacing w:after="0"/>
        <w:tabs>
          <w:tab w:leader="none" w:pos="1880" w:val="left"/>
        </w:tabs>
        <w:numPr>
          <w:ilvl w:val="0"/>
          <w:numId w:val="3"/>
        </w:numPr>
        <w:rPr>
          <w:rFonts w:ascii="Arial" w:cs="Arial" w:eastAsia="Arial" w:hAnsi="Arial"/>
          <w:sz w:val="15"/>
          <w:szCs w:val="15"/>
          <w:color w:val="51555C"/>
        </w:rPr>
      </w:pPr>
      <w:r>
        <w:rPr>
          <w:rFonts w:ascii="Arial" w:cs="Arial" w:eastAsia="Arial" w:hAnsi="Arial"/>
          <w:sz w:val="15"/>
          <w:szCs w:val="15"/>
          <w:color w:val="51555C"/>
        </w:rPr>
        <w:t>(2,422)</w:t>
      </w:r>
    </w:p>
    <w:p>
      <w:pPr>
        <w:spacing w:after="0" w:line="70" w:lineRule="exact"/>
        <w:rPr>
          <w:rFonts w:ascii="Arial" w:cs="Arial" w:eastAsia="Arial" w:hAnsi="Arial"/>
          <w:sz w:val="15"/>
          <w:szCs w:val="15"/>
          <w:color w:val="51555C"/>
        </w:rPr>
      </w:pPr>
    </w:p>
    <w:p>
      <w:pPr>
        <w:ind w:left="660"/>
        <w:spacing w:after="0"/>
        <w:rPr>
          <w:rFonts w:ascii="Arial" w:cs="Arial" w:eastAsia="Arial" w:hAnsi="Arial"/>
          <w:sz w:val="15"/>
          <w:szCs w:val="15"/>
          <w:color w:val="51555C"/>
        </w:rPr>
      </w:pPr>
      <w:r>
        <w:rPr>
          <w:rFonts w:ascii="Arial" w:cs="Arial" w:eastAsia="Arial" w:hAnsi="Arial"/>
          <w:sz w:val="16"/>
          <w:szCs w:val="16"/>
          <w:color w:val="51555C"/>
        </w:rPr>
        <w:t>(8,832)</w:t>
      </w:r>
      <w:r>
        <w:rPr>
          <w:rFonts w:ascii="Arial" w:cs="Arial" w:eastAsia="Arial" w:hAnsi="Arial"/>
          <w:sz w:val="15"/>
          <w:szCs w:val="15"/>
          <w:color w:val="51555C"/>
        </w:rPr>
        <w:t>(9,707)</w:t>
      </w:r>
    </w:p>
    <w:p>
      <w:pPr>
        <w:spacing w:after="0" w:line="59" w:lineRule="exact"/>
        <w:rPr>
          <w:rFonts w:ascii="Arial" w:cs="Arial" w:eastAsia="Arial" w:hAnsi="Arial"/>
          <w:sz w:val="15"/>
          <w:szCs w:val="15"/>
          <w:color w:val="51555C"/>
        </w:rPr>
      </w:pPr>
    </w:p>
    <w:p>
      <w:pPr>
        <w:ind w:left="640"/>
        <w:spacing w:after="0"/>
        <w:rPr>
          <w:rFonts w:ascii="Arial" w:cs="Arial" w:eastAsia="Arial" w:hAnsi="Arial"/>
          <w:sz w:val="15"/>
          <w:szCs w:val="15"/>
          <w:color w:val="51555C"/>
        </w:rPr>
      </w:pPr>
      <w:r>
        <w:rPr>
          <w:rFonts w:ascii="Arial" w:cs="Arial" w:eastAsia="Arial" w:hAnsi="Arial"/>
          <w:sz w:val="16"/>
          <w:szCs w:val="16"/>
          <w:color w:val="51555C"/>
        </w:rPr>
        <w:t>11,750</w:t>
      </w:r>
      <w:r>
        <w:rPr>
          <w:rFonts w:ascii="Arial" w:cs="Arial" w:eastAsia="Arial" w:hAnsi="Arial"/>
          <w:sz w:val="15"/>
          <w:szCs w:val="15"/>
          <w:color w:val="51555C"/>
        </w:rPr>
        <w:t>(3,233)</w:t>
      </w:r>
    </w:p>
    <w:p>
      <w:pPr>
        <w:spacing w:after="0" w:line="59" w:lineRule="exact"/>
        <w:rPr>
          <w:rFonts w:ascii="Arial" w:cs="Arial" w:eastAsia="Arial" w:hAnsi="Arial"/>
          <w:sz w:val="15"/>
          <w:szCs w:val="15"/>
          <w:color w:val="51555C"/>
        </w:rPr>
      </w:pPr>
    </w:p>
    <w:p>
      <w:pPr>
        <w:ind w:left="640"/>
        <w:spacing w:after="0"/>
        <w:rPr>
          <w:rFonts w:ascii="Arial" w:cs="Arial" w:eastAsia="Arial" w:hAnsi="Arial"/>
          <w:sz w:val="15"/>
          <w:szCs w:val="15"/>
          <w:color w:val="51555C"/>
        </w:rPr>
      </w:pPr>
      <w:r>
        <w:rPr>
          <w:rFonts w:ascii="Arial" w:cs="Arial" w:eastAsia="Arial" w:hAnsi="Arial"/>
          <w:sz w:val="16"/>
          <w:szCs w:val="16"/>
          <w:color w:val="51555C"/>
        </w:rPr>
        <w:t>13,242</w:t>
      </w:r>
      <w:r>
        <w:rPr>
          <w:rFonts w:ascii="Arial" w:cs="Arial" w:eastAsia="Arial" w:hAnsi="Arial"/>
          <w:sz w:val="15"/>
          <w:szCs w:val="15"/>
          <w:color w:val="51555C"/>
        </w:rPr>
        <w:t>2,033</w:t>
      </w:r>
    </w:p>
    <w:p>
      <w:pPr>
        <w:spacing w:after="0" w:line="59" w:lineRule="exact"/>
        <w:rPr>
          <w:rFonts w:ascii="Arial" w:cs="Arial" w:eastAsia="Arial" w:hAnsi="Arial"/>
          <w:sz w:val="15"/>
          <w:szCs w:val="15"/>
          <w:color w:val="51555C"/>
        </w:rPr>
      </w:pPr>
    </w:p>
    <w:p>
      <w:pPr>
        <w:ind w:left="640"/>
        <w:spacing w:after="0"/>
        <w:rPr>
          <w:rFonts w:ascii="Arial" w:cs="Arial" w:eastAsia="Arial" w:hAnsi="Arial"/>
          <w:sz w:val="15"/>
          <w:szCs w:val="15"/>
          <w:color w:val="51555C"/>
        </w:rPr>
      </w:pPr>
      <w:r>
        <w:rPr>
          <w:rFonts w:ascii="Arial" w:cs="Arial" w:eastAsia="Arial" w:hAnsi="Arial"/>
          <w:sz w:val="16"/>
          <w:szCs w:val="16"/>
          <w:color w:val="51555C"/>
        </w:rPr>
        <w:t>12,92922,991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1543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3"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6"/>
          <w:szCs w:val="16"/>
          <w:color w:val="51555C"/>
        </w:rPr>
        <w:t>284,244</w:t>
      </w:r>
      <w:r>
        <w:rPr>
          <w:sz w:val="20"/>
          <w:szCs w:val="20"/>
          <w:color w:val="auto"/>
        </w:rPr>
        <w:tab/>
      </w:r>
      <w:r>
        <w:rPr>
          <w:rFonts w:ascii="Arial" w:cs="Arial" w:eastAsia="Arial" w:hAnsi="Arial"/>
          <w:sz w:val="16"/>
          <w:szCs w:val="16"/>
          <w:color w:val="51555C"/>
        </w:rPr>
        <w:t>207,540</w:t>
      </w:r>
    </w:p>
    <w:p>
      <w:pPr>
        <w:spacing w:after="0" w:line="302" w:lineRule="exact"/>
        <w:rPr>
          <w:sz w:val="20"/>
          <w:szCs w:val="20"/>
          <w:color w:val="auto"/>
        </w:rPr>
      </w:pPr>
    </w:p>
    <w:p>
      <w:pPr>
        <w:jc w:val="both"/>
        <w:ind w:left="660"/>
        <w:spacing w:after="0"/>
        <w:tabs>
          <w:tab w:leader="none" w:pos="1860" w:val="left"/>
        </w:tabs>
        <w:rPr>
          <w:sz w:val="20"/>
          <w:szCs w:val="20"/>
          <w:color w:val="auto"/>
        </w:rPr>
      </w:pPr>
      <w:r>
        <w:rPr>
          <w:rFonts w:ascii="Arial" w:cs="Arial" w:eastAsia="Arial" w:hAnsi="Arial"/>
          <w:sz w:val="16"/>
          <w:szCs w:val="16"/>
          <w:color w:val="51555C"/>
        </w:rPr>
        <w:t>(7,320)</w:t>
      </w:r>
      <w:r>
        <w:rPr>
          <w:sz w:val="20"/>
          <w:szCs w:val="20"/>
          <w:color w:val="auto"/>
        </w:rPr>
        <w:tab/>
      </w:r>
      <w:r>
        <w:rPr>
          <w:rFonts w:ascii="Arial" w:cs="Arial" w:eastAsia="Arial" w:hAnsi="Arial"/>
          <w:sz w:val="16"/>
          <w:szCs w:val="16"/>
          <w:color w:val="51555C"/>
        </w:rPr>
        <w:t>(4,805)</w:t>
      </w:r>
    </w:p>
    <w:p>
      <w:pPr>
        <w:spacing w:after="0" w:line="5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51555C"/>
        </w:rPr>
        <w:t>(38,635)</w:t>
      </w:r>
      <w:r>
        <w:rPr>
          <w:sz w:val="20"/>
          <w:szCs w:val="20"/>
          <w:color w:val="auto"/>
        </w:rPr>
        <w:tab/>
      </w:r>
      <w:r>
        <w:rPr>
          <w:rFonts w:ascii="Arial" w:cs="Arial" w:eastAsia="Arial" w:hAnsi="Arial"/>
          <w:sz w:val="16"/>
          <w:szCs w:val="16"/>
          <w:color w:val="51555C"/>
        </w:rPr>
        <w:t>(40,268)</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51555C"/>
        </w:rPr>
        <w:t>—(12,235)</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51555C"/>
        </w:rPr>
        <w:t>(8,675)—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1543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3"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51555C"/>
        </w:rPr>
        <w:t>(54,630)</w:t>
      </w:r>
      <w:r>
        <w:rPr>
          <w:sz w:val="20"/>
          <w:szCs w:val="20"/>
          <w:color w:val="auto"/>
        </w:rPr>
        <w:tab/>
      </w:r>
      <w:r>
        <w:rPr>
          <w:rFonts w:ascii="Arial" w:cs="Arial" w:eastAsia="Arial" w:hAnsi="Arial"/>
          <w:sz w:val="16"/>
          <w:szCs w:val="16"/>
          <w:color w:val="51555C"/>
        </w:rPr>
        <w:t>(57,308)</w:t>
      </w:r>
    </w:p>
    <w:p>
      <w:pPr>
        <w:spacing w:after="0" w:line="302"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6"/>
          <w:szCs w:val="16"/>
          <w:color w:val="51555C"/>
        </w:rPr>
        <w:t>230,700</w:t>
      </w:r>
      <w:r>
        <w:rPr>
          <w:sz w:val="20"/>
          <w:szCs w:val="20"/>
          <w:color w:val="auto"/>
        </w:rPr>
        <w:tab/>
      </w:r>
      <w:r>
        <w:rPr>
          <w:rFonts w:ascii="Arial" w:cs="Arial" w:eastAsia="Arial" w:hAnsi="Arial"/>
          <w:sz w:val="16"/>
          <w:szCs w:val="16"/>
          <w:color w:val="51555C"/>
        </w:rPr>
        <w:t>307,000</w:t>
      </w:r>
    </w:p>
    <w:p>
      <w:pPr>
        <w:spacing w:after="0" w:line="59" w:lineRule="exact"/>
        <w:rPr>
          <w:sz w:val="20"/>
          <w:szCs w:val="20"/>
          <w:color w:val="auto"/>
        </w:rPr>
      </w:pPr>
    </w:p>
    <w:p>
      <w:pPr>
        <w:jc w:val="both"/>
        <w:ind w:left="480"/>
        <w:spacing w:after="0"/>
        <w:tabs>
          <w:tab w:leader="none" w:pos="1680" w:val="left"/>
        </w:tabs>
        <w:rPr>
          <w:sz w:val="20"/>
          <w:szCs w:val="20"/>
          <w:color w:val="auto"/>
        </w:rPr>
      </w:pPr>
      <w:r>
        <w:rPr>
          <w:rFonts w:ascii="Arial" w:cs="Arial" w:eastAsia="Arial" w:hAnsi="Arial"/>
          <w:sz w:val="16"/>
          <w:szCs w:val="16"/>
          <w:color w:val="51555C"/>
        </w:rPr>
        <w:t>(307,760)</w:t>
      </w:r>
      <w:r>
        <w:rPr>
          <w:sz w:val="20"/>
          <w:szCs w:val="20"/>
          <w:color w:val="auto"/>
        </w:rPr>
        <w:tab/>
      </w:r>
      <w:r>
        <w:rPr>
          <w:rFonts w:ascii="Arial" w:cs="Arial" w:eastAsia="Arial" w:hAnsi="Arial"/>
          <w:sz w:val="16"/>
          <w:szCs w:val="16"/>
          <w:color w:val="51555C"/>
        </w:rPr>
        <w:t>(316,922)</w:t>
      </w:r>
    </w:p>
    <w:p>
      <w:pPr>
        <w:spacing w:after="0" w:line="5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51555C"/>
        </w:rPr>
        <w:t>(25,696)</w:t>
      </w:r>
      <w:r>
        <w:rPr>
          <w:sz w:val="20"/>
          <w:szCs w:val="20"/>
          <w:color w:val="auto"/>
        </w:rPr>
        <w:tab/>
      </w:r>
      <w:r>
        <w:rPr>
          <w:rFonts w:ascii="Arial" w:cs="Arial" w:eastAsia="Arial" w:hAnsi="Arial"/>
          <w:sz w:val="16"/>
          <w:szCs w:val="16"/>
          <w:color w:val="51555C"/>
        </w:rPr>
        <w:t>(39,669)</w:t>
      </w:r>
    </w:p>
    <w:p>
      <w:pPr>
        <w:spacing w:after="0" w:line="59" w:lineRule="exact"/>
        <w:rPr>
          <w:sz w:val="20"/>
          <w:szCs w:val="20"/>
          <w:color w:val="auto"/>
        </w:rPr>
      </w:pPr>
    </w:p>
    <w:p>
      <w:pPr>
        <w:jc w:val="both"/>
        <w:ind w:left="480"/>
        <w:spacing w:after="0"/>
        <w:tabs>
          <w:tab w:leader="none" w:pos="1680" w:val="left"/>
        </w:tabs>
        <w:rPr>
          <w:sz w:val="20"/>
          <w:szCs w:val="20"/>
          <w:color w:val="auto"/>
        </w:rPr>
      </w:pPr>
      <w:r>
        <w:rPr>
          <w:rFonts w:ascii="Arial" w:cs="Arial" w:eastAsia="Arial" w:hAnsi="Arial"/>
          <w:sz w:val="16"/>
          <w:szCs w:val="16"/>
          <w:color w:val="51555C"/>
        </w:rPr>
        <w:t>(288,369)</w:t>
      </w:r>
      <w:r>
        <w:rPr>
          <w:sz w:val="20"/>
          <w:szCs w:val="20"/>
          <w:color w:val="auto"/>
        </w:rPr>
        <w:tab/>
      </w:r>
      <w:r>
        <w:rPr>
          <w:rFonts w:ascii="Arial" w:cs="Arial" w:eastAsia="Arial" w:hAnsi="Arial"/>
          <w:sz w:val="16"/>
          <w:szCs w:val="16"/>
          <w:color w:val="51555C"/>
        </w:rPr>
        <w:t>(323,467)</w:t>
      </w:r>
    </w:p>
    <w:p>
      <w:pPr>
        <w:spacing w:after="0" w:line="59" w:lineRule="exact"/>
        <w:rPr>
          <w:sz w:val="20"/>
          <w:szCs w:val="20"/>
          <w:color w:val="auto"/>
        </w:rPr>
      </w:pPr>
    </w:p>
    <w:p>
      <w:pPr>
        <w:jc w:val="both"/>
        <w:ind w:left="660"/>
        <w:spacing w:after="0"/>
        <w:tabs>
          <w:tab w:leader="none" w:pos="1860" w:val="left"/>
        </w:tabs>
        <w:rPr>
          <w:sz w:val="20"/>
          <w:szCs w:val="20"/>
          <w:color w:val="auto"/>
        </w:rPr>
      </w:pPr>
      <w:r>
        <w:rPr>
          <w:rFonts w:ascii="Arial" w:cs="Arial" w:eastAsia="Arial" w:hAnsi="Arial"/>
          <w:sz w:val="16"/>
          <w:szCs w:val="16"/>
          <w:color w:val="51555C"/>
        </w:rPr>
        <w:t>(2,692)</w:t>
      </w:r>
      <w:r>
        <w:rPr>
          <w:sz w:val="20"/>
          <w:szCs w:val="20"/>
          <w:color w:val="auto"/>
        </w:rPr>
        <w:tab/>
      </w:r>
      <w:r>
        <w:rPr>
          <w:rFonts w:ascii="Arial" w:cs="Arial" w:eastAsia="Arial" w:hAnsi="Arial"/>
          <w:sz w:val="16"/>
          <w:szCs w:val="16"/>
          <w:color w:val="51555C"/>
        </w:rPr>
        <w:t>(1,676)</w:t>
      </w:r>
    </w:p>
    <w:p>
      <w:pPr>
        <w:spacing w:after="0" w:line="59" w:lineRule="exact"/>
        <w:rPr>
          <w:sz w:val="20"/>
          <w:szCs w:val="20"/>
          <w:color w:val="auto"/>
        </w:rPr>
      </w:pPr>
    </w:p>
    <w:p>
      <w:pPr>
        <w:jc w:val="both"/>
        <w:ind w:left="480"/>
        <w:spacing w:after="0"/>
        <w:tabs>
          <w:tab w:leader="none" w:pos="1680" w:val="left"/>
        </w:tabs>
        <w:rPr>
          <w:sz w:val="20"/>
          <w:szCs w:val="20"/>
          <w:color w:val="auto"/>
        </w:rPr>
      </w:pPr>
      <w:r>
        <w:rPr>
          <w:rFonts w:ascii="Arial" w:cs="Arial" w:eastAsia="Arial" w:hAnsi="Arial"/>
          <w:sz w:val="16"/>
          <w:szCs w:val="16"/>
          <w:color w:val="51555C"/>
        </w:rPr>
        <w:t>(129,933)</w:t>
      </w:r>
      <w:r>
        <w:rPr>
          <w:sz w:val="20"/>
          <w:szCs w:val="20"/>
          <w:color w:val="auto"/>
        </w:rPr>
        <w:tab/>
      </w:r>
      <w:r>
        <w:rPr>
          <w:rFonts w:ascii="Arial" w:cs="Arial" w:eastAsia="Arial" w:hAnsi="Arial"/>
          <w:sz w:val="16"/>
          <w:szCs w:val="16"/>
          <w:color w:val="51555C"/>
        </w:rPr>
        <w:t>(133,338)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15430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3" w:lineRule="exact"/>
        <w:rPr>
          <w:sz w:val="20"/>
          <w:szCs w:val="20"/>
          <w:color w:val="auto"/>
        </w:rPr>
      </w:pPr>
    </w:p>
    <w:p>
      <w:pPr>
        <w:jc w:val="both"/>
        <w:ind w:left="480"/>
        <w:spacing w:after="0"/>
        <w:tabs>
          <w:tab w:leader="none" w:pos="1680" w:val="left"/>
        </w:tabs>
        <w:rPr>
          <w:sz w:val="20"/>
          <w:szCs w:val="20"/>
          <w:color w:val="auto"/>
        </w:rPr>
      </w:pPr>
      <w:r>
        <w:rPr>
          <w:rFonts w:ascii="Arial" w:cs="Arial" w:eastAsia="Arial" w:hAnsi="Arial"/>
          <w:sz w:val="16"/>
          <w:szCs w:val="16"/>
          <w:color w:val="51555C"/>
        </w:rPr>
        <w:t>(523,750)</w:t>
      </w:r>
      <w:r>
        <w:rPr>
          <w:sz w:val="20"/>
          <w:szCs w:val="20"/>
          <w:color w:val="auto"/>
        </w:rPr>
        <w:tab/>
      </w:r>
      <w:r>
        <w:rPr>
          <w:rFonts w:ascii="Arial" w:cs="Arial" w:eastAsia="Arial" w:hAnsi="Arial"/>
          <w:sz w:val="16"/>
          <w:szCs w:val="16"/>
          <w:color w:val="51555C"/>
        </w:rPr>
        <w:t>(508,072)</w:t>
      </w:r>
    </w:p>
    <w:p>
      <w:pPr>
        <w:spacing w:after="0" w:line="59" w:lineRule="exact"/>
        <w:rPr>
          <w:sz w:val="20"/>
          <w:szCs w:val="20"/>
          <w:color w:val="auto"/>
        </w:rPr>
      </w:pPr>
    </w:p>
    <w:p>
      <w:pPr>
        <w:ind w:left="1940" w:hanging="1147"/>
        <w:spacing w:after="0"/>
        <w:tabs>
          <w:tab w:leader="none" w:pos="1940" w:val="left"/>
        </w:tabs>
        <w:numPr>
          <w:ilvl w:val="0"/>
          <w:numId w:val="5"/>
        </w:numPr>
        <w:rPr>
          <w:rFonts w:ascii="Arial" w:cs="Arial" w:eastAsia="Arial" w:hAnsi="Arial"/>
          <w:sz w:val="16"/>
          <w:szCs w:val="16"/>
          <w:color w:val="51555C"/>
        </w:rPr>
      </w:pPr>
      <w:r>
        <w:rPr>
          <w:rFonts w:ascii="Arial" w:cs="Arial" w:eastAsia="Arial" w:hAnsi="Arial"/>
          <w:sz w:val="16"/>
          <w:szCs w:val="16"/>
          <w:color w:val="51555C"/>
        </w:rPr>
        <w:t>5,768</w:t>
      </w:r>
    </w:p>
    <w:p>
      <w:pPr>
        <w:spacing w:after="0" w:line="72" w:lineRule="exact"/>
        <w:rPr>
          <w:rFonts w:ascii="Arial" w:cs="Arial" w:eastAsia="Arial" w:hAnsi="Arial"/>
          <w:sz w:val="16"/>
          <w:szCs w:val="16"/>
          <w:color w:val="51555C"/>
        </w:rPr>
      </w:pPr>
    </w:p>
    <w:p>
      <w:pPr>
        <w:ind w:left="480"/>
        <w:spacing w:after="0"/>
        <w:rPr>
          <w:rFonts w:ascii="Arial" w:cs="Arial" w:eastAsia="Arial" w:hAnsi="Arial"/>
          <w:sz w:val="16"/>
          <w:szCs w:val="16"/>
          <w:color w:val="51555C"/>
        </w:rPr>
      </w:pPr>
      <w:r>
        <w:rPr>
          <w:rFonts w:ascii="Arial" w:cs="Arial" w:eastAsia="Arial" w:hAnsi="Arial"/>
          <w:sz w:val="16"/>
          <w:szCs w:val="16"/>
          <w:color w:val="51555C"/>
        </w:rPr>
        <w:t>(295,075)</w:t>
      </w:r>
      <w:r>
        <w:rPr>
          <w:rFonts w:ascii="Arial" w:cs="Arial" w:eastAsia="Arial" w:hAnsi="Arial"/>
          <w:sz w:val="15"/>
          <w:szCs w:val="15"/>
          <w:color w:val="51555C"/>
        </w:rPr>
        <w:t>(352,072)</w:t>
      </w:r>
    </w:p>
    <w:p>
      <w:pPr>
        <w:spacing w:after="0" w:line="59" w:lineRule="exact"/>
        <w:rPr>
          <w:rFonts w:ascii="Arial" w:cs="Arial" w:eastAsia="Arial" w:hAnsi="Arial"/>
          <w:sz w:val="16"/>
          <w:szCs w:val="16"/>
          <w:color w:val="51555C"/>
        </w:rPr>
      </w:pPr>
    </w:p>
    <w:p>
      <w:pPr>
        <w:ind w:left="540"/>
        <w:spacing w:after="0"/>
        <w:rPr>
          <w:rFonts w:ascii="Arial" w:cs="Arial" w:eastAsia="Arial" w:hAnsi="Arial"/>
          <w:sz w:val="16"/>
          <w:szCs w:val="16"/>
          <w:color w:val="51555C"/>
        </w:rPr>
      </w:pPr>
      <w:r>
        <w:rPr>
          <w:rFonts w:ascii="Arial" w:cs="Arial" w:eastAsia="Arial" w:hAnsi="Arial"/>
          <w:sz w:val="16"/>
          <w:szCs w:val="16"/>
          <w:color w:val="51555C"/>
        </w:rPr>
        <w:t>758,975809,512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1543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-287020</wp:posOffset>
            </wp:positionV>
            <wp:extent cx="1543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3" w:lineRule="exact"/>
        <w:rPr>
          <w:sz w:val="20"/>
          <w:szCs w:val="20"/>
          <w:color w:val="auto"/>
        </w:rPr>
      </w:pPr>
    </w:p>
    <w:p>
      <w:pPr>
        <w:spacing w:after="0"/>
        <w:tabs>
          <w:tab w:leader="none" w:pos="520" w:val="left"/>
          <w:tab w:leader="none" w:pos="1740" w:val="left"/>
        </w:tabs>
        <w:rPr>
          <w:sz w:val="20"/>
          <w:szCs w:val="20"/>
          <w:color w:val="auto"/>
        </w:rPr>
      </w:pPr>
      <w:r>
        <w:rPr>
          <w:rFonts w:ascii="Arial" w:cs="Arial" w:eastAsia="Arial" w:hAnsi="Arial"/>
          <w:sz w:val="16"/>
          <w:szCs w:val="16"/>
          <w:color w:val="51555C"/>
        </w:rPr>
        <w:t>$</w:t>
      </w:r>
      <w:r>
        <w:rPr>
          <w:sz w:val="20"/>
          <w:szCs w:val="20"/>
          <w:color w:val="auto"/>
        </w:rPr>
        <w:tab/>
      </w:r>
      <w:r>
        <w:rPr>
          <w:rFonts w:ascii="Arial" w:cs="Arial" w:eastAsia="Arial" w:hAnsi="Arial"/>
          <w:sz w:val="16"/>
          <w:szCs w:val="16"/>
          <w:color w:val="51555C"/>
        </w:rPr>
        <w:t>463,900 $</w:t>
      </w:r>
      <w:r>
        <w:rPr>
          <w:sz w:val="20"/>
          <w:szCs w:val="20"/>
          <w:color w:val="auto"/>
        </w:rPr>
        <w:tab/>
      </w:r>
      <w:r>
        <w:rPr>
          <w:rFonts w:ascii="Arial" w:cs="Arial" w:eastAsia="Arial" w:hAnsi="Arial"/>
          <w:sz w:val="16"/>
          <w:szCs w:val="16"/>
          <w:color w:val="51555C"/>
        </w:rPr>
        <w:t>457,440</w:t>
      </w:r>
    </w:p>
    <w:p>
      <w:pPr>
        <w:spacing w:after="0" w:line="248" w:lineRule="exact"/>
        <w:rPr>
          <w:sz w:val="20"/>
          <w:szCs w:val="20"/>
          <w:color w:val="auto"/>
        </w:rPr>
      </w:pPr>
    </w:p>
    <w:p>
      <w:pPr>
        <w:sectPr>
          <w:pgSz w:w="11900" w:h="16838" w:orient="portrait"/>
          <w:cols w:equalWidth="0" w:num="2">
            <w:col w:w="8080" w:space="720"/>
            <w:col w:w="2460"/>
          </w:cols>
          <w:pgMar w:left="320" w:top="1440" w:right="319" w:bottom="1440" w:gutter="0" w:footer="0" w:header="0"/>
          <w:type w:val="continuous"/>
        </w:sectPr>
      </w:pPr>
    </w:p>
    <w:p>
      <w:pPr>
        <w:ind w:right="20"/>
        <w:spacing w:after="0" w:line="286" w:lineRule="auto"/>
        <w:rPr>
          <w:sz w:val="20"/>
          <w:szCs w:val="20"/>
          <w:color w:val="auto"/>
        </w:rPr>
      </w:pPr>
      <w:r>
        <w:rPr>
          <w:rFonts w:ascii="Arial" w:cs="Arial" w:eastAsia="Arial" w:hAnsi="Arial"/>
          <w:sz w:val="16"/>
          <w:szCs w:val="16"/>
          <w:color w:val="51555C"/>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80" w:type="dxa"/>
            <w:vAlign w:val="bottom"/>
            <w:shd w:val="clear" w:color="auto" w:fill="004054"/>
          </w:tcPr>
          <w:p>
            <w:pPr>
              <w:spacing w:after="0"/>
              <w:rPr>
                <w:sz w:val="17"/>
                <w:szCs w:val="17"/>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8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7"/>
                <w:szCs w:val="17"/>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80" w:type="dxa"/>
            <w:vAlign w:val="bottom"/>
            <w:tcBorders>
              <w:bottom w:val="single" w:sz="8" w:color="004054"/>
            </w:tcBorders>
            <w:shd w:val="clear" w:color="auto" w:fill="004054"/>
          </w:tcPr>
          <w:p>
            <w:pPr>
              <w:spacing w:after="0"/>
              <w:rPr>
                <w:sz w:val="17"/>
                <w:szCs w:val="17"/>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43"/>
        </w:trPr>
        <w:tc>
          <w:tcPr>
            <w:tcW w:w="8800" w:type="dxa"/>
            <w:vAlign w:val="bottom"/>
            <w:shd w:val="clear" w:color="auto" w:fill="EBFBFF"/>
          </w:tcPr>
          <w:p>
            <w:pPr>
              <w:ind w:left="20"/>
              <w:spacing w:after="0"/>
              <w:rPr>
                <w:sz w:val="20"/>
                <w:szCs w:val="20"/>
                <w:color w:val="auto"/>
              </w:rPr>
            </w:pPr>
            <w:r>
              <w:rPr>
                <w:rFonts w:ascii="Arial" w:cs="Arial" w:eastAsia="Arial" w:hAnsi="Arial"/>
                <w:sz w:val="16"/>
                <w:szCs w:val="16"/>
                <w:color w:val="51555C"/>
              </w:rPr>
              <w:t>Cash and cash equivalents</w:t>
            </w:r>
          </w:p>
        </w:tc>
        <w:tc>
          <w:tcPr>
            <w:tcW w:w="1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35,734</w:t>
            </w:r>
          </w:p>
        </w:tc>
        <w:tc>
          <w:tcPr>
            <w:tcW w:w="1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38,914</w:t>
            </w:r>
          </w:p>
        </w:tc>
        <w:tc>
          <w:tcPr>
            <w:tcW w:w="20" w:type="dxa"/>
            <w:vAlign w:val="bottom"/>
          </w:tcPr>
          <w:p>
            <w:pPr>
              <w:spacing w:after="0"/>
              <w:rPr>
                <w:sz w:val="21"/>
                <w:szCs w:val="21"/>
                <w:color w:val="auto"/>
              </w:rPr>
            </w:pPr>
          </w:p>
        </w:tc>
      </w:tr>
      <w:tr>
        <w:trPr>
          <w:trHeight w:val="236"/>
        </w:trPr>
        <w:tc>
          <w:tcPr>
            <w:tcW w:w="8800" w:type="dxa"/>
            <w:vAlign w:val="bottom"/>
            <w:tcBorders>
              <w:bottom w:val="single" w:sz="8" w:color="EBFBFF"/>
            </w:tcBorders>
          </w:tcPr>
          <w:p>
            <w:pPr>
              <w:ind w:left="20"/>
              <w:spacing w:after="0"/>
              <w:rPr>
                <w:sz w:val="20"/>
                <w:szCs w:val="20"/>
                <w:color w:val="auto"/>
              </w:rPr>
            </w:pPr>
            <w:r>
              <w:rPr>
                <w:rFonts w:ascii="Arial" w:cs="Arial" w:eastAsia="Arial" w:hAnsi="Arial"/>
                <w:sz w:val="16"/>
                <w:szCs w:val="16"/>
                <w:color w:val="51555C"/>
              </w:rPr>
              <w:t>Restricted cash</w:t>
            </w:r>
          </w:p>
        </w:tc>
        <w:tc>
          <w:tcPr>
            <w:tcW w:w="1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428,166</w:t>
            </w:r>
          </w:p>
        </w:tc>
        <w:tc>
          <w:tcPr>
            <w:tcW w:w="1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ind w:right="3"/>
              <w:spacing w:after="0"/>
              <w:rPr>
                <w:sz w:val="20"/>
                <w:szCs w:val="20"/>
                <w:color w:val="auto"/>
              </w:rPr>
            </w:pPr>
            <w:r>
              <w:rPr>
                <w:rFonts w:ascii="Arial" w:cs="Arial" w:eastAsia="Arial" w:hAnsi="Arial"/>
                <w:sz w:val="16"/>
                <w:szCs w:val="16"/>
                <w:color w:val="51555C"/>
              </w:rPr>
              <w:t>720,061</w:t>
            </w:r>
          </w:p>
        </w:tc>
        <w:tc>
          <w:tcPr>
            <w:tcW w:w="20" w:type="dxa"/>
            <w:vAlign w:val="bottom"/>
          </w:tcPr>
          <w:p>
            <w:pPr>
              <w:spacing w:after="0"/>
              <w:rPr>
                <w:sz w:val="20"/>
                <w:szCs w:val="20"/>
                <w:color w:val="auto"/>
              </w:rPr>
            </w:pPr>
          </w:p>
        </w:tc>
      </w:tr>
      <w:tr>
        <w:trPr>
          <w:trHeight w:val="236"/>
        </w:trPr>
        <w:tc>
          <w:tcPr>
            <w:tcW w:w="880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6"/>
                <w:szCs w:val="16"/>
                <w:color w:val="51555C"/>
              </w:rPr>
              <w:t>Total cash, cash equivalents and restricted cash in the statement of cash flows</w:t>
            </w:r>
          </w:p>
        </w:tc>
        <w:tc>
          <w:tcPr>
            <w:tcW w:w="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463,900</w:t>
            </w:r>
          </w:p>
        </w:tc>
        <w:tc>
          <w:tcPr>
            <w:tcW w:w="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0CD973"/>
            </w:tcBorders>
            <w:shd w:val="clear" w:color="auto" w:fill="EBFBFF"/>
          </w:tcPr>
          <w:p>
            <w:pPr>
              <w:jc w:val="right"/>
              <w:ind w:right="3"/>
              <w:spacing w:after="0"/>
              <w:rPr>
                <w:sz w:val="20"/>
                <w:szCs w:val="20"/>
                <w:color w:val="auto"/>
              </w:rPr>
            </w:pPr>
            <w:r>
              <w:rPr>
                <w:rFonts w:ascii="Arial" w:cs="Arial" w:eastAsia="Arial" w:hAnsi="Arial"/>
                <w:sz w:val="16"/>
                <w:szCs w:val="16"/>
                <w:color w:val="51555C"/>
              </w:rPr>
              <w:t>758,975</w:t>
            </w:r>
          </w:p>
        </w:tc>
        <w:tc>
          <w:tcPr>
            <w:tcW w:w="20" w:type="dxa"/>
            <w:vAlign w:val="bottom"/>
          </w:tcPr>
          <w:p>
            <w:pPr>
              <w:spacing w:after="0"/>
              <w:rPr>
                <w:sz w:val="20"/>
                <w:szCs w:val="20"/>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312420</wp:posOffset>
            </wp:positionV>
            <wp:extent cx="67691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5</w:t>
            </w:r>
          </w:p>
        </w:tc>
      </w:tr>
      <w:tr>
        <w:trPr>
          <w:trHeight w:val="32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319"/>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1555C"/>
        </w:rPr>
        <w:t>Condensed Consolidated Statements of Stockholders' Equity</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shd w:val="clear" w:color="auto" w:fill="004054"/>
          </w:tcPr>
          <w:p>
            <w:pPr>
              <w:spacing w:after="0"/>
              <w:rPr>
                <w:sz w:val="19"/>
                <w:szCs w:val="19"/>
                <w:color w:val="auto"/>
              </w:rPr>
            </w:pPr>
          </w:p>
        </w:tc>
        <w:tc>
          <w:tcPr>
            <w:tcW w:w="88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56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94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90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120" w:type="dxa"/>
            <w:vAlign w:val="bottom"/>
            <w:shd w:val="clear" w:color="auto" w:fill="004054"/>
          </w:tcPr>
          <w:p>
            <w:pPr>
              <w:spacing w:after="0"/>
              <w:rPr>
                <w:sz w:val="19"/>
                <w:szCs w:val="19"/>
                <w:color w:val="auto"/>
              </w:rPr>
            </w:pPr>
          </w:p>
        </w:tc>
        <w:tc>
          <w:tcPr>
            <w:tcW w:w="68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78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004054"/>
          </w:tcPr>
          <w:p>
            <w:pPr>
              <w:spacing w:after="0"/>
              <w:rPr>
                <w:sz w:val="15"/>
                <w:szCs w:val="15"/>
                <w:color w:val="auto"/>
              </w:rPr>
            </w:pPr>
          </w:p>
        </w:tc>
        <w:tc>
          <w:tcPr>
            <w:tcW w:w="156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120" w:type="dxa"/>
            <w:vAlign w:val="bottom"/>
            <w:shd w:val="clear" w:color="auto" w:fill="004054"/>
          </w:tcPr>
          <w:p>
            <w:pPr>
              <w:spacing w:after="0"/>
              <w:rPr>
                <w:sz w:val="15"/>
                <w:szCs w:val="15"/>
                <w:color w:val="auto"/>
              </w:rPr>
            </w:pPr>
          </w:p>
        </w:tc>
        <w:tc>
          <w:tcPr>
            <w:tcW w:w="194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 stock</w:t>
            </w:r>
          </w:p>
        </w:tc>
        <w:tc>
          <w:tcPr>
            <w:tcW w:w="120" w:type="dxa"/>
            <w:vAlign w:val="bottom"/>
            <w:shd w:val="clear" w:color="auto" w:fill="004054"/>
          </w:tcPr>
          <w:p>
            <w:pPr>
              <w:spacing w:after="0"/>
              <w:rPr>
                <w:sz w:val="15"/>
                <w:szCs w:val="15"/>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14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120" w:type="dxa"/>
            <w:vAlign w:val="bottom"/>
            <w:shd w:val="clear" w:color="auto" w:fill="004054"/>
          </w:tcPr>
          <w:p>
            <w:pPr>
              <w:spacing w:after="0"/>
              <w:rPr>
                <w:sz w:val="15"/>
                <w:szCs w:val="15"/>
                <w:color w:val="auto"/>
              </w:rPr>
            </w:pPr>
          </w:p>
        </w:tc>
        <w:tc>
          <w:tcPr>
            <w:tcW w:w="6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Retained</w:t>
            </w:r>
          </w:p>
        </w:tc>
        <w:tc>
          <w:tcPr>
            <w:tcW w:w="240" w:type="dxa"/>
            <w:vAlign w:val="bottom"/>
            <w:shd w:val="clear" w:color="auto" w:fill="004054"/>
          </w:tcPr>
          <w:p>
            <w:pPr>
              <w:spacing w:after="0"/>
              <w:rPr>
                <w:sz w:val="15"/>
                <w:szCs w:val="15"/>
                <w:color w:val="auto"/>
              </w:rPr>
            </w:pPr>
          </w:p>
        </w:tc>
        <w:tc>
          <w:tcPr>
            <w:tcW w:w="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15"/>
        </w:trPr>
        <w:tc>
          <w:tcPr>
            <w:tcW w:w="3320" w:type="dxa"/>
            <w:vAlign w:val="bottom"/>
            <w:shd w:val="clear" w:color="auto" w:fill="004054"/>
          </w:tcPr>
          <w:p>
            <w:pPr>
              <w:spacing w:after="0"/>
              <w:rPr>
                <w:sz w:val="10"/>
                <w:szCs w:val="10"/>
                <w:color w:val="auto"/>
              </w:rPr>
            </w:pPr>
          </w:p>
        </w:tc>
        <w:tc>
          <w:tcPr>
            <w:tcW w:w="1560" w:type="dxa"/>
            <w:vAlign w:val="bottom"/>
            <w:gridSpan w:val="3"/>
            <w:vMerge w:val="continue"/>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1940" w:type="dxa"/>
            <w:vAlign w:val="bottom"/>
            <w:gridSpan w:val="2"/>
            <w:vMerge w:val="continue"/>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9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114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20" w:type="dxa"/>
            <w:vAlign w:val="bottom"/>
            <w:shd w:val="clear" w:color="auto" w:fill="004054"/>
          </w:tcPr>
          <w:p>
            <w:pPr>
              <w:spacing w:after="0"/>
              <w:rPr>
                <w:sz w:val="10"/>
                <w:szCs w:val="10"/>
                <w:color w:val="auto"/>
              </w:rPr>
            </w:pPr>
          </w:p>
        </w:tc>
        <w:tc>
          <w:tcPr>
            <w:tcW w:w="680" w:type="dxa"/>
            <w:vAlign w:val="bottom"/>
            <w:vMerge w:val="continue"/>
            <w:shd w:val="clear" w:color="auto" w:fill="004054"/>
          </w:tcPr>
          <w:p>
            <w:pPr>
              <w:spacing w:after="0"/>
              <w:rPr>
                <w:sz w:val="10"/>
                <w:szCs w:val="10"/>
                <w:color w:val="auto"/>
              </w:rPr>
            </w:pPr>
          </w:p>
        </w:tc>
        <w:tc>
          <w:tcPr>
            <w:tcW w:w="102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47"/>
        </w:trPr>
        <w:tc>
          <w:tcPr>
            <w:tcW w:w="3320" w:type="dxa"/>
            <w:vAlign w:val="bottom"/>
            <w:shd w:val="clear" w:color="auto" w:fill="004054"/>
          </w:tcPr>
          <w:p>
            <w:pPr>
              <w:spacing w:after="0"/>
              <w:rPr>
                <w:sz w:val="4"/>
                <w:szCs w:val="4"/>
                <w:color w:val="auto"/>
              </w:rPr>
            </w:pPr>
          </w:p>
        </w:tc>
        <w:tc>
          <w:tcPr>
            <w:tcW w:w="88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56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940" w:type="dxa"/>
            <w:vAlign w:val="bottom"/>
            <w:shd w:val="clear" w:color="auto" w:fill="004054"/>
          </w:tcPr>
          <w:p>
            <w:pPr>
              <w:spacing w:after="0"/>
              <w:rPr>
                <w:sz w:val="4"/>
                <w:szCs w:val="4"/>
                <w:color w:val="auto"/>
              </w:rPr>
            </w:pPr>
          </w:p>
        </w:tc>
        <w:tc>
          <w:tcPr>
            <w:tcW w:w="100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900" w:type="dxa"/>
            <w:vAlign w:val="bottom"/>
            <w:vMerge w:val="continue"/>
            <w:shd w:val="clear" w:color="auto" w:fill="004054"/>
          </w:tcPr>
          <w:p>
            <w:pPr>
              <w:spacing w:after="0"/>
              <w:rPr>
                <w:sz w:val="4"/>
                <w:szCs w:val="4"/>
                <w:color w:val="auto"/>
              </w:rPr>
            </w:pPr>
          </w:p>
        </w:tc>
        <w:tc>
          <w:tcPr>
            <w:tcW w:w="1140" w:type="dxa"/>
            <w:vAlign w:val="bottom"/>
            <w:gridSpan w:val="2"/>
            <w:vMerge w:val="continue"/>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680" w:type="dxa"/>
            <w:vAlign w:val="bottom"/>
            <w:vMerge w:val="continue"/>
            <w:shd w:val="clear" w:color="auto" w:fill="004054"/>
          </w:tcPr>
          <w:p>
            <w:pPr>
              <w:spacing w:after="0"/>
              <w:rPr>
                <w:sz w:val="4"/>
                <w:szCs w:val="4"/>
                <w:color w:val="auto"/>
              </w:rPr>
            </w:pPr>
          </w:p>
        </w:tc>
        <w:tc>
          <w:tcPr>
            <w:tcW w:w="1020" w:type="dxa"/>
            <w:vAlign w:val="bottom"/>
            <w:gridSpan w:val="2"/>
            <w:vMerge w:val="continue"/>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3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004054"/>
          </w:tcPr>
          <w:p>
            <w:pPr>
              <w:spacing w:after="0"/>
              <w:rPr>
                <w:sz w:val="19"/>
                <w:szCs w:val="19"/>
                <w:color w:val="auto"/>
              </w:rPr>
            </w:pPr>
          </w:p>
        </w:tc>
        <w:tc>
          <w:tcPr>
            <w:tcW w:w="5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8"/>
              </w:rPr>
              <w:t>Amount</w:t>
            </w:r>
          </w:p>
        </w:tc>
        <w:tc>
          <w:tcPr>
            <w:tcW w:w="12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shd w:val="clear" w:color="auto" w:fill="004054"/>
          </w:tcPr>
          <w:p>
            <w:pPr>
              <w:spacing w:after="0"/>
              <w:rPr>
                <w:sz w:val="19"/>
                <w:szCs w:val="19"/>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40" w:type="dxa"/>
            <w:vAlign w:val="bottom"/>
            <w:shd w:val="clear" w:color="auto" w:fill="004054"/>
          </w:tcPr>
          <w:p>
            <w:pPr>
              <w:spacing w:after="0"/>
              <w:rPr>
                <w:sz w:val="19"/>
                <w:szCs w:val="19"/>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(loss) income</w:t>
            </w:r>
          </w:p>
        </w:tc>
        <w:tc>
          <w:tcPr>
            <w:tcW w:w="120" w:type="dxa"/>
            <w:vAlign w:val="bottom"/>
            <w:shd w:val="clear" w:color="auto" w:fill="004054"/>
          </w:tcPr>
          <w:p>
            <w:pPr>
              <w:spacing w:after="0"/>
              <w:rPr>
                <w:sz w:val="19"/>
                <w:szCs w:val="19"/>
                <w:color w:val="auto"/>
              </w:rPr>
            </w:pPr>
          </w:p>
        </w:tc>
        <w:tc>
          <w:tcPr>
            <w:tcW w:w="6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240" w:type="dxa"/>
            <w:vAlign w:val="bottom"/>
            <w:shd w:val="clear" w:color="auto" w:fill="004054"/>
          </w:tcPr>
          <w:p>
            <w:pPr>
              <w:spacing w:after="0"/>
              <w:rPr>
                <w:sz w:val="19"/>
                <w:szCs w:val="19"/>
                <w:color w:val="auto"/>
              </w:rPr>
            </w:pPr>
          </w:p>
        </w:tc>
        <w:tc>
          <w:tcPr>
            <w:tcW w:w="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43"/>
        </w:trPr>
        <w:tc>
          <w:tcPr>
            <w:tcW w:w="3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2025</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72,312,354</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72</w:t>
            </w:r>
          </w:p>
        </w:tc>
        <w:tc>
          <w:tcPr>
            <w:tcW w:w="106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(25,607,029)</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8"/>
              </w:rPr>
              <w:t>$ (1,316,224)</w:t>
            </w:r>
          </w:p>
        </w:tc>
        <w:tc>
          <w:tcPr>
            <w:tcW w:w="102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$1,391,641</w:t>
            </w:r>
          </w:p>
        </w:tc>
        <w:tc>
          <w:tcPr>
            <w:tcW w:w="14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(5,948)</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15,513</w:t>
            </w:r>
          </w:p>
        </w:tc>
        <w:tc>
          <w:tcPr>
            <w:tcW w:w="24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85,054</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31,139</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31,139</w:t>
            </w:r>
          </w:p>
        </w:tc>
        <w:tc>
          <w:tcPr>
            <w:tcW w:w="0" w:type="dxa"/>
            <w:vAlign w:val="bottom"/>
          </w:tcPr>
          <w:p>
            <w:pPr>
              <w:spacing w:after="0"/>
              <w:rPr>
                <w:sz w:val="1"/>
                <w:szCs w:val="1"/>
                <w:color w:val="auto"/>
              </w:rPr>
            </w:pPr>
          </w:p>
        </w:tc>
      </w:tr>
      <w:tr>
        <w:trPr>
          <w:trHeight w:val="210"/>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treasury shares under stock</w:t>
            </w:r>
          </w:p>
        </w:tc>
        <w:tc>
          <w:tcPr>
            <w:tcW w:w="8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0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68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78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repurchase program, inclusive of excise tax</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(1,601,057)</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(82,507)</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(82,507)</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880" w:type="dxa"/>
            <w:vAlign w:val="bottom"/>
          </w:tcPr>
          <w:p>
            <w:pPr>
              <w:jc w:val="right"/>
              <w:spacing w:after="0"/>
              <w:rPr>
                <w:sz w:val="20"/>
                <w:szCs w:val="20"/>
                <w:color w:val="auto"/>
              </w:rPr>
            </w:pPr>
            <w:r>
              <w:rPr>
                <w:rFonts w:ascii="Arial" w:cs="Arial" w:eastAsia="Arial" w:hAnsi="Arial"/>
                <w:sz w:val="16"/>
                <w:szCs w:val="16"/>
                <w:color w:val="51555C"/>
              </w:rPr>
              <w:t>1,032,903</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Shares withheld to satisfy tax withholdings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(509,577)</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(25,112)</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(25,112)</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51555C"/>
              </w:rPr>
              <w:t>23,880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23,880</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684,889</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880" w:type="dxa"/>
            <w:vAlign w:val="bottom"/>
          </w:tcPr>
          <w:p>
            <w:pPr>
              <w:jc w:val="right"/>
              <w:spacing w:after="0"/>
              <w:rPr>
                <w:sz w:val="20"/>
                <w:szCs w:val="20"/>
                <w:color w:val="auto"/>
              </w:rPr>
            </w:pPr>
            <w:r>
              <w:rPr>
                <w:rFonts w:ascii="Arial" w:cs="Arial" w:eastAsia="Arial" w:hAnsi="Arial"/>
                <w:sz w:val="16"/>
                <w:szCs w:val="16"/>
                <w:color w:val="51555C"/>
              </w:rPr>
              <w:t>(14,515)</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income</w:t>
            </w:r>
          </w:p>
        </w:tc>
        <w:tc>
          <w:tcPr>
            <w:tcW w:w="8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5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9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shd w:val="clear" w:color="auto" w:fill="EBFBFF"/>
          </w:tcPr>
          <w:p>
            <w:pPr>
              <w:spacing w:after="0"/>
              <w:rPr>
                <w:sz w:val="21"/>
                <w:szCs w:val="21"/>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2,098</w:t>
            </w:r>
          </w:p>
        </w:tc>
        <w:tc>
          <w:tcPr>
            <w:tcW w:w="120" w:type="dxa"/>
            <w:vAlign w:val="bottom"/>
            <w:tcBorders>
              <w:bottom w:val="single" w:sz="8" w:color="51555C"/>
            </w:tcBorders>
            <w:shd w:val="clear" w:color="auto" w:fill="EBFBFF"/>
          </w:tcPr>
          <w:p>
            <w:pPr>
              <w:spacing w:after="0"/>
              <w:rPr>
                <w:sz w:val="21"/>
                <w:szCs w:val="21"/>
                <w:color w:val="auto"/>
              </w:rPr>
            </w:pPr>
          </w:p>
        </w:tc>
        <w:tc>
          <w:tcPr>
            <w:tcW w:w="6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2,098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6"/>
                <w:szCs w:val="16"/>
                <w:b w:val="1"/>
                <w:bCs w:val="1"/>
                <w:color w:val="51555C"/>
              </w:rPr>
              <w:t>Balance at March 31, 2026</w:t>
            </w:r>
          </w:p>
        </w:tc>
        <w:tc>
          <w:tcPr>
            <w:tcW w:w="880" w:type="dxa"/>
            <w:vAlign w:val="bottom"/>
          </w:tcPr>
          <w:p>
            <w:pPr>
              <w:jc w:val="right"/>
              <w:spacing w:after="0"/>
              <w:rPr>
                <w:sz w:val="20"/>
                <w:szCs w:val="20"/>
                <w:color w:val="auto"/>
              </w:rPr>
            </w:pPr>
            <w:r>
              <w:rPr>
                <w:rFonts w:ascii="Arial" w:cs="Arial" w:eastAsia="Arial" w:hAnsi="Arial"/>
                <w:sz w:val="16"/>
                <w:szCs w:val="16"/>
                <w:color w:val="51555C"/>
                <w:w w:val="99"/>
              </w:rPr>
              <w:t>74,015,631</w:t>
            </w:r>
          </w:p>
        </w:tc>
        <w:tc>
          <w:tcPr>
            <w:tcW w:w="120" w:type="dxa"/>
            <w:vAlign w:val="bottom"/>
          </w:tcPr>
          <w:p>
            <w:pPr>
              <w:jc w:val="right"/>
              <w:spacing w:after="0"/>
              <w:rPr>
                <w:sz w:val="20"/>
                <w:szCs w:val="20"/>
                <w:color w:val="auto"/>
              </w:rPr>
            </w:pPr>
            <w:r>
              <w:rPr>
                <w:rFonts w:ascii="Arial" w:cs="Arial" w:eastAsia="Arial" w:hAnsi="Arial"/>
                <w:sz w:val="16"/>
                <w:szCs w:val="16"/>
                <w:color w:val="51555C"/>
              </w:rPr>
              <w:t>$</w:t>
            </w:r>
          </w:p>
        </w:tc>
        <w:tc>
          <w:tcPr>
            <w:tcW w:w="560" w:type="dxa"/>
            <w:vAlign w:val="bottom"/>
          </w:tcPr>
          <w:p>
            <w:pPr>
              <w:jc w:val="right"/>
              <w:spacing w:after="0"/>
              <w:rPr>
                <w:sz w:val="20"/>
                <w:szCs w:val="20"/>
                <w:color w:val="auto"/>
              </w:rPr>
            </w:pPr>
            <w:r>
              <w:rPr>
                <w:rFonts w:ascii="Arial" w:cs="Arial" w:eastAsia="Arial" w:hAnsi="Arial"/>
                <w:sz w:val="16"/>
                <w:szCs w:val="16"/>
                <w:color w:val="51555C"/>
              </w:rPr>
              <w:t>74</w:t>
            </w:r>
          </w:p>
        </w:tc>
        <w:tc>
          <w:tcPr>
            <w:tcW w:w="1060" w:type="dxa"/>
            <w:vAlign w:val="bottom"/>
            <w:gridSpan w:val="2"/>
          </w:tcPr>
          <w:p>
            <w:pPr>
              <w:jc w:val="right"/>
              <w:spacing w:after="0"/>
              <w:rPr>
                <w:sz w:val="20"/>
                <w:szCs w:val="20"/>
                <w:color w:val="auto"/>
              </w:rPr>
            </w:pPr>
            <w:r>
              <w:rPr>
                <w:rFonts w:ascii="Arial" w:cs="Arial" w:eastAsia="Arial" w:hAnsi="Arial"/>
                <w:sz w:val="16"/>
                <w:szCs w:val="16"/>
                <w:color w:val="51555C"/>
              </w:rPr>
              <w:t>(27,717,663)</w:t>
            </w:r>
          </w:p>
        </w:tc>
        <w:tc>
          <w:tcPr>
            <w:tcW w:w="1000" w:type="dxa"/>
            <w:vAlign w:val="bottom"/>
          </w:tcPr>
          <w:p>
            <w:pPr>
              <w:jc w:val="right"/>
              <w:spacing w:after="0"/>
              <w:rPr>
                <w:sz w:val="20"/>
                <w:szCs w:val="20"/>
                <w:color w:val="auto"/>
              </w:rPr>
            </w:pPr>
            <w:r>
              <w:rPr>
                <w:rFonts w:ascii="Arial" w:cs="Arial" w:eastAsia="Arial" w:hAnsi="Arial"/>
                <w:sz w:val="16"/>
                <w:szCs w:val="16"/>
                <w:color w:val="51555C"/>
                <w:w w:val="98"/>
              </w:rPr>
              <w:t>$ (1,423,843)</w:t>
            </w:r>
          </w:p>
        </w:tc>
        <w:tc>
          <w:tcPr>
            <w:tcW w:w="1020" w:type="dxa"/>
            <w:vAlign w:val="bottom"/>
            <w:gridSpan w:val="2"/>
          </w:tcPr>
          <w:p>
            <w:pPr>
              <w:jc w:val="right"/>
              <w:spacing w:after="0"/>
              <w:rPr>
                <w:sz w:val="20"/>
                <w:szCs w:val="20"/>
                <w:color w:val="auto"/>
              </w:rPr>
            </w:pPr>
            <w:r>
              <w:rPr>
                <w:rFonts w:ascii="Arial" w:cs="Arial" w:eastAsia="Arial" w:hAnsi="Arial"/>
                <w:sz w:val="16"/>
                <w:szCs w:val="16"/>
                <w:color w:val="51555C"/>
              </w:rPr>
              <w:t>$1,415,521</w:t>
            </w:r>
          </w:p>
        </w:tc>
        <w:tc>
          <w:tcPr>
            <w:tcW w:w="14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(3,850)</w:t>
            </w:r>
          </w:p>
        </w:tc>
        <w:tc>
          <w:tcPr>
            <w:tcW w:w="12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680" w:type="dxa"/>
            <w:vAlign w:val="bottom"/>
          </w:tcPr>
          <w:p>
            <w:pPr>
              <w:jc w:val="right"/>
              <w:spacing w:after="0"/>
              <w:rPr>
                <w:sz w:val="20"/>
                <w:szCs w:val="20"/>
                <w:color w:val="auto"/>
              </w:rPr>
            </w:pPr>
            <w:r>
              <w:rPr>
                <w:rFonts w:ascii="Arial" w:cs="Arial" w:eastAsia="Arial" w:hAnsi="Arial"/>
                <w:sz w:val="16"/>
                <w:szCs w:val="16"/>
                <w:color w:val="51555C"/>
              </w:rPr>
              <w:t>46,652</w:t>
            </w:r>
          </w:p>
        </w:tc>
        <w:tc>
          <w:tcPr>
            <w:tcW w:w="240" w:type="dxa"/>
            <w:vAlign w:val="bottom"/>
          </w:tcPr>
          <w:p>
            <w:pPr>
              <w:jc w:val="right"/>
              <w:ind w:right="41"/>
              <w:spacing w:after="0"/>
              <w:rPr>
                <w:sz w:val="20"/>
                <w:szCs w:val="20"/>
                <w:color w:val="auto"/>
              </w:rPr>
            </w:pPr>
            <w:r>
              <w:rPr>
                <w:rFonts w:ascii="Arial" w:cs="Arial" w:eastAsia="Arial" w:hAnsi="Arial"/>
                <w:sz w:val="16"/>
                <w:szCs w:val="16"/>
                <w:color w:val="51555C"/>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34,554</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Net income</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35,358</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35,358</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6"/>
                <w:szCs w:val="16"/>
                <w:color w:val="51555C"/>
              </w:rPr>
              <w:t>Purchase of treasury shares under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Pr>
          <w:p>
            <w:pPr>
              <w:ind w:left="140"/>
              <w:spacing w:after="0"/>
              <w:rPr>
                <w:sz w:val="20"/>
                <w:szCs w:val="20"/>
                <w:color w:val="auto"/>
              </w:rPr>
            </w:pPr>
            <w:r>
              <w:rPr>
                <w:rFonts w:ascii="Arial" w:cs="Arial" w:eastAsia="Arial" w:hAnsi="Arial"/>
                <w:sz w:val="16"/>
                <w:szCs w:val="16"/>
                <w:color w:val="51555C"/>
              </w:rPr>
              <w:t>repurchase program, inclusive of excise tax</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51555C"/>
              </w:rPr>
              <w:t>(797,795)</w:t>
            </w:r>
          </w:p>
        </w:tc>
        <w:tc>
          <w:tcPr>
            <w:tcW w:w="1000" w:type="dxa"/>
            <w:vAlign w:val="bottom"/>
          </w:tcPr>
          <w:p>
            <w:pPr>
              <w:jc w:val="right"/>
              <w:spacing w:after="0"/>
              <w:rPr>
                <w:sz w:val="20"/>
                <w:szCs w:val="20"/>
                <w:color w:val="auto"/>
              </w:rPr>
            </w:pPr>
            <w:r>
              <w:rPr>
                <w:rFonts w:ascii="Arial" w:cs="Arial" w:eastAsia="Arial" w:hAnsi="Arial"/>
                <w:sz w:val="16"/>
                <w:szCs w:val="16"/>
                <w:color w:val="51555C"/>
              </w:rPr>
              <w:t>(28,306)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(28,306)</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4,341</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Shares withheld to satisfy tax withholdings</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51555C"/>
              </w:rPr>
              <w:t>(6,271)</w:t>
            </w:r>
          </w:p>
        </w:tc>
        <w:tc>
          <w:tcPr>
            <w:tcW w:w="1000" w:type="dxa"/>
            <w:vAlign w:val="bottom"/>
          </w:tcPr>
          <w:p>
            <w:pPr>
              <w:jc w:val="right"/>
              <w:spacing w:after="0"/>
              <w:rPr>
                <w:sz w:val="20"/>
                <w:szCs w:val="20"/>
                <w:color w:val="auto"/>
              </w:rPr>
            </w:pPr>
            <w:r>
              <w:rPr>
                <w:rFonts w:ascii="Arial" w:cs="Arial" w:eastAsia="Arial" w:hAnsi="Arial"/>
                <w:sz w:val="16"/>
                <w:szCs w:val="16"/>
                <w:color w:val="51555C"/>
              </w:rPr>
              <w:t>(207)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(207)</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2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22,706</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22,706</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51555C"/>
              </w:rPr>
              <w:t>33,954</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(18,489)</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6"/>
        </w:trPr>
        <w:tc>
          <w:tcPr>
            <w:tcW w:w="332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income</w:t>
            </w:r>
          </w:p>
        </w:tc>
        <w:tc>
          <w:tcPr>
            <w:tcW w:w="8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5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9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tcPr>
          <w:p>
            <w:pPr>
              <w:spacing w:after="0"/>
              <w:rPr>
                <w:sz w:val="20"/>
                <w:szCs w:val="20"/>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2,925</w:t>
            </w:r>
          </w:p>
        </w:tc>
        <w:tc>
          <w:tcPr>
            <w:tcW w:w="120" w:type="dxa"/>
            <w:vAlign w:val="bottom"/>
            <w:tcBorders>
              <w:bottom w:val="single" w:sz="8" w:color="51555C"/>
            </w:tcBorders>
          </w:tcPr>
          <w:p>
            <w:pPr>
              <w:spacing w:after="0"/>
              <w:rPr>
                <w:sz w:val="20"/>
                <w:szCs w:val="20"/>
                <w:color w:val="auto"/>
              </w:rPr>
            </w:pPr>
          </w:p>
        </w:tc>
        <w:tc>
          <w:tcPr>
            <w:tcW w:w="6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4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2,925</w:t>
            </w:r>
          </w:p>
        </w:tc>
        <w:tc>
          <w:tcPr>
            <w:tcW w:w="0" w:type="dxa"/>
            <w:vAlign w:val="bottom"/>
          </w:tcPr>
          <w:p>
            <w:pPr>
              <w:spacing w:after="0"/>
              <w:rPr>
                <w:sz w:val="1"/>
                <w:szCs w:val="1"/>
                <w:color w:val="auto"/>
              </w:rPr>
            </w:pPr>
          </w:p>
        </w:tc>
      </w:tr>
      <w:tr>
        <w:trPr>
          <w:trHeight w:val="243"/>
        </w:trPr>
        <w:tc>
          <w:tcPr>
            <w:tcW w:w="3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June 30, 2026</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74,035,437</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74</w:t>
            </w:r>
          </w:p>
        </w:tc>
        <w:tc>
          <w:tcPr>
            <w:tcW w:w="106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(28,521,729)</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8"/>
              </w:rPr>
              <w:t>$ (1,452,356)</w:t>
            </w:r>
          </w:p>
        </w:tc>
        <w:tc>
          <w:tcPr>
            <w:tcW w:w="102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$1,438,227</w:t>
            </w:r>
          </w:p>
        </w:tc>
        <w:tc>
          <w:tcPr>
            <w:tcW w:w="14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(925)</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82,010</w:t>
            </w:r>
          </w:p>
        </w:tc>
        <w:tc>
          <w:tcPr>
            <w:tcW w:w="24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67,030</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46,068</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46,068</w:t>
            </w:r>
          </w:p>
        </w:tc>
        <w:tc>
          <w:tcPr>
            <w:tcW w:w="0" w:type="dxa"/>
            <w:vAlign w:val="bottom"/>
          </w:tcPr>
          <w:p>
            <w:pPr>
              <w:spacing w:after="0"/>
              <w:rPr>
                <w:sz w:val="1"/>
                <w:szCs w:val="1"/>
                <w:color w:val="auto"/>
              </w:rPr>
            </w:pPr>
          </w:p>
        </w:tc>
      </w:tr>
      <w:tr>
        <w:trPr>
          <w:trHeight w:val="210"/>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Reclassification of equity-classified awards</w:t>
            </w:r>
          </w:p>
        </w:tc>
        <w:tc>
          <w:tcPr>
            <w:tcW w:w="8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0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68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78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to liability-classified awards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2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(1,005)</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(1,005)</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6"/>
                <w:szCs w:val="16"/>
                <w:color w:val="51555C"/>
              </w:rPr>
              <w:t>Purchase of treasury shares under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Pr>
          <w:p>
            <w:pPr>
              <w:ind w:left="140"/>
              <w:spacing w:after="0"/>
              <w:rPr>
                <w:sz w:val="20"/>
                <w:szCs w:val="20"/>
                <w:color w:val="auto"/>
              </w:rPr>
            </w:pPr>
            <w:r>
              <w:rPr>
                <w:rFonts w:ascii="Arial" w:cs="Arial" w:eastAsia="Arial" w:hAnsi="Arial"/>
                <w:sz w:val="16"/>
                <w:szCs w:val="16"/>
                <w:color w:val="51555C"/>
              </w:rPr>
              <w:t>repurchase program, inclusive of excise tax</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51555C"/>
              </w:rPr>
              <w:t>(448,000)</w:t>
            </w:r>
          </w:p>
        </w:tc>
        <w:tc>
          <w:tcPr>
            <w:tcW w:w="1000" w:type="dxa"/>
            <w:vAlign w:val="bottom"/>
          </w:tcPr>
          <w:p>
            <w:pPr>
              <w:jc w:val="right"/>
              <w:spacing w:after="0"/>
              <w:rPr>
                <w:sz w:val="20"/>
                <w:szCs w:val="20"/>
                <w:color w:val="auto"/>
              </w:rPr>
            </w:pPr>
            <w:r>
              <w:rPr>
                <w:rFonts w:ascii="Arial" w:cs="Arial" w:eastAsia="Arial" w:hAnsi="Arial"/>
                <w:sz w:val="16"/>
                <w:szCs w:val="16"/>
                <w:color w:val="51555C"/>
              </w:rPr>
              <w:t>(18,466)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(18,466)</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9,794</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Shares withheld to satisfy tax withholdings</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51555C"/>
              </w:rPr>
              <w:t>(7,983)</w:t>
            </w:r>
          </w:p>
        </w:tc>
        <w:tc>
          <w:tcPr>
            <w:tcW w:w="1000" w:type="dxa"/>
            <w:vAlign w:val="bottom"/>
          </w:tcPr>
          <w:p>
            <w:pPr>
              <w:jc w:val="right"/>
              <w:spacing w:after="0"/>
              <w:rPr>
                <w:sz w:val="20"/>
                <w:szCs w:val="20"/>
                <w:color w:val="auto"/>
              </w:rPr>
            </w:pPr>
            <w:r>
              <w:rPr>
                <w:rFonts w:ascii="Arial" w:cs="Arial" w:eastAsia="Arial" w:hAnsi="Arial"/>
                <w:sz w:val="16"/>
                <w:szCs w:val="16"/>
                <w:color w:val="51555C"/>
              </w:rPr>
              <w:t>(377)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(377)</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2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22,100</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22,100</w:t>
            </w:r>
          </w:p>
        </w:tc>
        <w:tc>
          <w:tcPr>
            <w:tcW w:w="0" w:type="dxa"/>
            <w:vAlign w:val="bottom"/>
          </w:tcPr>
          <w:p>
            <w:pPr>
              <w:spacing w:after="0"/>
              <w:rPr>
                <w:sz w:val="1"/>
                <w:szCs w:val="1"/>
                <w:color w:val="auto"/>
              </w:rPr>
            </w:pPr>
          </w:p>
        </w:tc>
      </w:tr>
      <w:tr>
        <w:trPr>
          <w:trHeight w:val="235"/>
        </w:trPr>
        <w:tc>
          <w:tcPr>
            <w:tcW w:w="332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51555C"/>
              </w:rPr>
              <w:t>69,630</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32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(34,743)</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6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4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6"/>
        </w:trPr>
        <w:tc>
          <w:tcPr>
            <w:tcW w:w="332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income</w:t>
            </w:r>
          </w:p>
        </w:tc>
        <w:tc>
          <w:tcPr>
            <w:tcW w:w="8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5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9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tcPr>
          <w:p>
            <w:pPr>
              <w:spacing w:after="0"/>
              <w:rPr>
                <w:sz w:val="20"/>
                <w:szCs w:val="20"/>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4,135</w:t>
            </w:r>
          </w:p>
        </w:tc>
        <w:tc>
          <w:tcPr>
            <w:tcW w:w="120" w:type="dxa"/>
            <w:vAlign w:val="bottom"/>
            <w:tcBorders>
              <w:bottom w:val="single" w:sz="8" w:color="51555C"/>
            </w:tcBorders>
          </w:tcPr>
          <w:p>
            <w:pPr>
              <w:spacing w:after="0"/>
              <w:rPr>
                <w:sz w:val="20"/>
                <w:szCs w:val="20"/>
                <w:color w:val="auto"/>
              </w:rPr>
            </w:pPr>
          </w:p>
        </w:tc>
        <w:tc>
          <w:tcPr>
            <w:tcW w:w="6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4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4,135</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September 30, 2026</w:t>
            </w:r>
          </w:p>
        </w:tc>
        <w:tc>
          <w:tcPr>
            <w:tcW w:w="8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w w:val="99"/>
              </w:rPr>
              <w:t>74,080,118</w:t>
            </w:r>
          </w:p>
        </w:tc>
        <w:tc>
          <w:tcPr>
            <w:tcW w:w="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5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74</w:t>
            </w:r>
          </w:p>
        </w:tc>
        <w:tc>
          <w:tcPr>
            <w:tcW w:w="1060" w:type="dxa"/>
            <w:vAlign w:val="bottom"/>
            <w:tcBorders>
              <w:bottom w:val="single" w:sz="8" w:color="0CD973"/>
            </w:tcBorders>
            <w:gridSpan w:val="2"/>
            <w:shd w:val="clear" w:color="auto" w:fill="EBFBFF"/>
          </w:tcPr>
          <w:p>
            <w:pPr>
              <w:jc w:val="right"/>
              <w:spacing w:after="0"/>
              <w:rPr>
                <w:sz w:val="20"/>
                <w:szCs w:val="20"/>
                <w:color w:val="auto"/>
              </w:rPr>
            </w:pPr>
            <w:r>
              <w:rPr>
                <w:rFonts w:ascii="Arial" w:cs="Arial" w:eastAsia="Arial" w:hAnsi="Arial"/>
                <w:sz w:val="16"/>
                <w:szCs w:val="16"/>
                <w:color w:val="51555C"/>
              </w:rPr>
              <w:t>(28,977,712)</w:t>
            </w:r>
          </w:p>
        </w:tc>
        <w:tc>
          <w:tcPr>
            <w:tcW w:w="10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w w:val="98"/>
              </w:rPr>
              <w:t>$ (1,471,199)</w:t>
            </w:r>
          </w:p>
        </w:tc>
        <w:tc>
          <w:tcPr>
            <w:tcW w:w="1020" w:type="dxa"/>
            <w:vAlign w:val="bottom"/>
            <w:tcBorders>
              <w:bottom w:val="single" w:sz="8" w:color="0CD973"/>
            </w:tcBorders>
            <w:gridSpan w:val="2"/>
            <w:shd w:val="clear" w:color="auto" w:fill="EBFBFF"/>
          </w:tcPr>
          <w:p>
            <w:pPr>
              <w:jc w:val="right"/>
              <w:spacing w:after="0"/>
              <w:rPr>
                <w:sz w:val="20"/>
                <w:szCs w:val="20"/>
                <w:color w:val="auto"/>
              </w:rPr>
            </w:pPr>
            <w:r>
              <w:rPr>
                <w:rFonts w:ascii="Arial" w:cs="Arial" w:eastAsia="Arial" w:hAnsi="Arial"/>
                <w:sz w:val="16"/>
                <w:szCs w:val="16"/>
                <w:color w:val="51555C"/>
              </w:rPr>
              <w:t>$1,459,322</w:t>
            </w:r>
          </w:p>
        </w:tc>
        <w:tc>
          <w:tcPr>
            <w:tcW w:w="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0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3,210</w:t>
            </w:r>
          </w:p>
        </w:tc>
        <w:tc>
          <w:tcPr>
            <w:tcW w:w="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6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128,078</w:t>
            </w:r>
          </w:p>
        </w:tc>
        <w:tc>
          <w:tcPr>
            <w:tcW w:w="240" w:type="dxa"/>
            <w:vAlign w:val="bottom"/>
            <w:tcBorders>
              <w:bottom w:val="single" w:sz="8" w:color="0CD973"/>
            </w:tcBorders>
            <w:shd w:val="clear" w:color="auto" w:fill="EBFBFF"/>
          </w:tcPr>
          <w:p>
            <w:pPr>
              <w:jc w:val="right"/>
              <w:ind w:right="41"/>
              <w:spacing w:after="0"/>
              <w:rPr>
                <w:sz w:val="20"/>
                <w:szCs w:val="20"/>
                <w:color w:val="auto"/>
              </w:rPr>
            </w:pPr>
            <w:r>
              <w:rPr>
                <w:rFonts w:ascii="Arial" w:cs="Arial" w:eastAsia="Arial" w:hAnsi="Arial"/>
                <w:sz w:val="16"/>
                <w:szCs w:val="16"/>
                <w:color w:val="51555C"/>
              </w:rPr>
              <w:t>$</w:t>
            </w:r>
          </w:p>
        </w:tc>
        <w:tc>
          <w:tcPr>
            <w:tcW w:w="7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119,485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-5186045</wp:posOffset>
            </wp:positionV>
            <wp:extent cx="23056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14"/>
        <w:spacing w:after="0"/>
        <w:tabs>
          <w:tab w:leader="none" w:pos="340" w:val="left"/>
        </w:tabs>
        <w:numPr>
          <w:ilvl w:val="0"/>
          <w:numId w:val="6"/>
        </w:numPr>
        <w:rPr>
          <w:rFonts w:ascii="Arial" w:cs="Arial" w:eastAsia="Arial" w:hAnsi="Arial"/>
          <w:sz w:val="14"/>
          <w:szCs w:val="14"/>
          <w:color w:val="51555C"/>
        </w:rPr>
      </w:pPr>
      <w:r>
        <w:rPr>
          <w:rFonts w:ascii="Arial" w:cs="Arial" w:eastAsia="Arial" w:hAnsi="Arial"/>
          <w:sz w:val="1"/>
          <w:szCs w:val="1"/>
          <w:color w:val="51555C"/>
        </w:rPr>
        <w:drawing>
          <wp:inline distT="0" distB="0" distL="0" distR="0">
            <wp:extent cx="651510" cy="1714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shd w:val="clear" w:color="auto" w:fill="004054"/>
          </w:tcPr>
          <w:p>
            <w:pPr>
              <w:spacing w:after="0"/>
              <w:rPr>
                <w:sz w:val="19"/>
                <w:szCs w:val="19"/>
                <w:color w:val="auto"/>
              </w:rPr>
            </w:pPr>
          </w:p>
        </w:tc>
        <w:tc>
          <w:tcPr>
            <w:tcW w:w="880" w:type="dxa"/>
            <w:vAlign w:val="bottom"/>
            <w:shd w:val="clear" w:color="auto" w:fill="004054"/>
          </w:tcPr>
          <w:p>
            <w:pPr>
              <w:spacing w:after="0"/>
              <w:rPr>
                <w:sz w:val="19"/>
                <w:szCs w:val="19"/>
                <w:color w:val="auto"/>
              </w:rPr>
            </w:pPr>
          </w:p>
        </w:tc>
        <w:tc>
          <w:tcPr>
            <w:tcW w:w="260" w:type="dxa"/>
            <w:vAlign w:val="bottom"/>
            <w:shd w:val="clear" w:color="auto" w:fill="004054"/>
          </w:tcPr>
          <w:p>
            <w:pPr>
              <w:spacing w:after="0"/>
              <w:rPr>
                <w:sz w:val="19"/>
                <w:szCs w:val="19"/>
                <w:color w:val="auto"/>
              </w:rPr>
            </w:pPr>
          </w:p>
        </w:tc>
        <w:tc>
          <w:tcPr>
            <w:tcW w:w="42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1060" w:type="dxa"/>
            <w:vAlign w:val="bottom"/>
            <w:shd w:val="clear" w:color="auto" w:fill="004054"/>
          </w:tcPr>
          <w:p>
            <w:pPr>
              <w:spacing w:after="0"/>
              <w:rPr>
                <w:sz w:val="19"/>
                <w:szCs w:val="19"/>
                <w:color w:val="auto"/>
              </w:rPr>
            </w:pPr>
          </w:p>
        </w:tc>
        <w:tc>
          <w:tcPr>
            <w:tcW w:w="98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920" w:type="dxa"/>
            <w:vAlign w:val="bottom"/>
            <w:shd w:val="clear" w:color="auto" w:fill="004054"/>
          </w:tcPr>
          <w:p>
            <w:pPr>
              <w:spacing w:after="0"/>
              <w:rPr>
                <w:sz w:val="19"/>
                <w:szCs w:val="19"/>
                <w:color w:val="auto"/>
              </w:rPr>
            </w:pPr>
          </w:p>
        </w:tc>
        <w:tc>
          <w:tcPr>
            <w:tcW w:w="16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220" w:type="dxa"/>
            <w:vAlign w:val="bottom"/>
            <w:shd w:val="clear" w:color="auto" w:fill="004054"/>
          </w:tcPr>
          <w:p>
            <w:pPr>
              <w:spacing w:after="0"/>
              <w:rPr>
                <w:sz w:val="19"/>
                <w:szCs w:val="19"/>
                <w:color w:val="auto"/>
              </w:rPr>
            </w:pPr>
          </w:p>
        </w:tc>
        <w:tc>
          <w:tcPr>
            <w:tcW w:w="740" w:type="dxa"/>
            <w:vAlign w:val="bottom"/>
            <w:shd w:val="clear" w:color="auto" w:fill="004054"/>
          </w:tcPr>
          <w:p>
            <w:pPr>
              <w:spacing w:after="0"/>
              <w:rPr>
                <w:sz w:val="19"/>
                <w:szCs w:val="19"/>
                <w:color w:val="auto"/>
              </w:rPr>
            </w:pPr>
          </w:p>
        </w:tc>
        <w:tc>
          <w:tcPr>
            <w:tcW w:w="200" w:type="dxa"/>
            <w:vAlign w:val="bottom"/>
            <w:shd w:val="clear" w:color="auto" w:fill="004054"/>
          </w:tcPr>
          <w:p>
            <w:pPr>
              <w:spacing w:after="0"/>
              <w:rPr>
                <w:sz w:val="19"/>
                <w:szCs w:val="19"/>
                <w:color w:val="auto"/>
              </w:rPr>
            </w:pPr>
          </w:p>
        </w:tc>
        <w:tc>
          <w:tcPr>
            <w:tcW w:w="8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004054"/>
          </w:tcPr>
          <w:p>
            <w:pPr>
              <w:spacing w:after="0"/>
              <w:rPr>
                <w:sz w:val="15"/>
                <w:szCs w:val="15"/>
                <w:color w:val="auto"/>
              </w:rPr>
            </w:pPr>
          </w:p>
        </w:tc>
        <w:tc>
          <w:tcPr>
            <w:tcW w:w="156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120" w:type="dxa"/>
            <w:vAlign w:val="bottom"/>
            <w:shd w:val="clear" w:color="auto" w:fill="004054"/>
          </w:tcPr>
          <w:p>
            <w:pPr>
              <w:spacing w:after="0"/>
              <w:rPr>
                <w:sz w:val="15"/>
                <w:szCs w:val="15"/>
                <w:color w:val="auto"/>
              </w:rPr>
            </w:pPr>
          </w:p>
        </w:tc>
        <w:tc>
          <w:tcPr>
            <w:tcW w:w="204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 stock</w:t>
            </w:r>
          </w:p>
        </w:tc>
        <w:tc>
          <w:tcPr>
            <w:tcW w:w="12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960" w:type="dxa"/>
            <w:vAlign w:val="bottom"/>
            <w:gridSpan w:val="2"/>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15"/>
        </w:trPr>
        <w:tc>
          <w:tcPr>
            <w:tcW w:w="3060" w:type="dxa"/>
            <w:vAlign w:val="bottom"/>
            <w:shd w:val="clear" w:color="auto" w:fill="004054"/>
          </w:tcPr>
          <w:p>
            <w:pPr>
              <w:spacing w:after="0"/>
              <w:rPr>
                <w:sz w:val="10"/>
                <w:szCs w:val="10"/>
                <w:color w:val="auto"/>
              </w:rPr>
            </w:pPr>
          </w:p>
        </w:tc>
        <w:tc>
          <w:tcPr>
            <w:tcW w:w="1560" w:type="dxa"/>
            <w:vAlign w:val="bottom"/>
            <w:gridSpan w:val="3"/>
            <w:vMerge w:val="continue"/>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2040" w:type="dxa"/>
            <w:vAlign w:val="bottom"/>
            <w:gridSpan w:val="2"/>
            <w:vMerge w:val="continue"/>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9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112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960" w:type="dxa"/>
            <w:vAlign w:val="bottom"/>
            <w:gridSpan w:val="2"/>
            <w:vMerge w:val="continue"/>
            <w:shd w:val="clear" w:color="auto" w:fill="004054"/>
          </w:tcPr>
          <w:p>
            <w:pPr>
              <w:spacing w:after="0"/>
              <w:rPr>
                <w:sz w:val="10"/>
                <w:szCs w:val="10"/>
                <w:color w:val="auto"/>
              </w:rPr>
            </w:pPr>
          </w:p>
        </w:tc>
        <w:tc>
          <w:tcPr>
            <w:tcW w:w="102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47"/>
        </w:trPr>
        <w:tc>
          <w:tcPr>
            <w:tcW w:w="3060" w:type="dxa"/>
            <w:vAlign w:val="bottom"/>
            <w:shd w:val="clear" w:color="auto" w:fill="004054"/>
          </w:tcPr>
          <w:p>
            <w:pPr>
              <w:spacing w:after="0"/>
              <w:rPr>
                <w:sz w:val="4"/>
                <w:szCs w:val="4"/>
                <w:color w:val="auto"/>
              </w:rPr>
            </w:pPr>
          </w:p>
        </w:tc>
        <w:tc>
          <w:tcPr>
            <w:tcW w:w="880" w:type="dxa"/>
            <w:vAlign w:val="bottom"/>
            <w:shd w:val="clear" w:color="auto" w:fill="004054"/>
          </w:tcPr>
          <w:p>
            <w:pPr>
              <w:spacing w:after="0"/>
              <w:rPr>
                <w:sz w:val="4"/>
                <w:szCs w:val="4"/>
                <w:color w:val="auto"/>
              </w:rPr>
            </w:pPr>
          </w:p>
        </w:tc>
        <w:tc>
          <w:tcPr>
            <w:tcW w:w="260" w:type="dxa"/>
            <w:vAlign w:val="bottom"/>
            <w:shd w:val="clear" w:color="auto" w:fill="004054"/>
          </w:tcPr>
          <w:p>
            <w:pPr>
              <w:spacing w:after="0"/>
              <w:rPr>
                <w:sz w:val="4"/>
                <w:szCs w:val="4"/>
                <w:color w:val="auto"/>
              </w:rPr>
            </w:pPr>
          </w:p>
        </w:tc>
        <w:tc>
          <w:tcPr>
            <w:tcW w:w="42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1060" w:type="dxa"/>
            <w:vAlign w:val="bottom"/>
            <w:shd w:val="clear" w:color="auto" w:fill="004054"/>
          </w:tcPr>
          <w:p>
            <w:pPr>
              <w:spacing w:after="0"/>
              <w:rPr>
                <w:sz w:val="4"/>
                <w:szCs w:val="4"/>
                <w:color w:val="auto"/>
              </w:rPr>
            </w:pPr>
          </w:p>
        </w:tc>
        <w:tc>
          <w:tcPr>
            <w:tcW w:w="98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920" w:type="dxa"/>
            <w:vAlign w:val="bottom"/>
            <w:vMerge w:val="continue"/>
            <w:shd w:val="clear" w:color="auto" w:fill="004054"/>
          </w:tcPr>
          <w:p>
            <w:pPr>
              <w:spacing w:after="0"/>
              <w:rPr>
                <w:sz w:val="4"/>
                <w:szCs w:val="4"/>
                <w:color w:val="auto"/>
              </w:rPr>
            </w:pPr>
          </w:p>
        </w:tc>
        <w:tc>
          <w:tcPr>
            <w:tcW w:w="1120" w:type="dxa"/>
            <w:vAlign w:val="bottom"/>
            <w:gridSpan w:val="2"/>
            <w:vMerge w:val="continue"/>
            <w:shd w:val="clear" w:color="auto" w:fill="004054"/>
          </w:tcPr>
          <w:p>
            <w:pPr>
              <w:spacing w:after="0"/>
              <w:rPr>
                <w:sz w:val="4"/>
                <w:szCs w:val="4"/>
                <w:color w:val="auto"/>
              </w:rPr>
            </w:pPr>
          </w:p>
        </w:tc>
        <w:tc>
          <w:tcPr>
            <w:tcW w:w="960" w:type="dxa"/>
            <w:vAlign w:val="bottom"/>
            <w:gridSpan w:val="2"/>
            <w:vMerge w:val="continue"/>
            <w:shd w:val="clear" w:color="auto" w:fill="004054"/>
          </w:tcPr>
          <w:p>
            <w:pPr>
              <w:spacing w:after="0"/>
              <w:rPr>
                <w:sz w:val="4"/>
                <w:szCs w:val="4"/>
                <w:color w:val="auto"/>
              </w:rPr>
            </w:pPr>
          </w:p>
        </w:tc>
        <w:tc>
          <w:tcPr>
            <w:tcW w:w="1020" w:type="dxa"/>
            <w:vAlign w:val="bottom"/>
            <w:gridSpan w:val="2"/>
            <w:vMerge w:val="continue"/>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0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6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shd w:val="clear" w:color="auto" w:fill="004054"/>
          </w:tcPr>
          <w:p>
            <w:pPr>
              <w:spacing w:after="0"/>
              <w:rPr>
                <w:sz w:val="19"/>
                <w:szCs w:val="19"/>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loss</w:t>
            </w:r>
          </w:p>
        </w:tc>
        <w:tc>
          <w:tcPr>
            <w:tcW w:w="220" w:type="dxa"/>
            <w:vAlign w:val="bottom"/>
            <w:shd w:val="clear" w:color="auto" w:fill="004054"/>
          </w:tcPr>
          <w:p>
            <w:pPr>
              <w:spacing w:after="0"/>
              <w:rPr>
                <w:sz w:val="19"/>
                <w:szCs w:val="19"/>
                <w:color w:val="auto"/>
              </w:rPr>
            </w:pPr>
          </w:p>
        </w:tc>
        <w:tc>
          <w:tcPr>
            <w:tcW w:w="7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deficit</w:t>
            </w:r>
          </w:p>
        </w:tc>
        <w:tc>
          <w:tcPr>
            <w:tcW w:w="200" w:type="dxa"/>
            <w:vAlign w:val="bottom"/>
            <w:shd w:val="clear" w:color="auto" w:fill="004054"/>
          </w:tcPr>
          <w:p>
            <w:pPr>
              <w:spacing w:after="0"/>
              <w:rPr>
                <w:sz w:val="19"/>
                <w:szCs w:val="19"/>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43"/>
        </w:trPr>
        <w:tc>
          <w:tcPr>
            <w:tcW w:w="306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2024</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70,943,373</w:t>
            </w:r>
          </w:p>
        </w:tc>
        <w:tc>
          <w:tcPr>
            <w:tcW w:w="260" w:type="dxa"/>
            <w:vAlign w:val="bottom"/>
            <w:shd w:val="clear" w:color="auto" w:fill="EBFBFF"/>
          </w:tcPr>
          <w:p>
            <w:pPr>
              <w:jc w:val="right"/>
              <w:ind w:right="61"/>
              <w:spacing w:after="0"/>
              <w:rPr>
                <w:sz w:val="20"/>
                <w:szCs w:val="20"/>
                <w:color w:val="auto"/>
              </w:rPr>
            </w:pPr>
            <w:r>
              <w:rPr>
                <w:rFonts w:ascii="Arial" w:cs="Arial" w:eastAsia="Arial" w:hAnsi="Arial"/>
                <w:sz w:val="16"/>
                <w:szCs w:val="16"/>
                <w:color w:val="51555C"/>
              </w:rPr>
              <w:t>$</w:t>
            </w: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71</w:t>
            </w:r>
          </w:p>
        </w:tc>
        <w:tc>
          <w:tcPr>
            <w:tcW w:w="11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(21,697,785)</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8"/>
              </w:rPr>
              <w:t>$ (1,060,348)</w:t>
            </w:r>
          </w:p>
        </w:tc>
        <w:tc>
          <w:tcPr>
            <w:tcW w:w="104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$1,291,442</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(4,869)</w:t>
            </w:r>
          </w:p>
        </w:tc>
        <w:tc>
          <w:tcPr>
            <w:tcW w:w="220" w:type="dxa"/>
            <w:vAlign w:val="bottom"/>
            <w:shd w:val="clear" w:color="auto" w:fill="EBFBFF"/>
          </w:tcPr>
          <w:p>
            <w:pPr>
              <w:ind w:left="20"/>
              <w:spacing w:after="0"/>
              <w:rPr>
                <w:sz w:val="20"/>
                <w:szCs w:val="20"/>
                <w:color w:val="auto"/>
              </w:rPr>
            </w:pPr>
            <w:r>
              <w:rPr>
                <w:rFonts w:ascii="Arial" w:cs="Arial" w:eastAsia="Arial" w:hAnsi="Arial"/>
                <w:sz w:val="16"/>
                <w:szCs w:val="16"/>
                <w:color w:val="51555C"/>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(99,457)</w:t>
            </w:r>
          </w:p>
        </w:tc>
        <w:tc>
          <w:tcPr>
            <w:tcW w:w="20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126,839</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4,323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4,323</w:t>
            </w:r>
          </w:p>
        </w:tc>
        <w:tc>
          <w:tcPr>
            <w:tcW w:w="0" w:type="dxa"/>
            <w:vAlign w:val="bottom"/>
          </w:tcPr>
          <w:p>
            <w:pPr>
              <w:spacing w:after="0"/>
              <w:rPr>
                <w:sz w:val="1"/>
                <w:szCs w:val="1"/>
                <w:color w:val="auto"/>
              </w:rPr>
            </w:pPr>
          </w:p>
        </w:tc>
      </w:tr>
      <w:tr>
        <w:trPr>
          <w:trHeight w:val="210"/>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treasury shares under</w:t>
            </w:r>
          </w:p>
        </w:tc>
        <w:tc>
          <w:tcPr>
            <w:tcW w:w="88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2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74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 repurchase program, inclusive of</w:t>
            </w:r>
          </w:p>
        </w:tc>
        <w:tc>
          <w:tcPr>
            <w:tcW w:w="88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42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106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92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74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820" w:type="dxa"/>
            <w:vAlign w:val="bottom"/>
            <w:shd w:val="clear" w:color="auto" w:fill="EBFB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excise tax</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0"/>
                <w:szCs w:val="20"/>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1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(1,513,022)</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(100,425)</w:t>
            </w:r>
          </w:p>
        </w:tc>
        <w:tc>
          <w:tcPr>
            <w:tcW w:w="120" w:type="dxa"/>
            <w:vAlign w:val="bottom"/>
            <w:shd w:val="clear" w:color="auto" w:fill="EBFBFF"/>
          </w:tcPr>
          <w:p>
            <w:pPr>
              <w:spacing w:after="0"/>
              <w:rPr>
                <w:sz w:val="20"/>
                <w:szCs w:val="20"/>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0"/>
                <w:szCs w:val="20"/>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0"/>
                <w:szCs w:val="20"/>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0"/>
                <w:szCs w:val="20"/>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(100,425)</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880" w:type="dxa"/>
            <w:vAlign w:val="bottom"/>
          </w:tcPr>
          <w:p>
            <w:pPr>
              <w:jc w:val="right"/>
              <w:spacing w:after="0"/>
              <w:rPr>
                <w:sz w:val="20"/>
                <w:szCs w:val="20"/>
                <w:color w:val="auto"/>
              </w:rPr>
            </w:pPr>
            <w:r>
              <w:rPr>
                <w:rFonts w:ascii="Arial" w:cs="Arial" w:eastAsia="Arial" w:hAnsi="Arial"/>
                <w:sz w:val="16"/>
                <w:szCs w:val="16"/>
                <w:color w:val="51555C"/>
              </w:rPr>
              <w:t>1,023,958</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10"/>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Shares withheld to satisfy tax</w:t>
            </w:r>
          </w:p>
        </w:tc>
        <w:tc>
          <w:tcPr>
            <w:tcW w:w="88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2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74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withholdings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1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(532,179)</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(37,948)</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(37,948)</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51555C"/>
              </w:rPr>
              <w:t>28,120</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28,120</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299,136</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w:t>
            </w:r>
          </w:p>
        </w:tc>
        <w:tc>
          <w:tcPr>
            <w:tcW w:w="12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880" w:type="dxa"/>
            <w:vAlign w:val="bottom"/>
          </w:tcPr>
          <w:p>
            <w:pPr>
              <w:jc w:val="right"/>
              <w:spacing w:after="0"/>
              <w:rPr>
                <w:sz w:val="20"/>
                <w:szCs w:val="20"/>
                <w:color w:val="auto"/>
              </w:rPr>
            </w:pPr>
            <w:r>
              <w:rPr>
                <w:rFonts w:ascii="Arial" w:cs="Arial" w:eastAsia="Arial" w:hAnsi="Arial"/>
                <w:sz w:val="16"/>
                <w:szCs w:val="16"/>
                <w:color w:val="51555C"/>
              </w:rPr>
              <w:t>(8,166)</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loss</w:t>
            </w:r>
          </w:p>
        </w:tc>
        <w:tc>
          <w:tcPr>
            <w:tcW w:w="8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4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(3,433)</w:t>
            </w:r>
          </w:p>
        </w:tc>
        <w:tc>
          <w:tcPr>
            <w:tcW w:w="220" w:type="dxa"/>
            <w:vAlign w:val="bottom"/>
            <w:tcBorders>
              <w:bottom w:val="single" w:sz="8" w:color="51555C"/>
            </w:tcBorders>
            <w:shd w:val="clear" w:color="auto" w:fill="EBFBFF"/>
          </w:tcPr>
          <w:p>
            <w:pPr>
              <w:spacing w:after="0"/>
              <w:rPr>
                <w:sz w:val="21"/>
                <w:szCs w:val="21"/>
                <w:color w:val="auto"/>
              </w:rPr>
            </w:pPr>
          </w:p>
        </w:tc>
        <w:tc>
          <w:tcPr>
            <w:tcW w:w="7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51555C"/>
            </w:tcBorders>
            <w:shd w:val="clear" w:color="auto" w:fill="EBFBFF"/>
          </w:tcPr>
          <w:p>
            <w:pPr>
              <w:spacing w:after="0"/>
              <w:rPr>
                <w:sz w:val="21"/>
                <w:szCs w:val="21"/>
                <w:color w:val="auto"/>
              </w:rPr>
            </w:pPr>
          </w:p>
        </w:tc>
        <w:tc>
          <w:tcPr>
            <w:tcW w:w="8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(3,433)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b w:val="1"/>
                <w:bCs w:val="1"/>
                <w:color w:val="51555C"/>
              </w:rPr>
              <w:t>Balance at March 31, 2025</w:t>
            </w:r>
          </w:p>
        </w:tc>
        <w:tc>
          <w:tcPr>
            <w:tcW w:w="880" w:type="dxa"/>
            <w:vAlign w:val="bottom"/>
          </w:tcPr>
          <w:p>
            <w:pPr>
              <w:jc w:val="right"/>
              <w:spacing w:after="0"/>
              <w:rPr>
                <w:sz w:val="20"/>
                <w:szCs w:val="20"/>
                <w:color w:val="auto"/>
              </w:rPr>
            </w:pPr>
            <w:r>
              <w:rPr>
                <w:rFonts w:ascii="Arial" w:cs="Arial" w:eastAsia="Arial" w:hAnsi="Arial"/>
                <w:sz w:val="16"/>
                <w:szCs w:val="16"/>
                <w:color w:val="51555C"/>
                <w:w w:val="99"/>
              </w:rPr>
              <w:t>72,258,301</w:t>
            </w:r>
          </w:p>
        </w:tc>
        <w:tc>
          <w:tcPr>
            <w:tcW w:w="260" w:type="dxa"/>
            <w:vAlign w:val="bottom"/>
          </w:tcPr>
          <w:p>
            <w:pPr>
              <w:jc w:val="right"/>
              <w:ind w:right="61"/>
              <w:spacing w:after="0"/>
              <w:rPr>
                <w:sz w:val="20"/>
                <w:szCs w:val="20"/>
                <w:color w:val="auto"/>
              </w:rPr>
            </w:pPr>
            <w:r>
              <w:rPr>
                <w:rFonts w:ascii="Arial" w:cs="Arial" w:eastAsia="Arial" w:hAnsi="Arial"/>
                <w:sz w:val="16"/>
                <w:szCs w:val="16"/>
                <w:color w:val="51555C"/>
              </w:rPr>
              <w:t>$</w:t>
            </w:r>
          </w:p>
        </w:tc>
        <w:tc>
          <w:tcPr>
            <w:tcW w:w="420" w:type="dxa"/>
            <w:vAlign w:val="bottom"/>
          </w:tcPr>
          <w:p>
            <w:pPr>
              <w:jc w:val="right"/>
              <w:spacing w:after="0"/>
              <w:rPr>
                <w:sz w:val="20"/>
                <w:szCs w:val="20"/>
                <w:color w:val="auto"/>
              </w:rPr>
            </w:pPr>
            <w:r>
              <w:rPr>
                <w:rFonts w:ascii="Arial" w:cs="Arial" w:eastAsia="Arial" w:hAnsi="Arial"/>
                <w:sz w:val="16"/>
                <w:szCs w:val="16"/>
                <w:color w:val="51555C"/>
              </w:rPr>
              <w:t>72</w:t>
            </w:r>
          </w:p>
        </w:tc>
        <w:tc>
          <w:tcPr>
            <w:tcW w:w="1180" w:type="dxa"/>
            <w:vAlign w:val="bottom"/>
            <w:gridSpan w:val="2"/>
          </w:tcPr>
          <w:p>
            <w:pPr>
              <w:jc w:val="right"/>
              <w:spacing w:after="0"/>
              <w:rPr>
                <w:sz w:val="20"/>
                <w:szCs w:val="20"/>
                <w:color w:val="auto"/>
              </w:rPr>
            </w:pPr>
            <w:r>
              <w:rPr>
                <w:rFonts w:ascii="Arial" w:cs="Arial" w:eastAsia="Arial" w:hAnsi="Arial"/>
                <w:sz w:val="16"/>
                <w:szCs w:val="16"/>
                <w:color w:val="51555C"/>
              </w:rPr>
              <w:t>(23,742,986)</w:t>
            </w:r>
          </w:p>
        </w:tc>
        <w:tc>
          <w:tcPr>
            <w:tcW w:w="980" w:type="dxa"/>
            <w:vAlign w:val="bottom"/>
          </w:tcPr>
          <w:p>
            <w:pPr>
              <w:jc w:val="right"/>
              <w:spacing w:after="0"/>
              <w:rPr>
                <w:sz w:val="20"/>
                <w:szCs w:val="20"/>
                <w:color w:val="auto"/>
              </w:rPr>
            </w:pPr>
            <w:r>
              <w:rPr>
                <w:rFonts w:ascii="Arial" w:cs="Arial" w:eastAsia="Arial" w:hAnsi="Arial"/>
                <w:sz w:val="16"/>
                <w:szCs w:val="16"/>
                <w:color w:val="51555C"/>
                <w:w w:val="98"/>
              </w:rPr>
              <w:t>$ (1,198,721)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51555C"/>
              </w:rPr>
              <w:t>$1,319,562</w:t>
            </w:r>
          </w:p>
        </w:tc>
        <w:tc>
          <w:tcPr>
            <w:tcW w:w="16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960" w:type="dxa"/>
            <w:vAlign w:val="bottom"/>
          </w:tcPr>
          <w:p>
            <w:pPr>
              <w:jc w:val="right"/>
              <w:spacing w:after="0"/>
              <w:rPr>
                <w:sz w:val="20"/>
                <w:szCs w:val="20"/>
                <w:color w:val="auto"/>
              </w:rPr>
            </w:pPr>
            <w:r>
              <w:rPr>
                <w:rFonts w:ascii="Arial" w:cs="Arial" w:eastAsia="Arial" w:hAnsi="Arial"/>
                <w:sz w:val="16"/>
                <w:szCs w:val="16"/>
                <w:color w:val="51555C"/>
              </w:rPr>
              <w:t>(8,302)</w:t>
            </w:r>
          </w:p>
        </w:tc>
        <w:tc>
          <w:tcPr>
            <w:tcW w:w="220" w:type="dxa"/>
            <w:vAlign w:val="bottom"/>
          </w:tcPr>
          <w:p>
            <w:pPr>
              <w:ind w:left="20"/>
              <w:spacing w:after="0"/>
              <w:rPr>
                <w:sz w:val="20"/>
                <w:szCs w:val="20"/>
                <w:color w:val="auto"/>
              </w:rPr>
            </w:pPr>
            <w:r>
              <w:rPr>
                <w:rFonts w:ascii="Arial" w:cs="Arial" w:eastAsia="Arial" w:hAnsi="Arial"/>
                <w:sz w:val="16"/>
                <w:szCs w:val="16"/>
                <w:color w:val="51555C"/>
              </w:rPr>
              <w:t>$</w:t>
            </w:r>
          </w:p>
        </w:tc>
        <w:tc>
          <w:tcPr>
            <w:tcW w:w="740" w:type="dxa"/>
            <w:vAlign w:val="bottom"/>
          </w:tcPr>
          <w:p>
            <w:pPr>
              <w:jc w:val="right"/>
              <w:spacing w:after="0"/>
              <w:rPr>
                <w:sz w:val="20"/>
                <w:szCs w:val="20"/>
                <w:color w:val="auto"/>
              </w:rPr>
            </w:pPr>
            <w:r>
              <w:rPr>
                <w:rFonts w:ascii="Arial" w:cs="Arial" w:eastAsia="Arial" w:hAnsi="Arial"/>
                <w:sz w:val="16"/>
                <w:szCs w:val="16"/>
                <w:color w:val="51555C"/>
              </w:rPr>
              <w:t>(95,134)</w:t>
            </w:r>
          </w:p>
        </w:tc>
        <w:tc>
          <w:tcPr>
            <w:tcW w:w="200" w:type="dxa"/>
            <w:vAlign w:val="bottom"/>
          </w:tcPr>
          <w:p>
            <w:pPr>
              <w:jc w:val="right"/>
              <w:ind w:right="1"/>
              <w:spacing w:after="0"/>
              <w:rPr>
                <w:sz w:val="20"/>
                <w:szCs w:val="20"/>
                <w:color w:val="auto"/>
              </w:rPr>
            </w:pPr>
            <w:r>
              <w:rPr>
                <w:rFonts w:ascii="Arial" w:cs="Arial" w:eastAsia="Arial" w:hAnsi="Arial"/>
                <w:sz w:val="16"/>
                <w:szCs w:val="16"/>
                <w:color w:val="51555C"/>
              </w:rPr>
              <w:t>$</w:t>
            </w:r>
          </w:p>
        </w:tc>
        <w:tc>
          <w:tcPr>
            <w:tcW w:w="820" w:type="dxa"/>
            <w:vAlign w:val="bottom"/>
          </w:tcPr>
          <w:p>
            <w:pPr>
              <w:jc w:val="right"/>
              <w:spacing w:after="0"/>
              <w:rPr>
                <w:sz w:val="20"/>
                <w:szCs w:val="20"/>
                <w:color w:val="auto"/>
              </w:rPr>
            </w:pPr>
            <w:r>
              <w:rPr>
                <w:rFonts w:ascii="Arial" w:cs="Arial" w:eastAsia="Arial" w:hAnsi="Arial"/>
                <w:sz w:val="16"/>
                <w:szCs w:val="16"/>
                <w:color w:val="51555C"/>
              </w:rPr>
              <w:t>17,477</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Net income</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26,466</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26,466</w:t>
            </w:r>
          </w:p>
        </w:tc>
        <w:tc>
          <w:tcPr>
            <w:tcW w:w="0" w:type="dxa"/>
            <w:vAlign w:val="bottom"/>
          </w:tcPr>
          <w:p>
            <w:pPr>
              <w:spacing w:after="0"/>
              <w:rPr>
                <w:sz w:val="1"/>
                <w:szCs w:val="1"/>
                <w:color w:val="auto"/>
              </w:rPr>
            </w:pPr>
          </w:p>
        </w:tc>
      </w:tr>
      <w:tr>
        <w:trPr>
          <w:trHeight w:val="202"/>
        </w:trPr>
        <w:tc>
          <w:tcPr>
            <w:tcW w:w="3060" w:type="dxa"/>
            <w:vAlign w:val="bottom"/>
          </w:tcPr>
          <w:p>
            <w:pPr>
              <w:ind w:left="140"/>
              <w:spacing w:after="0"/>
              <w:rPr>
                <w:sz w:val="20"/>
                <w:szCs w:val="20"/>
                <w:color w:val="auto"/>
              </w:rPr>
            </w:pPr>
            <w:r>
              <w:rPr>
                <w:rFonts w:ascii="Arial" w:cs="Arial" w:eastAsia="Arial" w:hAnsi="Arial"/>
                <w:sz w:val="16"/>
                <w:szCs w:val="16"/>
                <w:color w:val="51555C"/>
              </w:rPr>
              <w:t>Purchase of treasury shares under</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40"/>
              <w:spacing w:after="0"/>
              <w:rPr>
                <w:sz w:val="20"/>
                <w:szCs w:val="20"/>
                <w:color w:val="auto"/>
              </w:rPr>
            </w:pPr>
            <w:r>
              <w:rPr>
                <w:rFonts w:ascii="Arial" w:cs="Arial" w:eastAsia="Arial" w:hAnsi="Arial"/>
                <w:sz w:val="16"/>
                <w:szCs w:val="16"/>
                <w:color w:val="51555C"/>
              </w:rPr>
              <w:t>stock repurchase program, inclusive of</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rPr>
                <w:sz w:val="20"/>
                <w:szCs w:val="20"/>
                <w:color w:val="auto"/>
              </w:rPr>
            </w:pPr>
            <w:r>
              <w:rPr>
                <w:rFonts w:ascii="Arial" w:cs="Arial" w:eastAsia="Arial" w:hAnsi="Arial"/>
                <w:sz w:val="16"/>
                <w:szCs w:val="16"/>
                <w:color w:val="51555C"/>
              </w:rPr>
              <w:t>excise tax</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(19)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(19)</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4,951</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2"/>
        </w:trPr>
        <w:tc>
          <w:tcPr>
            <w:tcW w:w="3060" w:type="dxa"/>
            <w:vAlign w:val="bottom"/>
          </w:tcPr>
          <w:p>
            <w:pPr>
              <w:ind w:left="140"/>
              <w:spacing w:after="0"/>
              <w:rPr>
                <w:sz w:val="20"/>
                <w:szCs w:val="20"/>
                <w:color w:val="auto"/>
              </w:rPr>
            </w:pPr>
            <w:r>
              <w:rPr>
                <w:rFonts w:ascii="Arial" w:cs="Arial" w:eastAsia="Arial" w:hAnsi="Arial"/>
                <w:sz w:val="16"/>
                <w:szCs w:val="16"/>
                <w:color w:val="51555C"/>
              </w:rPr>
              <w:t>Shares withheld to satisfy tax</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60" w:type="dxa"/>
            <w:vAlign w:val="bottom"/>
          </w:tcPr>
          <w:p>
            <w:pPr>
              <w:ind w:left="140"/>
              <w:spacing w:after="0"/>
              <w:rPr>
                <w:sz w:val="20"/>
                <w:szCs w:val="20"/>
                <w:color w:val="auto"/>
              </w:rPr>
            </w:pPr>
            <w:r>
              <w:rPr>
                <w:rFonts w:ascii="Arial" w:cs="Arial" w:eastAsia="Arial" w:hAnsi="Arial"/>
                <w:sz w:val="16"/>
                <w:szCs w:val="16"/>
                <w:color w:val="51555C"/>
              </w:rPr>
              <w:t>withholdings</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51555C"/>
              </w:rPr>
              <w:t>(13,939)</w:t>
            </w:r>
          </w:p>
        </w:tc>
        <w:tc>
          <w:tcPr>
            <w:tcW w:w="980" w:type="dxa"/>
            <w:vAlign w:val="bottom"/>
          </w:tcPr>
          <w:p>
            <w:pPr>
              <w:jc w:val="right"/>
              <w:spacing w:after="0"/>
              <w:rPr>
                <w:sz w:val="20"/>
                <w:szCs w:val="20"/>
                <w:color w:val="auto"/>
              </w:rPr>
            </w:pPr>
            <w:r>
              <w:rPr>
                <w:rFonts w:ascii="Arial" w:cs="Arial" w:eastAsia="Arial" w:hAnsi="Arial"/>
                <w:sz w:val="16"/>
                <w:szCs w:val="16"/>
                <w:color w:val="51555C"/>
              </w:rPr>
              <w:t>(868)</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(868)</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4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27,672</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27,672</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51555C"/>
              </w:rPr>
              <w:t>23,307</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(22,991)</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income</w:t>
            </w:r>
          </w:p>
        </w:tc>
        <w:tc>
          <w:tcPr>
            <w:tcW w:w="8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tcPr>
          <w:p>
            <w:pPr>
              <w:spacing w:after="0"/>
              <w:rPr>
                <w:sz w:val="20"/>
                <w:szCs w:val="20"/>
                <w:color w:val="auto"/>
              </w:rPr>
            </w:pPr>
          </w:p>
        </w:tc>
        <w:tc>
          <w:tcPr>
            <w:tcW w:w="4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2,010</w:t>
            </w:r>
          </w:p>
        </w:tc>
        <w:tc>
          <w:tcPr>
            <w:tcW w:w="220" w:type="dxa"/>
            <w:vAlign w:val="bottom"/>
            <w:tcBorders>
              <w:bottom w:val="single" w:sz="8" w:color="51555C"/>
            </w:tcBorders>
          </w:tcPr>
          <w:p>
            <w:pPr>
              <w:spacing w:after="0"/>
              <w:rPr>
                <w:sz w:val="20"/>
                <w:szCs w:val="20"/>
                <w:color w:val="auto"/>
              </w:rPr>
            </w:pPr>
          </w:p>
        </w:tc>
        <w:tc>
          <w:tcPr>
            <w:tcW w:w="7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51555C"/>
            </w:tcBorders>
          </w:tcPr>
          <w:p>
            <w:pPr>
              <w:spacing w:after="0"/>
              <w:rPr>
                <w:sz w:val="20"/>
                <w:szCs w:val="20"/>
                <w:color w:val="auto"/>
              </w:rPr>
            </w:pPr>
          </w:p>
        </w:tc>
        <w:tc>
          <w:tcPr>
            <w:tcW w:w="8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2,010</w:t>
            </w:r>
          </w:p>
        </w:tc>
        <w:tc>
          <w:tcPr>
            <w:tcW w:w="0" w:type="dxa"/>
            <w:vAlign w:val="bottom"/>
          </w:tcPr>
          <w:p>
            <w:pPr>
              <w:spacing w:after="0"/>
              <w:rPr>
                <w:sz w:val="1"/>
                <w:szCs w:val="1"/>
                <w:color w:val="auto"/>
              </w:rPr>
            </w:pPr>
          </w:p>
        </w:tc>
      </w:tr>
      <w:tr>
        <w:trPr>
          <w:trHeight w:val="243"/>
        </w:trPr>
        <w:tc>
          <w:tcPr>
            <w:tcW w:w="306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June 30, 2025</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9"/>
              </w:rPr>
              <w:t>72,263,568</w:t>
            </w:r>
          </w:p>
        </w:tc>
        <w:tc>
          <w:tcPr>
            <w:tcW w:w="260" w:type="dxa"/>
            <w:vAlign w:val="bottom"/>
            <w:shd w:val="clear" w:color="auto" w:fill="EBFBFF"/>
          </w:tcPr>
          <w:p>
            <w:pPr>
              <w:jc w:val="right"/>
              <w:ind w:right="61"/>
              <w:spacing w:after="0"/>
              <w:rPr>
                <w:sz w:val="20"/>
                <w:szCs w:val="20"/>
                <w:color w:val="auto"/>
              </w:rPr>
            </w:pPr>
            <w:r>
              <w:rPr>
                <w:rFonts w:ascii="Arial" w:cs="Arial" w:eastAsia="Arial" w:hAnsi="Arial"/>
                <w:sz w:val="16"/>
                <w:szCs w:val="16"/>
                <w:color w:val="51555C"/>
              </w:rPr>
              <w:t>$</w:t>
            </w: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72</w:t>
            </w:r>
          </w:p>
        </w:tc>
        <w:tc>
          <w:tcPr>
            <w:tcW w:w="11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(23,756,925)</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8"/>
              </w:rPr>
              <w:t>$ (1,199,608)</w:t>
            </w:r>
          </w:p>
        </w:tc>
        <w:tc>
          <w:tcPr>
            <w:tcW w:w="104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$1,347,234</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(6,292)</w:t>
            </w:r>
          </w:p>
        </w:tc>
        <w:tc>
          <w:tcPr>
            <w:tcW w:w="220" w:type="dxa"/>
            <w:vAlign w:val="bottom"/>
            <w:shd w:val="clear" w:color="auto" w:fill="EBFBFF"/>
          </w:tcPr>
          <w:p>
            <w:pPr>
              <w:ind w:left="20"/>
              <w:spacing w:after="0"/>
              <w:rPr>
                <w:sz w:val="20"/>
                <w:szCs w:val="20"/>
                <w:color w:val="auto"/>
              </w:rPr>
            </w:pPr>
            <w:r>
              <w:rPr>
                <w:rFonts w:ascii="Arial" w:cs="Arial" w:eastAsia="Arial" w:hAnsi="Arial"/>
                <w:sz w:val="16"/>
                <w:szCs w:val="16"/>
                <w:color w:val="51555C"/>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(68,668)</w:t>
            </w:r>
          </w:p>
        </w:tc>
        <w:tc>
          <w:tcPr>
            <w:tcW w:w="200" w:type="dxa"/>
            <w:vAlign w:val="bottom"/>
            <w:shd w:val="clear" w:color="auto" w:fill="EBFBFF"/>
          </w:tcPr>
          <w:p>
            <w:pPr>
              <w:jc w:val="right"/>
              <w:ind w:right="1"/>
              <w:spacing w:after="0"/>
              <w:rPr>
                <w:sz w:val="20"/>
                <w:szCs w:val="20"/>
                <w:color w:val="auto"/>
              </w:rPr>
            </w:pPr>
            <w:r>
              <w:rPr>
                <w:rFonts w:ascii="Arial" w:cs="Arial" w:eastAsia="Arial" w:hAnsi="Arial"/>
                <w:sz w:val="16"/>
                <w:szCs w:val="16"/>
                <w:color w:val="51555C"/>
              </w:rPr>
              <w:t>$</w:t>
            </w: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72,738</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47,492</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47,492</w:t>
            </w:r>
          </w:p>
        </w:tc>
        <w:tc>
          <w:tcPr>
            <w:tcW w:w="0" w:type="dxa"/>
            <w:vAlign w:val="bottom"/>
          </w:tcPr>
          <w:p>
            <w:pPr>
              <w:spacing w:after="0"/>
              <w:rPr>
                <w:sz w:val="1"/>
                <w:szCs w:val="1"/>
                <w:color w:val="auto"/>
              </w:rPr>
            </w:pPr>
          </w:p>
        </w:tc>
      </w:tr>
      <w:tr>
        <w:trPr>
          <w:trHeight w:val="210"/>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treasury shares under</w:t>
            </w:r>
          </w:p>
        </w:tc>
        <w:tc>
          <w:tcPr>
            <w:tcW w:w="88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2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74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 repurchase program, inclusive of</w:t>
            </w:r>
          </w:p>
        </w:tc>
        <w:tc>
          <w:tcPr>
            <w:tcW w:w="88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42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106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92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74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820" w:type="dxa"/>
            <w:vAlign w:val="bottom"/>
            <w:shd w:val="clear" w:color="auto" w:fill="EBFB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excise tax</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0"/>
                <w:szCs w:val="20"/>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1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(459,528)</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(30,376)</w:t>
            </w:r>
          </w:p>
        </w:tc>
        <w:tc>
          <w:tcPr>
            <w:tcW w:w="120" w:type="dxa"/>
            <w:vAlign w:val="bottom"/>
            <w:shd w:val="clear" w:color="auto" w:fill="EBFBFF"/>
          </w:tcPr>
          <w:p>
            <w:pPr>
              <w:spacing w:after="0"/>
              <w:rPr>
                <w:sz w:val="20"/>
                <w:szCs w:val="20"/>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0"/>
                <w:szCs w:val="20"/>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0"/>
                <w:szCs w:val="20"/>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0"/>
                <w:szCs w:val="20"/>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(30,376)</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880" w:type="dxa"/>
            <w:vAlign w:val="bottom"/>
          </w:tcPr>
          <w:p>
            <w:pPr>
              <w:jc w:val="right"/>
              <w:spacing w:after="0"/>
              <w:rPr>
                <w:sz w:val="20"/>
                <w:szCs w:val="20"/>
                <w:color w:val="auto"/>
              </w:rPr>
            </w:pPr>
            <w:r>
              <w:rPr>
                <w:rFonts w:ascii="Arial" w:cs="Arial" w:eastAsia="Arial" w:hAnsi="Arial"/>
                <w:sz w:val="16"/>
                <w:szCs w:val="16"/>
                <w:color w:val="51555C"/>
              </w:rPr>
              <w:t>14,234</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10"/>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Shares withheld to satisfy tax</w:t>
            </w:r>
          </w:p>
        </w:tc>
        <w:tc>
          <w:tcPr>
            <w:tcW w:w="88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42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74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8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withholdings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180" w:type="dxa"/>
            <w:vAlign w:val="bottom"/>
            <w:gridSpan w:val="2"/>
            <w:shd w:val="clear" w:color="auto" w:fill="EBFBFF"/>
          </w:tcPr>
          <w:p>
            <w:pPr>
              <w:jc w:val="right"/>
              <w:spacing w:after="0"/>
              <w:rPr>
                <w:sz w:val="20"/>
                <w:szCs w:val="20"/>
                <w:color w:val="auto"/>
              </w:rPr>
            </w:pPr>
            <w:r>
              <w:rPr>
                <w:rFonts w:ascii="Arial" w:cs="Arial" w:eastAsia="Arial" w:hAnsi="Arial"/>
                <w:sz w:val="16"/>
                <w:szCs w:val="16"/>
                <w:color w:val="51555C"/>
              </w:rPr>
              <w:t>(21,069)</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(1,332)</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(1,332)</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51555C"/>
              </w:rPr>
              <w:t>22,573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22,573</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8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35,790</w:t>
            </w:r>
          </w:p>
        </w:tc>
        <w:tc>
          <w:tcPr>
            <w:tcW w:w="260" w:type="dxa"/>
            <w:vAlign w:val="bottom"/>
            <w:shd w:val="clear" w:color="auto" w:fill="EBFBFF"/>
          </w:tcPr>
          <w:p>
            <w:pPr>
              <w:spacing w:after="0"/>
              <w:rPr>
                <w:sz w:val="21"/>
                <w:szCs w:val="21"/>
                <w:color w:val="auto"/>
              </w:rPr>
            </w:pPr>
          </w:p>
        </w:tc>
        <w:tc>
          <w:tcPr>
            <w:tcW w:w="4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8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5"/>
        </w:trPr>
        <w:tc>
          <w:tcPr>
            <w:tcW w:w="306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880" w:type="dxa"/>
            <w:vAlign w:val="bottom"/>
          </w:tcPr>
          <w:p>
            <w:pPr>
              <w:jc w:val="right"/>
              <w:spacing w:after="0"/>
              <w:rPr>
                <w:sz w:val="20"/>
                <w:szCs w:val="20"/>
                <w:color w:val="auto"/>
              </w:rPr>
            </w:pPr>
            <w:r>
              <w:rPr>
                <w:rFonts w:ascii="Arial" w:cs="Arial" w:eastAsia="Arial" w:hAnsi="Arial"/>
                <w:sz w:val="16"/>
                <w:szCs w:val="16"/>
                <w:color w:val="51555C"/>
              </w:rPr>
              <w:t>(18,098)</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1"/>
        </w:trPr>
        <w:tc>
          <w:tcPr>
            <w:tcW w:w="306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loss</w:t>
            </w:r>
          </w:p>
        </w:tc>
        <w:tc>
          <w:tcPr>
            <w:tcW w:w="8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4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(2,906)</w:t>
            </w:r>
          </w:p>
        </w:tc>
        <w:tc>
          <w:tcPr>
            <w:tcW w:w="220" w:type="dxa"/>
            <w:vAlign w:val="bottom"/>
            <w:tcBorders>
              <w:bottom w:val="single" w:sz="8" w:color="51555C"/>
            </w:tcBorders>
            <w:shd w:val="clear" w:color="auto" w:fill="EBFBFF"/>
          </w:tcPr>
          <w:p>
            <w:pPr>
              <w:spacing w:after="0"/>
              <w:rPr>
                <w:sz w:val="21"/>
                <w:szCs w:val="21"/>
                <w:color w:val="auto"/>
              </w:rPr>
            </w:pPr>
          </w:p>
        </w:tc>
        <w:tc>
          <w:tcPr>
            <w:tcW w:w="7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51555C"/>
            </w:tcBorders>
            <w:shd w:val="clear" w:color="auto" w:fill="EBFBFF"/>
          </w:tcPr>
          <w:p>
            <w:pPr>
              <w:spacing w:after="0"/>
              <w:rPr>
                <w:sz w:val="21"/>
                <w:szCs w:val="21"/>
                <w:color w:val="auto"/>
              </w:rPr>
            </w:pPr>
          </w:p>
        </w:tc>
        <w:tc>
          <w:tcPr>
            <w:tcW w:w="8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(2,906)</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Balance at September 30, 2025</w:t>
            </w:r>
          </w:p>
        </w:tc>
        <w:tc>
          <w:tcPr>
            <w:tcW w:w="8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99"/>
              </w:rPr>
              <w:t>72,295,494</w:t>
            </w:r>
          </w:p>
        </w:tc>
        <w:tc>
          <w:tcPr>
            <w:tcW w:w="260" w:type="dxa"/>
            <w:vAlign w:val="bottom"/>
            <w:tcBorders>
              <w:bottom w:val="single" w:sz="8" w:color="0CD973"/>
            </w:tcBorders>
          </w:tcPr>
          <w:p>
            <w:pPr>
              <w:jc w:val="right"/>
              <w:ind w:right="61"/>
              <w:spacing w:after="0"/>
              <w:rPr>
                <w:sz w:val="20"/>
                <w:szCs w:val="20"/>
                <w:color w:val="auto"/>
              </w:rPr>
            </w:pPr>
            <w:r>
              <w:rPr>
                <w:rFonts w:ascii="Arial" w:cs="Arial" w:eastAsia="Arial" w:hAnsi="Arial"/>
                <w:sz w:val="16"/>
                <w:szCs w:val="16"/>
                <w:color w:val="51555C"/>
              </w:rPr>
              <w:t>$</w:t>
            </w:r>
          </w:p>
        </w:tc>
        <w:tc>
          <w:tcPr>
            <w:tcW w:w="42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72</w:t>
            </w:r>
          </w:p>
        </w:tc>
        <w:tc>
          <w:tcPr>
            <w:tcW w:w="1180" w:type="dxa"/>
            <w:vAlign w:val="bottom"/>
            <w:tcBorders>
              <w:bottom w:val="single" w:sz="8" w:color="0CD973"/>
            </w:tcBorders>
            <w:gridSpan w:val="2"/>
          </w:tcPr>
          <w:p>
            <w:pPr>
              <w:jc w:val="right"/>
              <w:spacing w:after="0"/>
              <w:rPr>
                <w:sz w:val="20"/>
                <w:szCs w:val="20"/>
                <w:color w:val="auto"/>
              </w:rPr>
            </w:pPr>
            <w:r>
              <w:rPr>
                <w:rFonts w:ascii="Arial" w:cs="Arial" w:eastAsia="Arial" w:hAnsi="Arial"/>
                <w:sz w:val="16"/>
                <w:szCs w:val="16"/>
                <w:color w:val="51555C"/>
              </w:rPr>
              <w:t>$ (24,237,522)</w:t>
            </w:r>
          </w:p>
        </w:tc>
        <w:tc>
          <w:tcPr>
            <w:tcW w:w="9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98"/>
              </w:rPr>
              <w:t>$ (1,231,316)</w:t>
            </w:r>
          </w:p>
        </w:tc>
        <w:tc>
          <w:tcPr>
            <w:tcW w:w="1040" w:type="dxa"/>
            <w:vAlign w:val="bottom"/>
            <w:tcBorders>
              <w:bottom w:val="single" w:sz="8" w:color="0CD973"/>
            </w:tcBorders>
            <w:gridSpan w:val="2"/>
          </w:tcPr>
          <w:p>
            <w:pPr>
              <w:jc w:val="right"/>
              <w:spacing w:after="0"/>
              <w:rPr>
                <w:sz w:val="20"/>
                <w:szCs w:val="20"/>
                <w:color w:val="auto"/>
              </w:rPr>
            </w:pPr>
            <w:r>
              <w:rPr>
                <w:rFonts w:ascii="Arial" w:cs="Arial" w:eastAsia="Arial" w:hAnsi="Arial"/>
                <w:sz w:val="16"/>
                <w:szCs w:val="16"/>
                <w:color w:val="51555C"/>
              </w:rPr>
              <w:t>$1,369,807</w:t>
            </w:r>
          </w:p>
        </w:tc>
        <w:tc>
          <w:tcPr>
            <w:tcW w:w="1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89"/>
              </w:rPr>
              <w:t>$</w:t>
            </w:r>
          </w:p>
        </w:tc>
        <w:tc>
          <w:tcPr>
            <w:tcW w:w="9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(9,198)</w:t>
            </w:r>
          </w:p>
        </w:tc>
        <w:tc>
          <w:tcPr>
            <w:tcW w:w="220" w:type="dxa"/>
            <w:vAlign w:val="bottom"/>
            <w:tcBorders>
              <w:bottom w:val="single" w:sz="8" w:color="0CD973"/>
            </w:tcBorders>
          </w:tcPr>
          <w:p>
            <w:pPr>
              <w:ind w:left="20"/>
              <w:spacing w:after="0"/>
              <w:rPr>
                <w:sz w:val="20"/>
                <w:szCs w:val="20"/>
                <w:color w:val="auto"/>
              </w:rPr>
            </w:pPr>
            <w:r>
              <w:rPr>
                <w:rFonts w:ascii="Arial" w:cs="Arial" w:eastAsia="Arial" w:hAnsi="Arial"/>
                <w:sz w:val="16"/>
                <w:szCs w:val="16"/>
                <w:color w:val="51555C"/>
              </w:rPr>
              <w:t>$</w:t>
            </w:r>
          </w:p>
        </w:tc>
        <w:tc>
          <w:tcPr>
            <w:tcW w:w="7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(21,176)</w:t>
            </w:r>
          </w:p>
        </w:tc>
        <w:tc>
          <w:tcPr>
            <w:tcW w:w="200" w:type="dxa"/>
            <w:vAlign w:val="bottom"/>
            <w:tcBorders>
              <w:bottom w:val="single" w:sz="8" w:color="0CD973"/>
            </w:tcBorders>
          </w:tcPr>
          <w:p>
            <w:pPr>
              <w:jc w:val="right"/>
              <w:ind w:right="1"/>
              <w:spacing w:after="0"/>
              <w:rPr>
                <w:sz w:val="20"/>
                <w:szCs w:val="20"/>
                <w:color w:val="auto"/>
              </w:rPr>
            </w:pPr>
            <w:r>
              <w:rPr>
                <w:rFonts w:ascii="Arial" w:cs="Arial" w:eastAsia="Arial" w:hAnsi="Arial"/>
                <w:sz w:val="16"/>
                <w:szCs w:val="16"/>
                <w:color w:val="51555C"/>
              </w:rPr>
              <w:t>$</w:t>
            </w:r>
          </w:p>
        </w:tc>
        <w:tc>
          <w:tcPr>
            <w:tcW w:w="82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108,189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-5648325</wp:posOffset>
            </wp:positionV>
            <wp:extent cx="23742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55" w:lineRule="exact"/>
        <w:rPr>
          <w:sz w:val="20"/>
          <w:szCs w:val="20"/>
          <w:color w:val="auto"/>
        </w:rPr>
      </w:pPr>
    </w:p>
    <w:p>
      <w:pPr>
        <w:ind w:left="188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312420</wp:posOffset>
            </wp:positionV>
            <wp:extent cx="65976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tcPr>
          <w:p>
            <w:pPr>
              <w:ind w:left="7880"/>
              <w:spacing w:after="0"/>
              <w:rPr>
                <w:sz w:val="20"/>
                <w:szCs w:val="20"/>
                <w:color w:val="auto"/>
              </w:rPr>
            </w:pPr>
            <w:r>
              <w:rPr>
                <w:rFonts w:ascii="Arial" w:cs="Arial" w:eastAsia="Arial" w:hAnsi="Arial"/>
                <w:sz w:val="14"/>
                <w:szCs w:val="14"/>
                <w:color w:val="51555C"/>
              </w:rPr>
              <w:t>Third Quarter 2026 Form 10-Q</w:t>
            </w:r>
          </w:p>
        </w:tc>
        <w:tc>
          <w:tcPr>
            <w:tcW w:w="760" w:type="dxa"/>
            <w:vAlign w:val="bottom"/>
          </w:tcPr>
          <w:p>
            <w:pPr>
              <w:jc w:val="right"/>
              <w:spacing w:after="0"/>
              <w:rPr>
                <w:sz w:val="20"/>
                <w:szCs w:val="20"/>
                <w:color w:val="auto"/>
              </w:rPr>
            </w:pPr>
            <w:r>
              <w:rPr>
                <w:rFonts w:ascii="Arial" w:cs="Arial" w:eastAsia="Arial" w:hAnsi="Arial"/>
                <w:sz w:val="14"/>
                <w:szCs w:val="14"/>
                <w:color w:val="51555C"/>
              </w:rPr>
              <w:t>7</w:t>
            </w:r>
          </w:p>
        </w:tc>
      </w:tr>
      <w:tr>
        <w:trPr>
          <w:trHeight w:val="312"/>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Unaudited condensed consolidated interim financial statements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condensed consolidated balance sheets, condensed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2025 has been derived from the audited consolidated financial statements at that date. Operating results and cash flows for the three and/or nine months ended September 30, 2026 are not necessarily indicative of the results that may be expected for the fiscal year ending December 31, 2026,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2025, and other forms filed with the SEC from time to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Reclassifications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order to provide comparability between periods presented, our “operating lease right-of-use assets“ line has been combined within “other assets" in the previously reported condensed consolidated balance sheets to conform to the presentation of the current period. Similarly, "operating lease liabilities, net of current portion" has been combined within "other liabilities" in the previously reported condensed consolidated balance sheets to conform to the presentation of the current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of consolidation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unaudited, condensed consolidated financial statements include the accounts of Blackbaud, Inc. and its wholly owned subsidiaries. All intercompany balances and transactions have been eliminated in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Use of estimates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spacing w:after="0" w:line="30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8</w:t>
      </w:r>
      <w:r>
        <w:rPr>
          <w:sz w:val="20"/>
          <w:szCs w:val="20"/>
          <w:color w:val="auto"/>
        </w:rPr>
        <w:tab/>
      </w:r>
      <w:r>
        <w:rPr>
          <w:sz w:val="1"/>
          <w:szCs w:val="1"/>
          <w:color w:val="auto"/>
        </w:rPr>
        <w:drawing>
          <wp:inline distT="0" distB="0" distL="0" distR="0">
            <wp:extent cx="651510" cy="1714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issued accounting pronouncements</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 xml:space="preserve">In November 2024, the FASB issued ASU 2024-03, </w:t>
      </w:r>
      <w:r>
        <w:rPr>
          <w:rFonts w:ascii="Arial" w:cs="Arial" w:eastAsia="Arial" w:hAnsi="Arial"/>
          <w:sz w:val="18"/>
          <w:szCs w:val="18"/>
          <w:i w:val="1"/>
          <w:iCs w:val="1"/>
          <w:color w:val="51555C"/>
        </w:rPr>
        <w:t>Income Statement—Reporting Comprehensive Income—Expense Disaggregation</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Disclosures (Subtopic 220-40): Disaggregation of Income Statement Expenses. </w:t>
      </w:r>
      <w:r>
        <w:rPr>
          <w:rFonts w:ascii="Arial" w:cs="Arial" w:eastAsia="Arial" w:hAnsi="Arial"/>
          <w:sz w:val="18"/>
          <w:szCs w:val="18"/>
          <w:color w:val="51555C"/>
        </w:rPr>
        <w:t>This update is intended to improve transparency by requiring</w:t>
      </w:r>
      <w:r>
        <w:rPr>
          <w:rFonts w:ascii="Arial" w:cs="Arial" w:eastAsia="Arial" w:hAnsi="Arial"/>
          <w:sz w:val="18"/>
          <w:szCs w:val="18"/>
          <w:i w:val="1"/>
          <w:iCs w:val="1"/>
          <w:color w:val="51555C"/>
        </w:rPr>
        <w:t xml:space="preserve"> </w:t>
      </w:r>
      <w:r>
        <w:rPr>
          <w:rFonts w:ascii="Arial" w:cs="Arial" w:eastAsia="Arial" w:hAnsi="Arial"/>
          <w:sz w:val="18"/>
          <w:szCs w:val="18"/>
          <w:color w:val="51555C"/>
        </w:rPr>
        <w:t>entities to disclose, in the notes to the financial statements, a disaggregation of certain expense categories that are included within the line items presented on the face of the income statement. The standard is effective for our annual reporting period beginning in 2027 and for interim reporting periods beginning in 2028. We will adopt the standard for our 2027 annual reporting period. Adoption is not expected to have an impact on our financial position, results of operations or cash flows, but will result in additional financial statement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Summary of significant accounting policies</w:t>
      </w:r>
    </w:p>
    <w:p>
      <w:pPr>
        <w:spacing w:after="0" w:line="17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51555C"/>
        </w:rPr>
        <w:t>There have been no material changes to our significant accounting policies described in our Annual Report on Form 10-K for the year ended December 31, 2025, filed with the SEC on February 18, 2026.</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We compute basic earnings per share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vesting of restricted stock awards and units.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computation of basic and diluted earnings per share: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shd w:val="clear" w:color="auto" w:fill="004054"/>
          </w:tcPr>
          <w:p>
            <w:pPr>
              <w:spacing w:after="0"/>
              <w:rPr>
                <w:sz w:val="17"/>
                <w:szCs w:val="17"/>
                <w:color w:val="auto"/>
              </w:rPr>
            </w:pPr>
          </w:p>
        </w:tc>
        <w:tc>
          <w:tcPr>
            <w:tcW w:w="26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26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6"/>
        </w:trPr>
        <w:tc>
          <w:tcPr>
            <w:tcW w:w="5900" w:type="dxa"/>
            <w:vAlign w:val="bottom"/>
            <w:shd w:val="clear" w:color="auto" w:fill="004054"/>
          </w:tcPr>
          <w:p>
            <w:pPr>
              <w:spacing w:after="0"/>
              <w:rPr>
                <w:sz w:val="17"/>
                <w:szCs w:val="17"/>
                <w:color w:val="auto"/>
              </w:rPr>
            </w:pPr>
          </w:p>
        </w:tc>
        <w:tc>
          <w:tcPr>
            <w:tcW w:w="1310" w:type="dxa"/>
            <w:vAlign w:val="bottom"/>
            <w:shd w:val="clear" w:color="auto" w:fill="004054"/>
          </w:tcPr>
          <w:p>
            <w:pPr>
              <w:spacing w:after="0"/>
              <w:rPr>
                <w:sz w:val="17"/>
                <w:szCs w:val="17"/>
                <w:color w:val="auto"/>
              </w:rPr>
            </w:pP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1320" w:type="dxa"/>
            <w:vAlign w:val="bottom"/>
            <w:shd w:val="clear" w:color="auto" w:fill="004054"/>
          </w:tcPr>
          <w:p>
            <w:pPr>
              <w:spacing w:after="0"/>
              <w:rPr>
                <w:sz w:val="17"/>
                <w:szCs w:val="17"/>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43"/>
        </w:trPr>
        <w:tc>
          <w:tcPr>
            <w:tcW w:w="590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Pr>
          <w:p>
            <w:pPr>
              <w:spacing w:after="0"/>
              <w:rPr>
                <w:sz w:val="21"/>
                <w:szCs w:val="21"/>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9"/>
        </w:trPr>
        <w:tc>
          <w:tcPr>
            <w:tcW w:w="5900" w:type="dxa"/>
            <w:vAlign w:val="bottom"/>
            <w:shd w:val="clear" w:color="auto" w:fill="004054"/>
          </w:tcPr>
          <w:p>
            <w:pPr>
              <w:spacing w:after="0"/>
              <w:rPr>
                <w:sz w:val="2"/>
                <w:szCs w:val="2"/>
                <w:color w:val="auto"/>
              </w:rPr>
            </w:pPr>
          </w:p>
        </w:tc>
        <w:tc>
          <w:tcPr>
            <w:tcW w:w="1310" w:type="dxa"/>
            <w:vAlign w:val="bottom"/>
            <w:shd w:val="clear" w:color="auto" w:fill="004054"/>
          </w:tcPr>
          <w:p>
            <w:pPr>
              <w:spacing w:after="0"/>
              <w:rPr>
                <w:sz w:val="2"/>
                <w:szCs w:val="2"/>
                <w:color w:val="auto"/>
              </w:rPr>
            </w:pPr>
          </w:p>
        </w:tc>
        <w:tc>
          <w:tcPr>
            <w:tcW w:w="1310" w:type="dxa"/>
            <w:vAlign w:val="bottom"/>
            <w:shd w:val="clear" w:color="auto" w:fill="004054"/>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004054"/>
          </w:tcPr>
          <w:p>
            <w:pPr>
              <w:spacing w:after="0"/>
              <w:rPr>
                <w:sz w:val="2"/>
                <w:szCs w:val="2"/>
                <w:color w:val="auto"/>
              </w:rPr>
            </w:pPr>
          </w:p>
        </w:tc>
        <w:tc>
          <w:tcPr>
            <w:tcW w:w="1320" w:type="dxa"/>
            <w:vAlign w:val="bottom"/>
            <w:shd w:val="clear" w:color="auto" w:fill="00405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-162560</wp:posOffset>
            </wp:positionV>
            <wp:extent cx="34029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Numerator: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00" w:type="dxa"/>
            <w:vAlign w:val="bottom"/>
          </w:tcPr>
          <w:p>
            <w:pPr>
              <w:ind w:left="140"/>
              <w:spacing w:after="0"/>
              <w:rPr>
                <w:sz w:val="20"/>
                <w:szCs w:val="20"/>
                <w:color w:val="auto"/>
              </w:rPr>
            </w:pPr>
            <w:r>
              <w:rPr>
                <w:rFonts w:ascii="Arial" w:cs="Arial" w:eastAsia="Arial" w:hAnsi="Arial"/>
                <w:sz w:val="18"/>
                <w:szCs w:val="18"/>
                <w:color w:val="51555C"/>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46,068</w:t>
            </w:r>
          </w:p>
        </w:tc>
        <w:tc>
          <w:tcPr>
            <w:tcW w:w="260" w:type="dxa"/>
            <w:vAlign w:val="bottom"/>
          </w:tcPr>
          <w:p>
            <w:pPr>
              <w:jc w:val="right"/>
              <w:ind w:right="3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47,492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112,565</w:t>
            </w:r>
          </w:p>
        </w:tc>
        <w:tc>
          <w:tcPr>
            <w:tcW w:w="260" w:type="dxa"/>
            <w:vAlign w:val="bottom"/>
          </w:tcPr>
          <w:p>
            <w:pPr>
              <w:jc w:val="right"/>
              <w:ind w:right="1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78,281</w:t>
            </w:r>
          </w:p>
        </w:tc>
      </w:tr>
      <w:tr>
        <w:trPr>
          <w:trHeight w:val="2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Denominator:</w:t>
            </w:r>
          </w:p>
        </w:tc>
        <w:tc>
          <w:tcPr>
            <w:tcW w:w="22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spacing w:after="0"/>
              <w:rPr>
                <w:sz w:val="24"/>
                <w:szCs w:val="24"/>
                <w:color w:val="auto"/>
              </w:rPr>
            </w:pPr>
          </w:p>
        </w:tc>
        <w:tc>
          <w:tcPr>
            <w:tcW w:w="26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22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spacing w:after="0"/>
              <w:rPr>
                <w:sz w:val="24"/>
                <w:szCs w:val="24"/>
                <w:color w:val="auto"/>
              </w:rPr>
            </w:pPr>
          </w:p>
        </w:tc>
        <w:tc>
          <w:tcPr>
            <w:tcW w:w="26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spacing w:after="0"/>
              <w:rPr>
                <w:sz w:val="24"/>
                <w:szCs w:val="24"/>
                <w:color w:val="auto"/>
              </w:rPr>
            </w:pPr>
          </w:p>
        </w:tc>
      </w:tr>
      <w:tr>
        <w:trPr>
          <w:trHeight w:val="301"/>
        </w:trPr>
        <w:tc>
          <w:tcPr>
            <w:tcW w:w="5900" w:type="dxa"/>
            <w:vAlign w:val="bottom"/>
          </w:tcPr>
          <w:p>
            <w:pPr>
              <w:ind w:left="140"/>
              <w:spacing w:after="0"/>
              <w:rPr>
                <w:sz w:val="20"/>
                <w:szCs w:val="20"/>
                <w:color w:val="auto"/>
              </w:rPr>
            </w:pPr>
            <w:r>
              <w:rPr>
                <w:rFonts w:ascii="Arial" w:cs="Arial" w:eastAsia="Arial" w:hAnsi="Arial"/>
                <w:sz w:val="18"/>
                <w:szCs w:val="18"/>
                <w:color w:val="51555C"/>
              </w:rPr>
              <w:t>Weighted average common shares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44,267,816</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47,680,002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44,858,491</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47,961,631</w:t>
            </w:r>
          </w:p>
        </w:tc>
      </w:tr>
      <w:tr>
        <w:trPr>
          <w:trHeight w:val="2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5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effect of dilutive securities:</w:t>
            </w:r>
          </w:p>
        </w:tc>
        <w:tc>
          <w:tcPr>
            <w:tcW w:w="22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spacing w:after="0"/>
              <w:rPr>
                <w:sz w:val="24"/>
                <w:szCs w:val="24"/>
                <w:color w:val="auto"/>
              </w:rPr>
            </w:pPr>
          </w:p>
        </w:tc>
        <w:tc>
          <w:tcPr>
            <w:tcW w:w="26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22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spacing w:after="0"/>
              <w:rPr>
                <w:sz w:val="24"/>
                <w:szCs w:val="24"/>
                <w:color w:val="auto"/>
              </w:rPr>
            </w:pPr>
          </w:p>
        </w:tc>
        <w:tc>
          <w:tcPr>
            <w:tcW w:w="26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spacing w:after="0"/>
              <w:rPr>
                <w:sz w:val="24"/>
                <w:szCs w:val="24"/>
                <w:color w:val="auto"/>
              </w:rPr>
            </w:pPr>
          </w:p>
        </w:tc>
      </w:tr>
      <w:tr>
        <w:trPr>
          <w:trHeight w:val="301"/>
        </w:trPr>
        <w:tc>
          <w:tcPr>
            <w:tcW w:w="5900" w:type="dxa"/>
            <w:vAlign w:val="bottom"/>
          </w:tcPr>
          <w:p>
            <w:pPr>
              <w:ind w:left="360"/>
              <w:spacing w:after="0"/>
              <w:rPr>
                <w:sz w:val="20"/>
                <w:szCs w:val="20"/>
                <w:color w:val="auto"/>
              </w:rPr>
            </w:pPr>
            <w:r>
              <w:rPr>
                <w:rFonts w:ascii="Arial" w:cs="Arial" w:eastAsia="Arial" w:hAnsi="Arial"/>
                <w:sz w:val="18"/>
                <w:szCs w:val="18"/>
                <w:color w:val="51555C"/>
              </w:rPr>
              <w:t>Restricted stock and units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693,772</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818,283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386,725</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672,396</w:t>
            </w:r>
          </w:p>
        </w:tc>
      </w:tr>
      <w:tr>
        <w:trPr>
          <w:trHeight w:val="23"/>
        </w:trPr>
        <w:tc>
          <w:tcPr>
            <w:tcW w:w="590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r>
      <w:tr>
        <w:trPr>
          <w:trHeight w:val="318"/>
        </w:trPr>
        <w:tc>
          <w:tcPr>
            <w:tcW w:w="5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Weighted average common shares assuming dilution</w:t>
            </w:r>
          </w:p>
        </w:tc>
        <w:tc>
          <w:tcPr>
            <w:tcW w:w="22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44,961,588</w:t>
            </w:r>
          </w:p>
        </w:tc>
        <w:tc>
          <w:tcPr>
            <w:tcW w:w="26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48,498,285</w:t>
            </w:r>
          </w:p>
        </w:tc>
        <w:tc>
          <w:tcPr>
            <w:tcW w:w="100" w:type="dxa"/>
            <w:vAlign w:val="bottom"/>
            <w:tcBorders>
              <w:bottom w:val="single" w:sz="8" w:color="EBFBFF"/>
            </w:tcBorders>
            <w:shd w:val="clear" w:color="auto" w:fill="EBFBFF"/>
          </w:tcPr>
          <w:p>
            <w:pPr>
              <w:spacing w:after="0"/>
              <w:rPr>
                <w:sz w:val="24"/>
                <w:szCs w:val="24"/>
                <w:color w:val="auto"/>
              </w:rPr>
            </w:pPr>
          </w:p>
        </w:tc>
        <w:tc>
          <w:tcPr>
            <w:tcW w:w="22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45,245,216</w:t>
            </w:r>
          </w:p>
        </w:tc>
        <w:tc>
          <w:tcPr>
            <w:tcW w:w="26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48,634,027</w:t>
            </w:r>
          </w:p>
        </w:tc>
      </w:tr>
      <w:tr>
        <w:trPr>
          <w:trHeight w:val="281"/>
        </w:trPr>
        <w:tc>
          <w:tcPr>
            <w:tcW w:w="5900" w:type="dxa"/>
            <w:vAlign w:val="bottom"/>
          </w:tcPr>
          <w:p>
            <w:pPr>
              <w:ind w:left="20"/>
              <w:spacing w:after="0"/>
              <w:rPr>
                <w:sz w:val="20"/>
                <w:szCs w:val="20"/>
                <w:color w:val="auto"/>
              </w:rPr>
            </w:pPr>
            <w:r>
              <w:rPr>
                <w:rFonts w:ascii="Arial" w:cs="Arial" w:eastAsia="Arial" w:hAnsi="Arial"/>
                <w:sz w:val="18"/>
                <w:szCs w:val="18"/>
                <w:color w:val="51555C"/>
              </w:rPr>
              <w:t>Earnings per share</w:t>
            </w:r>
          </w:p>
        </w:tc>
        <w:tc>
          <w:tcPr>
            <w:tcW w:w="220" w:type="dxa"/>
            <w:vAlign w:val="bottom"/>
            <w:tcBorders>
              <w:top w:val="single" w:sz="8" w:color="51555C"/>
            </w:tcBorders>
          </w:tcPr>
          <w:p>
            <w:pPr>
              <w:spacing w:after="0"/>
              <w:rPr>
                <w:sz w:val="24"/>
                <w:szCs w:val="24"/>
                <w:color w:val="auto"/>
              </w:rPr>
            </w:pPr>
          </w:p>
        </w:tc>
        <w:tc>
          <w:tcPr>
            <w:tcW w:w="1060" w:type="dxa"/>
            <w:vAlign w:val="bottom"/>
            <w:tcBorders>
              <w:top w:val="single" w:sz="8" w:color="51555C"/>
            </w:tcBorders>
          </w:tcPr>
          <w:p>
            <w:pPr>
              <w:spacing w:after="0"/>
              <w:rPr>
                <w:sz w:val="24"/>
                <w:szCs w:val="24"/>
                <w:color w:val="auto"/>
              </w:rPr>
            </w:pPr>
          </w:p>
        </w:tc>
        <w:tc>
          <w:tcPr>
            <w:tcW w:w="260" w:type="dxa"/>
            <w:vAlign w:val="bottom"/>
            <w:tcBorders>
              <w:top w:val="single" w:sz="8" w:color="51555C"/>
            </w:tcBorders>
          </w:tcPr>
          <w:p>
            <w:pPr>
              <w:spacing w:after="0"/>
              <w:rPr>
                <w:sz w:val="24"/>
                <w:szCs w:val="24"/>
                <w:color w:val="auto"/>
              </w:rPr>
            </w:pPr>
          </w:p>
        </w:tc>
        <w:tc>
          <w:tcPr>
            <w:tcW w:w="1080" w:type="dxa"/>
            <w:vAlign w:val="bottom"/>
            <w:tcBorders>
              <w:top w:val="single" w:sz="8" w:color="51555C"/>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51555C"/>
            </w:tcBorders>
          </w:tcPr>
          <w:p>
            <w:pPr>
              <w:spacing w:after="0"/>
              <w:rPr>
                <w:sz w:val="24"/>
                <w:szCs w:val="24"/>
                <w:color w:val="auto"/>
              </w:rPr>
            </w:pPr>
          </w:p>
        </w:tc>
        <w:tc>
          <w:tcPr>
            <w:tcW w:w="1060" w:type="dxa"/>
            <w:vAlign w:val="bottom"/>
            <w:tcBorders>
              <w:top w:val="single" w:sz="8" w:color="51555C"/>
            </w:tcBorders>
          </w:tcPr>
          <w:p>
            <w:pPr>
              <w:spacing w:after="0"/>
              <w:rPr>
                <w:sz w:val="24"/>
                <w:szCs w:val="24"/>
                <w:color w:val="auto"/>
              </w:rPr>
            </w:pPr>
          </w:p>
        </w:tc>
        <w:tc>
          <w:tcPr>
            <w:tcW w:w="260" w:type="dxa"/>
            <w:vAlign w:val="bottom"/>
            <w:tcBorders>
              <w:top w:val="single" w:sz="8" w:color="51555C"/>
            </w:tcBorders>
          </w:tcPr>
          <w:p>
            <w:pPr>
              <w:spacing w:after="0"/>
              <w:rPr>
                <w:sz w:val="24"/>
                <w:szCs w:val="24"/>
                <w:color w:val="auto"/>
              </w:rPr>
            </w:pPr>
          </w:p>
        </w:tc>
        <w:tc>
          <w:tcPr>
            <w:tcW w:w="1080" w:type="dxa"/>
            <w:vAlign w:val="bottom"/>
            <w:tcBorders>
              <w:top w:val="single" w:sz="8" w:color="51555C"/>
            </w:tcBorders>
          </w:tcPr>
          <w:p>
            <w:pPr>
              <w:spacing w:after="0"/>
              <w:rPr>
                <w:sz w:val="24"/>
                <w:szCs w:val="24"/>
                <w:color w:val="auto"/>
              </w:rPr>
            </w:pPr>
          </w:p>
        </w:tc>
      </w:tr>
      <w:tr>
        <w:trPr>
          <w:trHeight w:val="2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5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Basic</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1.04</w:t>
            </w:r>
          </w:p>
        </w:tc>
        <w:tc>
          <w:tcPr>
            <w:tcW w:w="26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1.00</w:t>
            </w:r>
          </w:p>
        </w:tc>
        <w:tc>
          <w:tcPr>
            <w:tcW w:w="100" w:type="dxa"/>
            <w:vAlign w:val="bottom"/>
            <w:tcBorders>
              <w:bottom w:val="single" w:sz="8" w:color="EBFBFF"/>
            </w:tcBorders>
            <w:shd w:val="clear" w:color="auto" w:fill="EBFBFF"/>
          </w:tcPr>
          <w:p>
            <w:pPr>
              <w:spacing w:after="0"/>
              <w:rPr>
                <w:sz w:val="24"/>
                <w:szCs w:val="24"/>
                <w:color w:val="auto"/>
              </w:rPr>
            </w:pP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2.51</w:t>
            </w:r>
          </w:p>
        </w:tc>
        <w:tc>
          <w:tcPr>
            <w:tcW w:w="26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1.63</w:t>
            </w:r>
          </w:p>
        </w:tc>
      </w:tr>
      <w:tr>
        <w:trPr>
          <w:trHeight w:val="301"/>
        </w:trPr>
        <w:tc>
          <w:tcPr>
            <w:tcW w:w="5900" w:type="dxa"/>
            <w:vAlign w:val="bottom"/>
          </w:tcPr>
          <w:p>
            <w:pPr>
              <w:ind w:left="140"/>
              <w:spacing w:after="0"/>
              <w:rPr>
                <w:sz w:val="20"/>
                <w:szCs w:val="20"/>
                <w:color w:val="auto"/>
              </w:rPr>
            </w:pPr>
            <w:r>
              <w:rPr>
                <w:rFonts w:ascii="Arial" w:cs="Arial" w:eastAsia="Arial" w:hAnsi="Arial"/>
                <w:sz w:val="18"/>
                <w:szCs w:val="18"/>
                <w:color w:val="51555C"/>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1.02</w:t>
            </w:r>
          </w:p>
        </w:tc>
        <w:tc>
          <w:tcPr>
            <w:tcW w:w="260" w:type="dxa"/>
            <w:vAlign w:val="bottom"/>
          </w:tcPr>
          <w:p>
            <w:pPr>
              <w:jc w:val="right"/>
              <w:ind w:right="3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0.98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2.49</w:t>
            </w:r>
          </w:p>
        </w:tc>
        <w:tc>
          <w:tcPr>
            <w:tcW w:w="260" w:type="dxa"/>
            <w:vAlign w:val="bottom"/>
          </w:tcPr>
          <w:p>
            <w:pPr>
              <w:jc w:val="right"/>
              <w:ind w:right="1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1.61</w:t>
            </w:r>
          </w:p>
        </w:tc>
      </w:tr>
      <w:tr>
        <w:trPr>
          <w:trHeight w:val="2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0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6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6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r>
      <w:tr>
        <w:trPr>
          <w:trHeight w:val="278"/>
        </w:trPr>
        <w:tc>
          <w:tcPr>
            <w:tcW w:w="5900" w:type="dxa"/>
            <w:vAlign w:val="bottom"/>
          </w:tcPr>
          <w:p>
            <w:pPr>
              <w:ind w:left="20"/>
              <w:spacing w:after="0"/>
              <w:rPr>
                <w:sz w:val="20"/>
                <w:szCs w:val="20"/>
                <w:color w:val="auto"/>
              </w:rPr>
            </w:pPr>
            <w:r>
              <w:rPr>
                <w:rFonts w:ascii="Arial" w:cs="Arial" w:eastAsia="Arial" w:hAnsi="Arial"/>
                <w:sz w:val="18"/>
                <w:szCs w:val="18"/>
                <w:color w:val="51555C"/>
              </w:rPr>
              <w:t>Anti-dilutive shares excluded from calculations of diluted earnings per</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9"/>
        </w:trPr>
        <w:tc>
          <w:tcPr>
            <w:tcW w:w="5900" w:type="dxa"/>
            <w:vAlign w:val="bottom"/>
          </w:tcPr>
          <w:p>
            <w:pPr>
              <w:ind w:left="20"/>
              <w:spacing w:after="0"/>
              <w:rPr>
                <w:sz w:val="20"/>
                <w:szCs w:val="20"/>
                <w:color w:val="auto"/>
              </w:rPr>
            </w:pPr>
            <w:r>
              <w:rPr>
                <w:rFonts w:ascii="Arial" w:cs="Arial" w:eastAsia="Arial" w:hAnsi="Arial"/>
                <w:sz w:val="18"/>
                <w:szCs w:val="18"/>
                <w:color w:val="51555C"/>
              </w:rPr>
              <w:t>share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794,049</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600,849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1,329,407</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667,483</w:t>
            </w:r>
          </w:p>
        </w:tc>
      </w:tr>
      <w:tr>
        <w:trPr>
          <w:trHeight w:val="23"/>
        </w:trPr>
        <w:tc>
          <w:tcPr>
            <w:tcW w:w="590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4.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Level 1 - Quoted prices for identical assets or liabilities in active markets;</w:t>
      </w:r>
    </w:p>
    <w:p>
      <w:pPr>
        <w:spacing w:after="0" w:line="171" w:lineRule="exact"/>
        <w:rPr>
          <w:rFonts w:ascii="Arial" w:cs="Arial" w:eastAsia="Arial" w:hAnsi="Arial"/>
          <w:sz w:val="18"/>
          <w:szCs w:val="18"/>
          <w:color w:val="51555C"/>
        </w:rPr>
      </w:pPr>
    </w:p>
    <w:p>
      <w:pPr>
        <w:jc w:val="both"/>
        <w:ind w:left="740" w:right="20" w:hanging="327"/>
        <w:spacing w:after="0" w:line="268" w:lineRule="auto"/>
        <w:tabs>
          <w:tab w:leader="none" w:pos="708"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16" w:lineRule="exact"/>
        <w:rPr>
          <w:rFonts w:ascii="Arial" w:cs="Arial" w:eastAsia="Arial" w:hAnsi="Arial"/>
          <w:sz w:val="18"/>
          <w:szCs w:val="18"/>
          <w:color w:val="51555C"/>
        </w:rPr>
      </w:pPr>
    </w:p>
    <w:p>
      <w:pPr>
        <w:ind w:left="700" w:hanging="287"/>
        <w:spacing w:after="0"/>
        <w:tabs>
          <w:tab w:leader="none" w:pos="70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Level 3 - Valuations derived from valuation techniques in which one or more significant inputs are unobservable.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240665</wp:posOffset>
            </wp:positionV>
            <wp:extent cx="65976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9</w:t>
            </w:r>
          </w:p>
        </w:tc>
      </w:tr>
      <w:tr>
        <w:trPr>
          <w:trHeight w:val="325"/>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676"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Financial assets and liabilities that are measured at fair value on a recurring basis consisted of the following, as of the dates indicated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32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2980" w:type="dxa"/>
            <w:vAlign w:val="bottom"/>
            <w:gridSpan w:val="4"/>
            <w:shd w:val="clear" w:color="auto" w:fill="004054"/>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004054"/>
          </w:tcPr>
          <w:p>
            <w:pPr>
              <w:spacing w:after="0"/>
              <w:rPr>
                <w:sz w:val="19"/>
                <w:szCs w:val="19"/>
                <w:color w:val="auto"/>
              </w:rPr>
            </w:pPr>
          </w:p>
        </w:tc>
        <w:tc>
          <w:tcPr>
            <w:tcW w:w="50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222"/>
        </w:trPr>
        <w:tc>
          <w:tcPr>
            <w:tcW w:w="490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Quoted Prices in</w:t>
            </w:r>
          </w:p>
        </w:tc>
        <w:tc>
          <w:tcPr>
            <w:tcW w:w="1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36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440" w:type="dxa"/>
            <w:vAlign w:val="bottom"/>
            <w:shd w:val="clear" w:color="auto" w:fill="004054"/>
          </w:tcPr>
          <w:p>
            <w:pPr>
              <w:spacing w:after="0"/>
              <w:rPr>
                <w:sz w:val="19"/>
                <w:szCs w:val="19"/>
                <w:color w:val="auto"/>
              </w:rPr>
            </w:pPr>
          </w:p>
        </w:tc>
        <w:tc>
          <w:tcPr>
            <w:tcW w:w="108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50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162"/>
        </w:trPr>
        <w:tc>
          <w:tcPr>
            <w:tcW w:w="490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Active Markets for</w:t>
            </w:r>
          </w:p>
        </w:tc>
        <w:tc>
          <w:tcPr>
            <w:tcW w:w="120" w:type="dxa"/>
            <w:vAlign w:val="bottom"/>
            <w:shd w:val="clear" w:color="auto" w:fill="004054"/>
          </w:tcPr>
          <w:p>
            <w:pPr>
              <w:spacing w:after="0"/>
              <w:rPr>
                <w:sz w:val="14"/>
                <w:szCs w:val="14"/>
                <w:color w:val="auto"/>
              </w:rPr>
            </w:pPr>
          </w:p>
        </w:tc>
        <w:tc>
          <w:tcPr>
            <w:tcW w:w="14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440" w:type="dxa"/>
            <w:vAlign w:val="bottom"/>
            <w:shd w:val="clear" w:color="auto" w:fill="004054"/>
          </w:tcPr>
          <w:p>
            <w:pPr>
              <w:spacing w:after="0"/>
              <w:rPr>
                <w:sz w:val="14"/>
                <w:szCs w:val="14"/>
                <w:color w:val="auto"/>
              </w:rPr>
            </w:pPr>
          </w:p>
        </w:tc>
        <w:tc>
          <w:tcPr>
            <w:tcW w:w="108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100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r>
      <w:tr>
        <w:trPr>
          <w:trHeight w:val="176"/>
        </w:trPr>
        <w:tc>
          <w:tcPr>
            <w:tcW w:w="4900" w:type="dxa"/>
            <w:vAlign w:val="bottom"/>
            <w:shd w:val="clear" w:color="auto" w:fill="004054"/>
          </w:tcPr>
          <w:p>
            <w:pPr>
              <w:spacing w:after="0"/>
              <w:rPr>
                <w:sz w:val="15"/>
                <w:szCs w:val="15"/>
                <w:color w:val="auto"/>
              </w:rPr>
            </w:pPr>
          </w:p>
        </w:tc>
        <w:tc>
          <w:tcPr>
            <w:tcW w:w="15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Identical Assets and</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 Other</w:t>
            </w: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5"/>
        </w:trPr>
        <w:tc>
          <w:tcPr>
            <w:tcW w:w="49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Liabilities</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Observable Inputs</w:t>
            </w:r>
          </w:p>
        </w:tc>
        <w:tc>
          <w:tcPr>
            <w:tcW w:w="100" w:type="dxa"/>
            <w:vAlign w:val="bottom"/>
            <w:shd w:val="clear" w:color="auto" w:fill="004054"/>
          </w:tcPr>
          <w:p>
            <w:pPr>
              <w:spacing w:after="0"/>
              <w:rPr>
                <w:sz w:val="15"/>
                <w:szCs w:val="15"/>
                <w:color w:val="auto"/>
              </w:rPr>
            </w:pPr>
          </w:p>
        </w:tc>
        <w:tc>
          <w:tcPr>
            <w:tcW w:w="1520" w:type="dxa"/>
            <w:vAlign w:val="bottom"/>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Unobservable Inputs</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205"/>
        </w:trPr>
        <w:tc>
          <w:tcPr>
            <w:tcW w:w="4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7"/>
                <w:szCs w:val="17"/>
                <w:color w:val="auto"/>
              </w:rPr>
            </w:pP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1)</w:t>
            </w:r>
          </w:p>
        </w:tc>
        <w:tc>
          <w:tcPr>
            <w:tcW w:w="120" w:type="dxa"/>
            <w:vAlign w:val="bottom"/>
            <w:tcBorders>
              <w:bottom w:val="single" w:sz="8" w:color="004054"/>
            </w:tcBorders>
            <w:shd w:val="clear" w:color="auto" w:fill="004054"/>
          </w:tcPr>
          <w:p>
            <w:pPr>
              <w:spacing w:after="0"/>
              <w:rPr>
                <w:sz w:val="17"/>
                <w:szCs w:val="17"/>
                <w:color w:val="auto"/>
              </w:rPr>
            </w:pPr>
          </w:p>
        </w:tc>
        <w:tc>
          <w:tcPr>
            <w:tcW w:w="140" w:type="dxa"/>
            <w:vAlign w:val="bottom"/>
            <w:tcBorders>
              <w:bottom w:val="single" w:sz="8" w:color="004054"/>
            </w:tcBorders>
            <w:shd w:val="clear" w:color="auto" w:fill="004054"/>
          </w:tcPr>
          <w:p>
            <w:pPr>
              <w:spacing w:after="0"/>
              <w:rPr>
                <w:sz w:val="17"/>
                <w:szCs w:val="17"/>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2)</w:t>
            </w:r>
          </w:p>
        </w:tc>
        <w:tc>
          <w:tcPr>
            <w:tcW w:w="100" w:type="dxa"/>
            <w:vAlign w:val="bottom"/>
            <w:tcBorders>
              <w:bottom w:val="single" w:sz="8" w:color="004054"/>
            </w:tcBorders>
            <w:shd w:val="clear" w:color="auto" w:fill="004054"/>
          </w:tcPr>
          <w:p>
            <w:pPr>
              <w:spacing w:after="0"/>
              <w:rPr>
                <w:sz w:val="17"/>
                <w:szCs w:val="17"/>
                <w:color w:val="auto"/>
              </w:rPr>
            </w:pPr>
          </w:p>
        </w:tc>
        <w:tc>
          <w:tcPr>
            <w:tcW w:w="440" w:type="dxa"/>
            <w:vAlign w:val="bottom"/>
            <w:tcBorders>
              <w:bottom w:val="single" w:sz="8" w:color="004054"/>
            </w:tcBorders>
            <w:shd w:val="clear" w:color="auto" w:fill="004054"/>
          </w:tcPr>
          <w:p>
            <w:pPr>
              <w:spacing w:after="0"/>
              <w:rPr>
                <w:sz w:val="17"/>
                <w:szCs w:val="17"/>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004054"/>
            </w:tcBorders>
            <w:shd w:val="clear" w:color="auto" w:fill="004054"/>
          </w:tcPr>
          <w:p>
            <w:pPr>
              <w:spacing w:after="0"/>
              <w:rPr>
                <w:sz w:val="17"/>
                <w:szCs w:val="17"/>
                <w:color w:val="auto"/>
              </w:rPr>
            </w:pPr>
          </w:p>
        </w:tc>
        <w:tc>
          <w:tcPr>
            <w:tcW w:w="500" w:type="dxa"/>
            <w:vAlign w:val="bottom"/>
            <w:tcBorders>
              <w:bottom w:val="single" w:sz="8" w:color="004054"/>
            </w:tcBorders>
            <w:shd w:val="clear" w:color="auto" w:fill="004054"/>
          </w:tcPr>
          <w:p>
            <w:pPr>
              <w:spacing w:after="0"/>
              <w:rPr>
                <w:sz w:val="17"/>
                <w:szCs w:val="17"/>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17"/>
                <w:szCs w:val="17"/>
                <w:color w:val="auto"/>
              </w:rPr>
            </w:pPr>
          </w:p>
        </w:tc>
      </w:tr>
      <w:tr>
        <w:trPr>
          <w:trHeight w:val="432"/>
        </w:trPr>
        <w:tc>
          <w:tcPr>
            <w:tcW w:w="49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September 30, 2026</w:t>
            </w:r>
          </w:p>
        </w:tc>
        <w:tc>
          <w:tcPr>
            <w:tcW w:w="180" w:type="dxa"/>
            <w:vAlign w:val="bottom"/>
            <w:shd w:val="clear" w:color="auto" w:fill="EBFBFF"/>
          </w:tcPr>
          <w:p>
            <w:pPr>
              <w:spacing w:after="0"/>
              <w:rPr>
                <w:sz w:val="24"/>
                <w:szCs w:val="24"/>
                <w:color w:val="auto"/>
              </w:rPr>
            </w:pPr>
          </w:p>
        </w:tc>
        <w:tc>
          <w:tcPr>
            <w:tcW w:w="1320" w:type="dxa"/>
            <w:vAlign w:val="bottom"/>
            <w:shd w:val="clear" w:color="auto" w:fill="EBFBFF"/>
          </w:tcPr>
          <w:p>
            <w:pPr>
              <w:spacing w:after="0"/>
              <w:rPr>
                <w:sz w:val="24"/>
                <w:szCs w:val="24"/>
                <w:color w:val="auto"/>
              </w:rPr>
            </w:pPr>
          </w:p>
        </w:tc>
        <w:tc>
          <w:tcPr>
            <w:tcW w:w="120" w:type="dxa"/>
            <w:vAlign w:val="bottom"/>
            <w:shd w:val="clear" w:color="auto" w:fill="EBFBFF"/>
          </w:tcPr>
          <w:p>
            <w:pPr>
              <w:spacing w:after="0"/>
              <w:rPr>
                <w:sz w:val="24"/>
                <w:szCs w:val="24"/>
                <w:color w:val="auto"/>
              </w:rPr>
            </w:pPr>
          </w:p>
        </w:tc>
        <w:tc>
          <w:tcPr>
            <w:tcW w:w="140" w:type="dxa"/>
            <w:vAlign w:val="bottom"/>
            <w:shd w:val="clear" w:color="auto" w:fill="EBFBFF"/>
          </w:tcPr>
          <w:p>
            <w:pPr>
              <w:spacing w:after="0"/>
              <w:rPr>
                <w:sz w:val="24"/>
                <w:szCs w:val="24"/>
                <w:color w:val="auto"/>
              </w:rPr>
            </w:pPr>
          </w:p>
        </w:tc>
        <w:tc>
          <w:tcPr>
            <w:tcW w:w="1360" w:type="dxa"/>
            <w:vAlign w:val="bottom"/>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4"/>
                <w:szCs w:val="24"/>
                <w:color w:val="auto"/>
              </w:rPr>
            </w:pPr>
          </w:p>
        </w:tc>
        <w:tc>
          <w:tcPr>
            <w:tcW w:w="1080" w:type="dxa"/>
            <w:vAlign w:val="bottom"/>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500" w:type="dxa"/>
            <w:vAlign w:val="bottom"/>
            <w:shd w:val="clear" w:color="auto" w:fill="EBFBFF"/>
          </w:tcPr>
          <w:p>
            <w:pPr>
              <w:spacing w:after="0"/>
              <w:rPr>
                <w:sz w:val="24"/>
                <w:szCs w:val="24"/>
                <w:color w:val="auto"/>
              </w:rPr>
            </w:pPr>
          </w:p>
        </w:tc>
        <w:tc>
          <w:tcPr>
            <w:tcW w:w="100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900" w:type="dxa"/>
            <w:vAlign w:val="bottom"/>
          </w:tcPr>
          <w:p>
            <w:pPr>
              <w:ind w:left="20"/>
              <w:spacing w:after="0"/>
              <w:rPr>
                <w:sz w:val="20"/>
                <w:szCs w:val="20"/>
                <w:color w:val="auto"/>
              </w:rPr>
            </w:pPr>
            <w:r>
              <w:rPr>
                <w:rFonts w:ascii="Arial" w:cs="Arial" w:eastAsia="Arial" w:hAnsi="Arial"/>
                <w:sz w:val="18"/>
                <w:szCs w:val="18"/>
                <w:color w:val="51555C"/>
              </w:rPr>
              <w:t>Financial assets: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11,203</w:t>
            </w: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11,203</w:t>
            </w:r>
          </w:p>
        </w:tc>
        <w:tc>
          <w:tcPr>
            <w:tcW w:w="20" w:type="dxa"/>
            <w:vAlign w:val="bottom"/>
          </w:tcPr>
          <w:p>
            <w:pPr>
              <w:spacing w:after="0"/>
              <w:rPr>
                <w:sz w:val="24"/>
                <w:szCs w:val="24"/>
                <w:color w:val="auto"/>
              </w:rPr>
            </w:pPr>
          </w:p>
        </w:tc>
      </w:tr>
      <w:tr>
        <w:trPr>
          <w:trHeight w:val="301"/>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Pr>
          <w:p>
            <w:pPr>
              <w:spacing w:after="0"/>
              <w:rPr>
                <w:sz w:val="24"/>
                <w:szCs w:val="24"/>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487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51555C"/>
              </w:rPr>
              <w: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487</w:t>
            </w:r>
          </w:p>
        </w:tc>
        <w:tc>
          <w:tcPr>
            <w:tcW w:w="20" w:type="dxa"/>
            <w:vAlign w:val="bottom"/>
          </w:tcPr>
          <w:p>
            <w:pPr>
              <w:spacing w:after="0"/>
              <w:rPr>
                <w:sz w:val="24"/>
                <w:szCs w:val="24"/>
                <w:color w:val="auto"/>
              </w:rPr>
            </w:pPr>
          </w:p>
        </w:tc>
      </w:tr>
      <w:tr>
        <w:trPr>
          <w:trHeight w:val="23"/>
        </w:trPr>
        <w:tc>
          <w:tcPr>
            <w:tcW w:w="49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90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11,690</w:t>
            </w: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11,690</w:t>
            </w:r>
          </w:p>
        </w:tc>
        <w:tc>
          <w:tcPr>
            <w:tcW w:w="20" w:type="dxa"/>
            <w:vAlign w:val="bottom"/>
          </w:tcPr>
          <w:p>
            <w:pPr>
              <w:spacing w:after="0"/>
              <w:rPr>
                <w:sz w:val="24"/>
                <w:szCs w:val="24"/>
                <w:color w:val="auto"/>
              </w:rPr>
            </w:pP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2"/>
        </w:trPr>
        <w:tc>
          <w:tcPr>
            <w:tcW w:w="49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September 30, 2026</w:t>
            </w:r>
          </w:p>
        </w:tc>
        <w:tc>
          <w:tcPr>
            <w:tcW w:w="180" w:type="dxa"/>
            <w:vAlign w:val="bottom"/>
            <w:shd w:val="clear" w:color="auto" w:fill="EBFBFF"/>
          </w:tcPr>
          <w:p>
            <w:pPr>
              <w:spacing w:after="0"/>
              <w:rPr>
                <w:sz w:val="24"/>
                <w:szCs w:val="24"/>
                <w:color w:val="auto"/>
              </w:rPr>
            </w:pPr>
          </w:p>
        </w:tc>
        <w:tc>
          <w:tcPr>
            <w:tcW w:w="1320" w:type="dxa"/>
            <w:vAlign w:val="bottom"/>
            <w:shd w:val="clear" w:color="auto" w:fill="EBFBFF"/>
          </w:tcPr>
          <w:p>
            <w:pPr>
              <w:spacing w:after="0"/>
              <w:rPr>
                <w:sz w:val="24"/>
                <w:szCs w:val="24"/>
                <w:color w:val="auto"/>
              </w:rPr>
            </w:pPr>
          </w:p>
        </w:tc>
        <w:tc>
          <w:tcPr>
            <w:tcW w:w="120" w:type="dxa"/>
            <w:vAlign w:val="bottom"/>
            <w:shd w:val="clear" w:color="auto" w:fill="EBFBFF"/>
          </w:tcPr>
          <w:p>
            <w:pPr>
              <w:spacing w:after="0"/>
              <w:rPr>
                <w:sz w:val="24"/>
                <w:szCs w:val="24"/>
                <w:color w:val="auto"/>
              </w:rPr>
            </w:pPr>
          </w:p>
        </w:tc>
        <w:tc>
          <w:tcPr>
            <w:tcW w:w="140" w:type="dxa"/>
            <w:vAlign w:val="bottom"/>
            <w:shd w:val="clear" w:color="auto" w:fill="EBFBFF"/>
          </w:tcPr>
          <w:p>
            <w:pPr>
              <w:spacing w:after="0"/>
              <w:rPr>
                <w:sz w:val="24"/>
                <w:szCs w:val="24"/>
                <w:color w:val="auto"/>
              </w:rPr>
            </w:pPr>
          </w:p>
        </w:tc>
        <w:tc>
          <w:tcPr>
            <w:tcW w:w="1360" w:type="dxa"/>
            <w:vAlign w:val="bottom"/>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440" w:type="dxa"/>
            <w:vAlign w:val="bottom"/>
            <w:shd w:val="clear" w:color="auto" w:fill="EBFBFF"/>
          </w:tcPr>
          <w:p>
            <w:pPr>
              <w:spacing w:after="0"/>
              <w:rPr>
                <w:sz w:val="24"/>
                <w:szCs w:val="24"/>
                <w:color w:val="auto"/>
              </w:rPr>
            </w:pPr>
          </w:p>
        </w:tc>
        <w:tc>
          <w:tcPr>
            <w:tcW w:w="1080" w:type="dxa"/>
            <w:vAlign w:val="bottom"/>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500" w:type="dxa"/>
            <w:vAlign w:val="bottom"/>
            <w:shd w:val="clear" w:color="auto" w:fill="EBFBFF"/>
          </w:tcPr>
          <w:p>
            <w:pPr>
              <w:spacing w:after="0"/>
              <w:rPr>
                <w:sz w:val="24"/>
                <w:szCs w:val="24"/>
                <w:color w:val="auto"/>
              </w:rPr>
            </w:pPr>
          </w:p>
        </w:tc>
        <w:tc>
          <w:tcPr>
            <w:tcW w:w="100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900" w:type="dxa"/>
            <w:vAlign w:val="bottom"/>
          </w:tcPr>
          <w:p>
            <w:pPr>
              <w:ind w:left="20"/>
              <w:spacing w:after="0"/>
              <w:rPr>
                <w:sz w:val="20"/>
                <w:szCs w:val="20"/>
                <w:color w:val="auto"/>
              </w:rPr>
            </w:pPr>
            <w:r>
              <w:rPr>
                <w:rFonts w:ascii="Arial" w:cs="Arial" w:eastAsia="Arial" w:hAnsi="Arial"/>
                <w:sz w:val="18"/>
                <w:szCs w:val="18"/>
                <w:color w:val="51555C"/>
              </w:rPr>
              <w:t>Financial liabilities: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Borders>
              <w:bottom w:val="single" w:sz="8" w:color="EBFBFF"/>
            </w:tcBorders>
            <w:shd w:val="clear" w:color="auto" w:fill="EBFBFF"/>
          </w:tcPr>
          <w:p>
            <w:pPr>
              <w:spacing w:after="0"/>
              <w:rPr>
                <w:sz w:val="24"/>
                <w:szCs w:val="24"/>
                <w:color w:val="auto"/>
              </w:rPr>
            </w:pP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73</w:t>
            </w: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73</w:t>
            </w:r>
          </w:p>
        </w:tc>
        <w:tc>
          <w:tcPr>
            <w:tcW w:w="20" w:type="dxa"/>
            <w:vAlign w:val="bottom"/>
          </w:tcPr>
          <w:p>
            <w:pPr>
              <w:spacing w:after="0"/>
              <w:rPr>
                <w:sz w:val="24"/>
                <w:szCs w:val="24"/>
                <w:color w:val="auto"/>
              </w:rPr>
            </w:pPr>
          </w:p>
        </w:tc>
      </w:tr>
      <w:tr>
        <w:trPr>
          <w:trHeight w:val="294"/>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liabilities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4"/>
                <w:szCs w:val="24"/>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73</w:t>
            </w:r>
          </w:p>
        </w:tc>
        <w:tc>
          <w:tcPr>
            <w:tcW w:w="100" w:type="dxa"/>
            <w:vAlign w:val="bottom"/>
          </w:tcPr>
          <w:p>
            <w:pPr>
              <w:spacing w:after="0"/>
              <w:rPr>
                <w:sz w:val="24"/>
                <w:szCs w:val="24"/>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ind w:left="820"/>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4"/>
                <w:szCs w:val="24"/>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73</w:t>
            </w:r>
          </w:p>
        </w:tc>
        <w:tc>
          <w:tcPr>
            <w:tcW w:w="2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0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13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4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00" w:type="dxa"/>
            <w:vAlign w:val="bottom"/>
            <w:shd w:val="clear" w:color="auto" w:fill="EBFBFF"/>
          </w:tcPr>
          <w:p>
            <w:pPr>
              <w:spacing w:after="0"/>
              <w:rPr>
                <w:sz w:val="23"/>
                <w:szCs w:val="23"/>
                <w:color w:val="auto"/>
              </w:rPr>
            </w:pPr>
          </w:p>
        </w:tc>
        <w:tc>
          <w:tcPr>
            <w:tcW w:w="10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316"/>
        </w:trPr>
        <w:tc>
          <w:tcPr>
            <w:tcW w:w="4900" w:type="dxa"/>
            <w:vAlign w:val="bottom"/>
          </w:tcPr>
          <w:p>
            <w:pPr>
              <w:ind w:left="20"/>
              <w:spacing w:after="0"/>
              <w:rPr>
                <w:sz w:val="20"/>
                <w:szCs w:val="20"/>
                <w:color w:val="auto"/>
              </w:rPr>
            </w:pPr>
            <w:r>
              <w:rPr>
                <w:rFonts w:ascii="Arial" w:cs="Arial" w:eastAsia="Arial" w:hAnsi="Arial"/>
                <w:sz w:val="18"/>
                <w:szCs w:val="18"/>
                <w:b w:val="1"/>
                <w:bCs w:val="1"/>
                <w:color w:val="51555C"/>
              </w:rPr>
              <w:t>Fair value as of December 31, 2025</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Financial assets:</w:t>
            </w:r>
          </w:p>
        </w:tc>
        <w:tc>
          <w:tcPr>
            <w:tcW w:w="180" w:type="dxa"/>
            <w:vAlign w:val="bottom"/>
            <w:tcBorders>
              <w:bottom w:val="single" w:sz="8" w:color="EBFBFF"/>
            </w:tcBorders>
            <w:shd w:val="clear" w:color="auto" w:fill="EBFBFF"/>
          </w:tcPr>
          <w:p>
            <w:pPr>
              <w:spacing w:after="0"/>
              <w:rPr>
                <w:sz w:val="24"/>
                <w:szCs w:val="24"/>
                <w:color w:val="auto"/>
              </w:rPr>
            </w:pPr>
          </w:p>
        </w:tc>
        <w:tc>
          <w:tcPr>
            <w:tcW w:w="1320" w:type="dxa"/>
            <w:vAlign w:val="bottom"/>
            <w:tcBorders>
              <w:bottom w:val="single" w:sz="8" w:color="EBFBFF"/>
            </w:tcBorders>
            <w:shd w:val="clear" w:color="auto" w:fill="EBFBFF"/>
          </w:tcPr>
          <w:p>
            <w:pPr>
              <w:spacing w:after="0"/>
              <w:rPr>
                <w:sz w:val="24"/>
                <w:szCs w:val="24"/>
                <w:color w:val="auto"/>
              </w:rPr>
            </w:pPr>
          </w:p>
        </w:tc>
        <w:tc>
          <w:tcPr>
            <w:tcW w:w="120" w:type="dxa"/>
            <w:vAlign w:val="bottom"/>
            <w:tcBorders>
              <w:bottom w:val="single" w:sz="8" w:color="EBFBFF"/>
            </w:tcBorders>
            <w:shd w:val="clear" w:color="auto" w:fill="EBFBFF"/>
          </w:tcPr>
          <w:p>
            <w:pPr>
              <w:spacing w:after="0"/>
              <w:rPr>
                <w:sz w:val="24"/>
                <w:szCs w:val="24"/>
                <w:color w:val="auto"/>
              </w:rPr>
            </w:pPr>
          </w:p>
        </w:tc>
        <w:tc>
          <w:tcPr>
            <w:tcW w:w="14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50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51555C"/>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51555C"/>
              </w:rPr>
              <w:t>501</w:t>
            </w:r>
          </w:p>
        </w:tc>
        <w:tc>
          <w:tcPr>
            <w:tcW w:w="1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51555C"/>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51555C"/>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51555C"/>
              </w:rPr>
              <w:t>501</w:t>
            </w:r>
          </w:p>
        </w:tc>
        <w:tc>
          <w:tcPr>
            <w:tcW w:w="2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Borders>
              <w:bottom w:val="single" w:sz="8" w:color="EBFBFF"/>
            </w:tcBorders>
            <w:shd w:val="clear" w:color="auto" w:fill="EBFBFF"/>
          </w:tcPr>
          <w:p>
            <w:pPr>
              <w:spacing w:after="0"/>
              <w:rPr>
                <w:sz w:val="24"/>
                <w:szCs w:val="24"/>
                <w:color w:val="auto"/>
              </w:rPr>
            </w:pP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w:t>
            </w: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w:t>
            </w:r>
          </w:p>
        </w:tc>
        <w:tc>
          <w:tcPr>
            <w:tcW w:w="20" w:type="dxa"/>
            <w:vAlign w:val="bottom"/>
          </w:tcPr>
          <w:p>
            <w:pPr>
              <w:spacing w:after="0"/>
              <w:rPr>
                <w:sz w:val="24"/>
                <w:szCs w:val="24"/>
                <w:color w:val="auto"/>
              </w:rPr>
            </w:pPr>
          </w:p>
        </w:tc>
      </w:tr>
      <w:tr>
        <w:trPr>
          <w:trHeight w:val="294"/>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4"/>
                <w:szCs w:val="24"/>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578</w:t>
            </w:r>
          </w:p>
        </w:tc>
        <w:tc>
          <w:tcPr>
            <w:tcW w:w="100" w:type="dxa"/>
            <w:vAlign w:val="bottom"/>
          </w:tcPr>
          <w:p>
            <w:pPr>
              <w:spacing w:after="0"/>
              <w:rPr>
                <w:sz w:val="24"/>
                <w:szCs w:val="24"/>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ind w:left="820"/>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4"/>
                <w:szCs w:val="24"/>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578</w:t>
            </w:r>
          </w:p>
        </w:tc>
        <w:tc>
          <w:tcPr>
            <w:tcW w:w="2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0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13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44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00" w:type="dxa"/>
            <w:vAlign w:val="bottom"/>
            <w:shd w:val="clear" w:color="auto" w:fill="EBFBFF"/>
          </w:tcPr>
          <w:p>
            <w:pPr>
              <w:spacing w:after="0"/>
              <w:rPr>
                <w:sz w:val="23"/>
                <w:szCs w:val="23"/>
                <w:color w:val="auto"/>
              </w:rPr>
            </w:pPr>
          </w:p>
        </w:tc>
        <w:tc>
          <w:tcPr>
            <w:tcW w:w="100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316"/>
        </w:trPr>
        <w:tc>
          <w:tcPr>
            <w:tcW w:w="4900" w:type="dxa"/>
            <w:vAlign w:val="bottom"/>
          </w:tcPr>
          <w:p>
            <w:pPr>
              <w:ind w:left="20"/>
              <w:spacing w:after="0"/>
              <w:rPr>
                <w:sz w:val="20"/>
                <w:szCs w:val="20"/>
                <w:color w:val="auto"/>
              </w:rPr>
            </w:pPr>
            <w:r>
              <w:rPr>
                <w:rFonts w:ascii="Arial" w:cs="Arial" w:eastAsia="Arial" w:hAnsi="Arial"/>
                <w:sz w:val="18"/>
                <w:szCs w:val="18"/>
                <w:b w:val="1"/>
                <w:bCs w:val="1"/>
                <w:color w:val="51555C"/>
              </w:rPr>
              <w:t>Fair value as of December 31, 2025</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Financial liabilities:</w:t>
            </w:r>
          </w:p>
        </w:tc>
        <w:tc>
          <w:tcPr>
            <w:tcW w:w="180" w:type="dxa"/>
            <w:vAlign w:val="bottom"/>
            <w:tcBorders>
              <w:bottom w:val="single" w:sz="8" w:color="EBFBFF"/>
            </w:tcBorders>
            <w:shd w:val="clear" w:color="auto" w:fill="EBFBFF"/>
          </w:tcPr>
          <w:p>
            <w:pPr>
              <w:spacing w:after="0"/>
              <w:rPr>
                <w:sz w:val="24"/>
                <w:szCs w:val="24"/>
                <w:color w:val="auto"/>
              </w:rPr>
            </w:pPr>
          </w:p>
        </w:tc>
        <w:tc>
          <w:tcPr>
            <w:tcW w:w="1320" w:type="dxa"/>
            <w:vAlign w:val="bottom"/>
            <w:tcBorders>
              <w:bottom w:val="single" w:sz="8" w:color="EBFBFF"/>
            </w:tcBorders>
            <w:shd w:val="clear" w:color="auto" w:fill="EBFBFF"/>
          </w:tcPr>
          <w:p>
            <w:pPr>
              <w:spacing w:after="0"/>
              <w:rPr>
                <w:sz w:val="24"/>
                <w:szCs w:val="24"/>
                <w:color w:val="auto"/>
              </w:rPr>
            </w:pPr>
          </w:p>
        </w:tc>
        <w:tc>
          <w:tcPr>
            <w:tcW w:w="120" w:type="dxa"/>
            <w:vAlign w:val="bottom"/>
            <w:tcBorders>
              <w:bottom w:val="single" w:sz="8" w:color="EBFBFF"/>
            </w:tcBorders>
            <w:shd w:val="clear" w:color="auto" w:fill="EBFBFF"/>
          </w:tcPr>
          <w:p>
            <w:pPr>
              <w:spacing w:after="0"/>
              <w:rPr>
                <w:sz w:val="24"/>
                <w:szCs w:val="24"/>
                <w:color w:val="auto"/>
              </w:rPr>
            </w:pPr>
          </w:p>
        </w:tc>
        <w:tc>
          <w:tcPr>
            <w:tcW w:w="14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50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51555C"/>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51555C"/>
              </w:rPr>
              <w:t>3,257</w:t>
            </w:r>
          </w:p>
        </w:tc>
        <w:tc>
          <w:tcPr>
            <w:tcW w:w="1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51555C"/>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51555C"/>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51555C"/>
              </w:rPr>
              <w:t>3,257</w:t>
            </w:r>
          </w:p>
        </w:tc>
        <w:tc>
          <w:tcPr>
            <w:tcW w:w="2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Borders>
              <w:bottom w:val="single" w:sz="8" w:color="EBFBFF"/>
            </w:tcBorders>
            <w:shd w:val="clear" w:color="auto" w:fill="EBFBFF"/>
          </w:tcPr>
          <w:p>
            <w:pPr>
              <w:spacing w:after="0"/>
              <w:rPr>
                <w:sz w:val="24"/>
                <w:szCs w:val="24"/>
                <w:color w:val="auto"/>
              </w:rPr>
            </w:pP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265</w:t>
            </w:r>
          </w:p>
        </w:tc>
        <w:tc>
          <w:tcPr>
            <w:tcW w:w="100" w:type="dxa"/>
            <w:vAlign w:val="bottom"/>
            <w:tcBorders>
              <w:bottom w:val="single" w:sz="8" w:color="EBFBFF"/>
            </w:tcBorders>
            <w:shd w:val="clear" w:color="auto" w:fill="EBFBFF"/>
          </w:tcPr>
          <w:p>
            <w:pPr>
              <w:spacing w:after="0"/>
              <w:rPr>
                <w:sz w:val="24"/>
                <w:szCs w:val="24"/>
                <w:color w:val="auto"/>
              </w:rPr>
            </w:pPr>
          </w:p>
        </w:tc>
        <w:tc>
          <w:tcPr>
            <w:tcW w:w="44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gridSpan w:val="2"/>
            <w:shd w:val="clear" w:color="auto" w:fill="EBFBFF"/>
          </w:tcPr>
          <w:p>
            <w:pPr>
              <w:ind w:left="82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265</w:t>
            </w:r>
          </w:p>
        </w:tc>
        <w:tc>
          <w:tcPr>
            <w:tcW w:w="20" w:type="dxa"/>
            <w:vAlign w:val="bottom"/>
          </w:tcPr>
          <w:p>
            <w:pPr>
              <w:spacing w:after="0"/>
              <w:rPr>
                <w:sz w:val="24"/>
                <w:szCs w:val="24"/>
                <w:color w:val="auto"/>
              </w:rPr>
            </w:pPr>
          </w:p>
        </w:tc>
      </w:tr>
      <w:tr>
        <w:trPr>
          <w:trHeight w:val="294"/>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liabilities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4"/>
                <w:szCs w:val="24"/>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3,522</w:t>
            </w:r>
          </w:p>
        </w:tc>
        <w:tc>
          <w:tcPr>
            <w:tcW w:w="100" w:type="dxa"/>
            <w:vAlign w:val="bottom"/>
          </w:tcPr>
          <w:p>
            <w:pPr>
              <w:spacing w:after="0"/>
              <w:rPr>
                <w:sz w:val="24"/>
                <w:szCs w:val="24"/>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ind w:left="820"/>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4"/>
                <w:szCs w:val="24"/>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3,522</w:t>
            </w:r>
          </w:p>
        </w:tc>
        <w:tc>
          <w:tcPr>
            <w:tcW w:w="20" w:type="dxa"/>
            <w:vAlign w:val="bottom"/>
          </w:tcPr>
          <w:p>
            <w:pPr>
              <w:spacing w:after="0"/>
              <w:rPr>
                <w:sz w:val="24"/>
                <w:szCs w:val="24"/>
                <w:color w:val="auto"/>
              </w:rPr>
            </w:pPr>
          </w:p>
        </w:tc>
      </w:tr>
      <w:tr>
        <w:trPr>
          <w:trHeight w:val="23"/>
        </w:trPr>
        <w:tc>
          <w:tcPr>
            <w:tcW w:w="4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32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36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-5203190</wp:posOffset>
            </wp:positionV>
            <wp:extent cx="30086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 xml:space="preserve">Our derivative instruments within the scope of Accounting Standards Codification ("ASC") 815, </w:t>
      </w:r>
      <w:r>
        <w:rPr>
          <w:rFonts w:ascii="Arial" w:cs="Arial" w:eastAsia="Arial" w:hAnsi="Arial"/>
          <w:sz w:val="18"/>
          <w:szCs w:val="18"/>
          <w:i w:val="1"/>
          <w:iCs w:val="1"/>
          <w:color w:val="51555C"/>
        </w:rPr>
        <w:t>Derivatives and Hedging</w:t>
      </w:r>
      <w:r>
        <w:rPr>
          <w:rFonts w:ascii="Arial" w:cs="Arial" w:eastAsia="Arial" w:hAnsi="Arial"/>
          <w:sz w:val="18"/>
          <w:szCs w:val="18"/>
          <w:color w:val="51555C"/>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spacing w:after="0" w:line="12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51555C"/>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believe the carrying amounts of our cash and cash equivalents, restricted cash, accounts receivable, trade accounts payable, accrued expenses and other current liabilities and due to customers approximate their fair values at September 30, 2026 and December 31, 2025, due to the immediate or short-term maturity of these instruments.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We believe the carrying amount of our debt approximates its fair value at September 30, 2026 and December 31, 2025,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10</w:t>
      </w:r>
      <w:r>
        <w:rPr>
          <w:sz w:val="20"/>
          <w:szCs w:val="20"/>
          <w:color w:val="auto"/>
        </w:rPr>
        <w:tab/>
      </w:r>
      <w:r>
        <w:rPr>
          <w:sz w:val="1"/>
          <w:szCs w:val="1"/>
          <w:color w:val="auto"/>
        </w:rPr>
        <w:drawing>
          <wp:inline distT="0" distB="0" distL="0" distR="0">
            <wp:extent cx="651510" cy="1714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00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did not transfer any assets or liabilities among the levels within the fair value hierarchy during the nine months ended September 30,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Non-recurring fair value measurements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For long-lived assets, intangible assets and operating lease ROU assets,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There were no significant non-recurring fair value adjustments during the nine months ended September 30, 2026.</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5.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cash</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004054"/>
            </w:tcBorders>
            <w:shd w:val="clear" w:color="auto" w:fill="004054"/>
          </w:tcPr>
          <w:p>
            <w:pPr>
              <w:spacing w:after="0"/>
              <w:rPr>
                <w:sz w:val="17"/>
                <w:szCs w:val="17"/>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60" w:type="dxa"/>
            <w:vAlign w:val="bottom"/>
            <w:tcBorders>
              <w:bottom w:val="single" w:sz="8" w:color="004054"/>
            </w:tcBorders>
            <w:shd w:val="clear" w:color="auto" w:fill="004054"/>
          </w:tcPr>
          <w:p>
            <w:pPr>
              <w:spacing w:after="0"/>
              <w:rPr>
                <w:sz w:val="17"/>
                <w:szCs w:val="17"/>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0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Restricted cash due to customers</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426,785</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718,525</w:t>
            </w:r>
          </w:p>
        </w:tc>
        <w:tc>
          <w:tcPr>
            <w:tcW w:w="20" w:type="dxa"/>
            <w:vAlign w:val="bottom"/>
          </w:tcPr>
          <w:p>
            <w:pPr>
              <w:spacing w:after="0"/>
              <w:rPr>
                <w:sz w:val="24"/>
                <w:szCs w:val="24"/>
                <w:color w:val="auto"/>
              </w:rPr>
            </w:pPr>
          </w:p>
        </w:tc>
      </w:tr>
      <w:tr>
        <w:trPr>
          <w:trHeight w:val="301"/>
        </w:trPr>
        <w:tc>
          <w:tcPr>
            <w:tcW w:w="8160" w:type="dxa"/>
            <w:vAlign w:val="bottom"/>
          </w:tcPr>
          <w:p>
            <w:pPr>
              <w:ind w:left="20"/>
              <w:spacing w:after="0"/>
              <w:rPr>
                <w:sz w:val="20"/>
                <w:szCs w:val="20"/>
                <w:color w:val="auto"/>
              </w:rPr>
            </w:pPr>
            <w:r>
              <w:rPr>
                <w:rFonts w:ascii="Arial" w:cs="Arial" w:eastAsia="Arial" w:hAnsi="Arial"/>
                <w:sz w:val="18"/>
                <w:szCs w:val="18"/>
                <w:color w:val="51555C"/>
              </w:rPr>
              <w:t>Real estate escrow balances and other</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1,381</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1,536</w:t>
            </w:r>
          </w:p>
        </w:tc>
        <w:tc>
          <w:tcPr>
            <w:tcW w:w="20" w:type="dxa"/>
            <w:vAlign w:val="bottom"/>
          </w:tcPr>
          <w:p>
            <w:pPr>
              <w:spacing w:after="0"/>
              <w:rPr>
                <w:sz w:val="24"/>
                <w:szCs w:val="24"/>
                <w:color w:val="auto"/>
              </w:rPr>
            </w:pPr>
          </w:p>
        </w:tc>
      </w:tr>
      <w:tr>
        <w:trPr>
          <w:trHeight w:val="23"/>
        </w:trPr>
        <w:tc>
          <w:tcPr>
            <w:tcW w:w="816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120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8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restricted cash</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428,166</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720,061</w:t>
            </w:r>
          </w:p>
        </w:tc>
        <w:tc>
          <w:tcPr>
            <w:tcW w:w="20" w:type="dxa"/>
            <w:vAlign w:val="bottom"/>
          </w:tcPr>
          <w:p>
            <w:pPr>
              <w:spacing w:after="0"/>
              <w:rPr>
                <w:sz w:val="24"/>
                <w:szCs w:val="24"/>
                <w:color w:val="auto"/>
              </w:rPr>
            </w:pPr>
          </w:p>
        </w:tc>
      </w:tr>
      <w:tr>
        <w:trPr>
          <w:trHeight w:val="478"/>
        </w:trPr>
        <w:tc>
          <w:tcPr>
            <w:tcW w:w="8160" w:type="dxa"/>
            <w:vAlign w:val="bottom"/>
            <w:tcBorders>
              <w:top w:val="single" w:sz="8" w:color="0CD973"/>
            </w:tcBorders>
          </w:tcPr>
          <w:p>
            <w:pPr>
              <w:spacing w:after="0"/>
              <w:rPr>
                <w:sz w:val="20"/>
                <w:szCs w:val="20"/>
                <w:color w:val="auto"/>
              </w:rPr>
            </w:pPr>
            <w:r>
              <w:rPr>
                <w:rFonts w:ascii="Arial" w:cs="Arial" w:eastAsia="Arial" w:hAnsi="Arial"/>
                <w:sz w:val="18"/>
                <w:szCs w:val="18"/>
                <w:b w:val="1"/>
                <w:bCs w:val="1"/>
                <w:color w:val="51555C"/>
              </w:rPr>
              <w:t>Prepaid expenses and other assets</w:t>
            </w:r>
          </w:p>
        </w:tc>
        <w:tc>
          <w:tcPr>
            <w:tcW w:w="340" w:type="dxa"/>
            <w:vAlign w:val="bottom"/>
            <w:tcBorders>
              <w:top w:val="single" w:sz="8" w:color="0CD973"/>
            </w:tcBorders>
          </w:tcPr>
          <w:p>
            <w:pPr>
              <w:spacing w:after="0"/>
              <w:rPr>
                <w:sz w:val="24"/>
                <w:szCs w:val="24"/>
                <w:color w:val="auto"/>
              </w:rPr>
            </w:pPr>
          </w:p>
        </w:tc>
        <w:tc>
          <w:tcPr>
            <w:tcW w:w="1200" w:type="dxa"/>
            <w:vAlign w:val="bottom"/>
            <w:tcBorders>
              <w:top w:val="single" w:sz="8" w:color="0CD973"/>
            </w:tcBorders>
          </w:tcPr>
          <w:p>
            <w:pPr>
              <w:spacing w:after="0"/>
              <w:rPr>
                <w:sz w:val="24"/>
                <w:szCs w:val="24"/>
                <w:color w:val="auto"/>
              </w:rPr>
            </w:pPr>
          </w:p>
        </w:tc>
        <w:tc>
          <w:tcPr>
            <w:tcW w:w="36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69"/>
        </w:trPr>
        <w:tc>
          <w:tcPr>
            <w:tcW w:w="8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7"/>
        </w:trPr>
        <w:tc>
          <w:tcPr>
            <w:tcW w:w="816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8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004054"/>
            </w:tcBorders>
            <w:shd w:val="clear" w:color="auto" w:fill="004054"/>
          </w:tcPr>
          <w:p>
            <w:pPr>
              <w:spacing w:after="0"/>
              <w:rPr>
                <w:sz w:val="17"/>
                <w:szCs w:val="17"/>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60" w:type="dxa"/>
            <w:vAlign w:val="bottom"/>
            <w:tcBorders>
              <w:bottom w:val="single" w:sz="8" w:color="004054"/>
            </w:tcBorders>
            <w:shd w:val="clear" w:color="auto" w:fill="004054"/>
          </w:tcPr>
          <w:p>
            <w:pPr>
              <w:spacing w:after="0"/>
              <w:rPr>
                <w:sz w:val="17"/>
                <w:szCs w:val="17"/>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24"/>
        </w:trPr>
        <w:tc>
          <w:tcPr>
            <w:tcW w:w="81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Costs of obtaining contracts</w:t>
            </w:r>
            <w:r>
              <w:rPr>
                <w:rFonts w:ascii="Arial" w:cs="Arial" w:eastAsia="Arial" w:hAnsi="Arial"/>
                <w:sz w:val="23"/>
                <w:szCs w:val="23"/>
                <w:color w:val="51555C"/>
                <w:vertAlign w:val="superscript"/>
              </w:rPr>
              <w:t>(1)(2)</w:t>
            </w:r>
          </w:p>
        </w:tc>
        <w:tc>
          <w:tcPr>
            <w:tcW w:w="340" w:type="dxa"/>
            <w:vAlign w:val="bottom"/>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58,110</w:t>
            </w:r>
          </w:p>
        </w:tc>
        <w:tc>
          <w:tcPr>
            <w:tcW w:w="360" w:type="dxa"/>
            <w:vAlign w:val="bottom"/>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56,002</w:t>
            </w:r>
          </w:p>
        </w:tc>
        <w:tc>
          <w:tcPr>
            <w:tcW w:w="20" w:type="dxa"/>
            <w:vAlign w:val="bottom"/>
          </w:tcPr>
          <w:p>
            <w:pPr>
              <w:spacing w:after="0"/>
              <w:rPr>
                <w:sz w:val="24"/>
                <w:szCs w:val="24"/>
                <w:color w:val="auto"/>
              </w:rPr>
            </w:pPr>
          </w:p>
        </w:tc>
      </w:tr>
      <w:tr>
        <w:trPr>
          <w:trHeight w:val="324"/>
        </w:trPr>
        <w:tc>
          <w:tcPr>
            <w:tcW w:w="8160" w:type="dxa"/>
            <w:vAlign w:val="bottom"/>
          </w:tcPr>
          <w:p>
            <w:pPr>
              <w:ind w:left="20"/>
              <w:spacing w:after="0"/>
              <w:rPr>
                <w:sz w:val="20"/>
                <w:szCs w:val="20"/>
                <w:color w:val="auto"/>
              </w:rPr>
            </w:pPr>
            <w:r>
              <w:rPr>
                <w:rFonts w:ascii="Arial" w:cs="Arial" w:eastAsia="Arial" w:hAnsi="Arial"/>
                <w:sz w:val="18"/>
                <w:szCs w:val="18"/>
                <w:color w:val="51555C"/>
              </w:rPr>
              <w:t>Prepaid software maintenance and subscriptions</w:t>
            </w:r>
            <w:r>
              <w:rPr>
                <w:rFonts w:ascii="Arial" w:cs="Arial" w:eastAsia="Arial" w:hAnsi="Arial"/>
                <w:sz w:val="23"/>
                <w:szCs w:val="23"/>
                <w:color w:val="51555C"/>
                <w:vertAlign w:val="superscript"/>
              </w:rPr>
              <w:t>(3)</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41,889</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31,014</w:t>
            </w:r>
          </w:p>
        </w:tc>
        <w:tc>
          <w:tcPr>
            <w:tcW w:w="20" w:type="dxa"/>
            <w:vAlign w:val="bottom"/>
          </w:tcPr>
          <w:p>
            <w:pPr>
              <w:spacing w:after="0"/>
              <w:rPr>
                <w:sz w:val="24"/>
                <w:szCs w:val="24"/>
                <w:color w:val="auto"/>
              </w:rPr>
            </w:pPr>
          </w:p>
        </w:tc>
      </w:tr>
      <w:tr>
        <w:trPr>
          <w:trHeight w:val="324"/>
        </w:trPr>
        <w:tc>
          <w:tcPr>
            <w:tcW w:w="81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Investments in equity securities</w:t>
            </w:r>
            <w:r>
              <w:rPr>
                <w:rFonts w:ascii="Arial" w:cs="Arial" w:eastAsia="Arial" w:hAnsi="Arial"/>
                <w:sz w:val="23"/>
                <w:szCs w:val="23"/>
                <w:color w:val="51555C"/>
                <w:vertAlign w:val="superscript"/>
              </w:rPr>
              <w:t>(4)</w:t>
            </w:r>
          </w:p>
        </w:tc>
        <w:tc>
          <w:tcPr>
            <w:tcW w:w="340" w:type="dxa"/>
            <w:vAlign w:val="bottom"/>
            <w:shd w:val="clear" w:color="auto" w:fill="EBFBFF"/>
          </w:tcPr>
          <w:p>
            <w:pPr>
              <w:spacing w:after="0"/>
              <w:rPr>
                <w:sz w:val="24"/>
                <w:szCs w:val="24"/>
                <w:color w:val="auto"/>
              </w:rPr>
            </w:pPr>
          </w:p>
        </w:tc>
        <w:tc>
          <w:tcPr>
            <w:tcW w:w="12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13,618</w:t>
            </w:r>
          </w:p>
        </w:tc>
        <w:tc>
          <w:tcPr>
            <w:tcW w:w="360" w:type="dxa"/>
            <w:vAlign w:val="bottom"/>
            <w:shd w:val="clear" w:color="auto" w:fill="EBFBFF"/>
          </w:tcPr>
          <w:p>
            <w:pPr>
              <w:spacing w:after="0"/>
              <w:rPr>
                <w:sz w:val="24"/>
                <w:szCs w:val="24"/>
                <w:color w:val="auto"/>
              </w:rPr>
            </w:pP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4,943</w:t>
            </w:r>
          </w:p>
        </w:tc>
        <w:tc>
          <w:tcPr>
            <w:tcW w:w="20" w:type="dxa"/>
            <w:vAlign w:val="bottom"/>
          </w:tcPr>
          <w:p>
            <w:pPr>
              <w:spacing w:after="0"/>
              <w:rPr>
                <w:sz w:val="24"/>
                <w:szCs w:val="24"/>
                <w:color w:val="auto"/>
              </w:rPr>
            </w:pPr>
          </w:p>
        </w:tc>
      </w:tr>
      <w:tr>
        <w:trPr>
          <w:trHeight w:val="301"/>
        </w:trPr>
        <w:tc>
          <w:tcPr>
            <w:tcW w:w="816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11,690</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578</w:t>
            </w:r>
          </w:p>
        </w:tc>
        <w:tc>
          <w:tcPr>
            <w:tcW w:w="20" w:type="dxa"/>
            <w:vAlign w:val="bottom"/>
          </w:tcPr>
          <w:p>
            <w:pPr>
              <w:spacing w:after="0"/>
              <w:rPr>
                <w:sz w:val="24"/>
                <w:szCs w:val="24"/>
                <w:color w:val="auto"/>
              </w:rPr>
            </w:pPr>
          </w:p>
        </w:tc>
      </w:tr>
      <w:tr>
        <w:trPr>
          <w:trHeight w:val="2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Taxes, prepaid and receivable</w:t>
            </w: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10,523</w:t>
            </w:r>
          </w:p>
        </w:tc>
        <w:tc>
          <w:tcPr>
            <w:tcW w:w="36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11,871</w:t>
            </w:r>
          </w:p>
        </w:tc>
        <w:tc>
          <w:tcPr>
            <w:tcW w:w="20" w:type="dxa"/>
            <w:vAlign w:val="bottom"/>
          </w:tcPr>
          <w:p>
            <w:pPr>
              <w:spacing w:after="0"/>
              <w:rPr>
                <w:sz w:val="24"/>
                <w:szCs w:val="24"/>
                <w:color w:val="auto"/>
              </w:rPr>
            </w:pPr>
          </w:p>
        </w:tc>
      </w:tr>
      <w:tr>
        <w:trPr>
          <w:trHeight w:val="301"/>
        </w:trPr>
        <w:tc>
          <w:tcPr>
            <w:tcW w:w="8160" w:type="dxa"/>
            <w:vAlign w:val="bottom"/>
          </w:tcPr>
          <w:p>
            <w:pPr>
              <w:ind w:left="20"/>
              <w:spacing w:after="0"/>
              <w:rPr>
                <w:sz w:val="20"/>
                <w:szCs w:val="20"/>
                <w:color w:val="auto"/>
              </w:rPr>
            </w:pPr>
            <w:r>
              <w:rPr>
                <w:rFonts w:ascii="Arial" w:cs="Arial" w:eastAsia="Arial" w:hAnsi="Arial"/>
                <w:sz w:val="18"/>
                <w:szCs w:val="18"/>
                <w:color w:val="51555C"/>
              </w:rPr>
              <w:t>Unbilled accounts receivable</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9,084</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8,763</w:t>
            </w:r>
          </w:p>
        </w:tc>
        <w:tc>
          <w:tcPr>
            <w:tcW w:w="20" w:type="dxa"/>
            <w:vAlign w:val="bottom"/>
          </w:tcPr>
          <w:p>
            <w:pPr>
              <w:spacing w:after="0"/>
              <w:rPr>
                <w:sz w:val="24"/>
                <w:szCs w:val="24"/>
                <w:color w:val="auto"/>
              </w:rPr>
            </w:pPr>
          </w:p>
        </w:tc>
      </w:tr>
      <w:tr>
        <w:trPr>
          <w:trHeight w:val="2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1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Implementation costs for cloud computing arrangements, net</w:t>
            </w:r>
            <w:r>
              <w:rPr>
                <w:rFonts w:ascii="Arial" w:cs="Arial" w:eastAsia="Arial" w:hAnsi="Arial"/>
                <w:sz w:val="23"/>
                <w:szCs w:val="23"/>
                <w:color w:val="51555C"/>
                <w:vertAlign w:val="superscript"/>
              </w:rPr>
              <w:t>(5)(6)</w:t>
            </w:r>
          </w:p>
        </w:tc>
        <w:tc>
          <w:tcPr>
            <w:tcW w:w="340" w:type="dxa"/>
            <w:vAlign w:val="bottom"/>
            <w:shd w:val="clear" w:color="auto" w:fill="EBFBFF"/>
          </w:tcPr>
          <w:p>
            <w:pPr>
              <w:spacing w:after="0"/>
              <w:rPr>
                <w:sz w:val="24"/>
                <w:szCs w:val="24"/>
                <w:color w:val="auto"/>
              </w:rPr>
            </w:pPr>
          </w:p>
        </w:tc>
        <w:tc>
          <w:tcPr>
            <w:tcW w:w="12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8,573</w:t>
            </w:r>
          </w:p>
        </w:tc>
        <w:tc>
          <w:tcPr>
            <w:tcW w:w="360" w:type="dxa"/>
            <w:vAlign w:val="bottom"/>
            <w:shd w:val="clear" w:color="auto" w:fill="EBFBFF"/>
          </w:tcPr>
          <w:p>
            <w:pPr>
              <w:spacing w:after="0"/>
              <w:rPr>
                <w:sz w:val="24"/>
                <w:szCs w:val="24"/>
                <w:color w:val="auto"/>
              </w:rPr>
            </w:pP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11,055</w:t>
            </w:r>
          </w:p>
        </w:tc>
        <w:tc>
          <w:tcPr>
            <w:tcW w:w="20" w:type="dxa"/>
            <w:vAlign w:val="bottom"/>
          </w:tcPr>
          <w:p>
            <w:pPr>
              <w:spacing w:after="0"/>
              <w:rPr>
                <w:sz w:val="24"/>
                <w:szCs w:val="24"/>
                <w:color w:val="auto"/>
              </w:rPr>
            </w:pPr>
          </w:p>
        </w:tc>
      </w:tr>
      <w:tr>
        <w:trPr>
          <w:trHeight w:val="301"/>
        </w:trPr>
        <w:tc>
          <w:tcPr>
            <w:tcW w:w="8160" w:type="dxa"/>
            <w:vAlign w:val="bottom"/>
          </w:tcPr>
          <w:p>
            <w:pPr>
              <w:ind w:left="20"/>
              <w:spacing w:after="0"/>
              <w:rPr>
                <w:sz w:val="20"/>
                <w:szCs w:val="20"/>
                <w:color w:val="auto"/>
              </w:rPr>
            </w:pPr>
            <w:r>
              <w:rPr>
                <w:rFonts w:ascii="Arial" w:cs="Arial" w:eastAsia="Arial" w:hAnsi="Arial"/>
                <w:sz w:val="18"/>
                <w:szCs w:val="18"/>
                <w:color w:val="51555C"/>
              </w:rPr>
              <w:t>Operating lease right-of-use assets</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5,952</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4,630</w:t>
            </w:r>
          </w:p>
        </w:tc>
        <w:tc>
          <w:tcPr>
            <w:tcW w:w="20" w:type="dxa"/>
            <w:vAlign w:val="bottom"/>
          </w:tcPr>
          <w:p>
            <w:pPr>
              <w:spacing w:after="0"/>
              <w:rPr>
                <w:sz w:val="24"/>
                <w:szCs w:val="24"/>
                <w:color w:val="auto"/>
              </w:rPr>
            </w:pPr>
          </w:p>
        </w:tc>
      </w:tr>
      <w:tr>
        <w:trPr>
          <w:trHeight w:val="2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assets</w:t>
            </w: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17,141</w:t>
            </w:r>
          </w:p>
        </w:tc>
        <w:tc>
          <w:tcPr>
            <w:tcW w:w="36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16,639</w:t>
            </w:r>
          </w:p>
        </w:tc>
        <w:tc>
          <w:tcPr>
            <w:tcW w:w="20" w:type="dxa"/>
            <w:vAlign w:val="bottom"/>
          </w:tcPr>
          <w:p>
            <w:pPr>
              <w:spacing w:after="0"/>
              <w:rPr>
                <w:sz w:val="24"/>
                <w:szCs w:val="24"/>
                <w:color w:val="auto"/>
              </w:rPr>
            </w:pPr>
          </w:p>
        </w:tc>
      </w:tr>
      <w:tr>
        <w:trPr>
          <w:trHeight w:val="294"/>
        </w:trPr>
        <w:tc>
          <w:tcPr>
            <w:tcW w:w="8160" w:type="dxa"/>
            <w:vAlign w:val="bottom"/>
          </w:tcPr>
          <w:p>
            <w:pPr>
              <w:ind w:left="140"/>
              <w:spacing w:after="0"/>
              <w:rPr>
                <w:sz w:val="20"/>
                <w:szCs w:val="20"/>
                <w:color w:val="auto"/>
              </w:rPr>
            </w:pPr>
            <w:r>
              <w:rPr>
                <w:rFonts w:ascii="Arial" w:cs="Arial" w:eastAsia="Arial" w:hAnsi="Arial"/>
                <w:sz w:val="18"/>
                <w:szCs w:val="18"/>
                <w:color w:val="51555C"/>
              </w:rPr>
              <w:t>Total prepaid expenses and other assets</w:t>
            </w:r>
          </w:p>
        </w:tc>
        <w:tc>
          <w:tcPr>
            <w:tcW w:w="340" w:type="dxa"/>
            <w:vAlign w:val="bottom"/>
            <w:tcBorders>
              <w:top w:val="single" w:sz="8" w:color="51555C"/>
            </w:tcBorders>
          </w:tcPr>
          <w:p>
            <w:pPr>
              <w:spacing w:after="0"/>
              <w:rPr>
                <w:sz w:val="24"/>
                <w:szCs w:val="24"/>
                <w:color w:val="auto"/>
              </w:rPr>
            </w:pPr>
          </w:p>
        </w:tc>
        <w:tc>
          <w:tcPr>
            <w:tcW w:w="1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176,580</w:t>
            </w:r>
          </w:p>
        </w:tc>
        <w:tc>
          <w:tcPr>
            <w:tcW w:w="360" w:type="dxa"/>
            <w:vAlign w:val="bottom"/>
            <w:tcBorders>
              <w:top w:val="single" w:sz="8" w:color="51555C"/>
            </w:tcBorders>
          </w:tcPr>
          <w:p>
            <w:pPr>
              <w:spacing w:after="0"/>
              <w:rPr>
                <w:sz w:val="24"/>
                <w:szCs w:val="24"/>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145,495</w:t>
            </w:r>
          </w:p>
        </w:tc>
        <w:tc>
          <w:tcPr>
            <w:tcW w:w="20" w:type="dxa"/>
            <w:vAlign w:val="bottom"/>
          </w:tcPr>
          <w:p>
            <w:pPr>
              <w:spacing w:after="0"/>
              <w:rPr>
                <w:sz w:val="24"/>
                <w:szCs w:val="24"/>
                <w:color w:val="auto"/>
              </w:rPr>
            </w:pPr>
          </w:p>
        </w:tc>
      </w:tr>
      <w:tr>
        <w:trPr>
          <w:trHeight w:val="2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8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Long-term portion</w:t>
            </w: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90,516</w:t>
            </w:r>
          </w:p>
        </w:tc>
        <w:tc>
          <w:tcPr>
            <w:tcW w:w="36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56,205</w:t>
            </w:r>
          </w:p>
        </w:tc>
        <w:tc>
          <w:tcPr>
            <w:tcW w:w="20" w:type="dxa"/>
            <w:vAlign w:val="bottom"/>
          </w:tcPr>
          <w:p>
            <w:pPr>
              <w:spacing w:after="0"/>
              <w:rPr>
                <w:sz w:val="24"/>
                <w:szCs w:val="24"/>
                <w:color w:val="auto"/>
              </w:rPr>
            </w:pPr>
          </w:p>
        </w:tc>
      </w:tr>
      <w:tr>
        <w:trPr>
          <w:trHeight w:val="294"/>
        </w:trPr>
        <w:tc>
          <w:tcPr>
            <w:tcW w:w="8160" w:type="dxa"/>
            <w:vAlign w:val="bottom"/>
          </w:tcPr>
          <w:p>
            <w:pPr>
              <w:ind w:left="20"/>
              <w:spacing w:after="0"/>
              <w:rPr>
                <w:sz w:val="20"/>
                <w:szCs w:val="20"/>
                <w:color w:val="auto"/>
              </w:rPr>
            </w:pPr>
            <w:r>
              <w:rPr>
                <w:rFonts w:ascii="Arial" w:cs="Arial" w:eastAsia="Arial" w:hAnsi="Arial"/>
                <w:sz w:val="18"/>
                <w:szCs w:val="18"/>
                <w:color w:val="51555C"/>
              </w:rPr>
              <w:t>Prepaid expenses and other current assets</w:t>
            </w:r>
          </w:p>
        </w:tc>
        <w:tc>
          <w:tcPr>
            <w:tcW w:w="340" w:type="dxa"/>
            <w:vAlign w:val="bottom"/>
            <w:tcBorders>
              <w:top w:val="single" w:sz="8" w:color="51555C"/>
            </w:tcBorders>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86,064</w:t>
            </w:r>
          </w:p>
        </w:tc>
        <w:tc>
          <w:tcPr>
            <w:tcW w:w="360" w:type="dxa"/>
            <w:vAlign w:val="bottom"/>
            <w:tcBorders>
              <w:top w:val="single" w:sz="8" w:color="51555C"/>
            </w:tcBorders>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89,290</w:t>
            </w:r>
          </w:p>
        </w:tc>
        <w:tc>
          <w:tcPr>
            <w:tcW w:w="20" w:type="dxa"/>
            <w:vAlign w:val="bottom"/>
          </w:tcPr>
          <w:p>
            <w:pPr>
              <w:spacing w:after="0"/>
              <w:rPr>
                <w:sz w:val="24"/>
                <w:szCs w:val="24"/>
                <w:color w:val="auto"/>
              </w:rPr>
            </w:pPr>
          </w:p>
        </w:tc>
      </w:tr>
      <w:tr>
        <w:trPr>
          <w:trHeight w:val="23"/>
        </w:trPr>
        <w:tc>
          <w:tcPr>
            <w:tcW w:w="816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5" w:lineRule="exact"/>
        <w:rPr>
          <w:sz w:val="20"/>
          <w:szCs w:val="20"/>
          <w:color w:val="auto"/>
        </w:rPr>
      </w:pPr>
    </w:p>
    <w:p>
      <w:pPr>
        <w:ind w:left="340" w:right="40" w:hanging="332"/>
        <w:spacing w:after="0" w:line="261"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Amortization expense from costs of obtaining contracts was $5.2 million and $15.6 million for the three and nine months ended September 30, 2026, respectively, and $5.1 million and $15.2 million for the three and nine months ended September 30, 2025, respectively.</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The current portion of costs of obtaining contracts as of September 30, 2026 and December 31, 2025 was $18.8 million and $18.5 million, respectively.</w:t>
      </w:r>
    </w:p>
    <w:p>
      <w:pPr>
        <w:spacing w:after="0" w:line="14"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The current portion of prepaid software maintenance and subscriptions as of September 30, 2026 and December 31, 2025 was $29.1 million and $30.4 million, respectively.</w:t>
      </w:r>
    </w:p>
    <w:p>
      <w:pPr>
        <w:spacing w:after="0" w:line="175" w:lineRule="exact"/>
        <w:rPr>
          <w:rFonts w:ascii="Arial" w:cs="Arial" w:eastAsia="Arial" w:hAnsi="Arial"/>
          <w:sz w:val="14"/>
          <w:szCs w:val="14"/>
          <w:color w:val="51555C"/>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Represents strategic investments that did not result in Blackbaud having significant influence over the investees.</w:t>
      </w:r>
    </w:p>
    <w:p>
      <w:pPr>
        <w:spacing w:after="0" w:line="14" w:lineRule="exact"/>
        <w:rPr>
          <w:rFonts w:ascii="Arial" w:cs="Arial" w:eastAsia="Arial" w:hAnsi="Arial"/>
          <w:sz w:val="14"/>
          <w:szCs w:val="14"/>
          <w:color w:val="51555C"/>
        </w:rPr>
      </w:pPr>
    </w:p>
    <w:p>
      <w:pPr>
        <w:ind w:left="340" w:right="40" w:hanging="332"/>
        <w:spacing w:after="0" w:line="251"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These costs primarily relate to the multi-year implementations of our global enterprise resource planning, customer relationship management systems and other cloud-based systems.</w:t>
      </w:r>
    </w:p>
    <w:p>
      <w:pPr>
        <w:jc w:val="both"/>
        <w:ind w:left="340" w:right="20" w:hanging="332"/>
        <w:spacing w:after="0" w:line="272"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Amortization expense from capitalized cloud computing implementation costs was insignificant for the three months ended September 30, 2026 and 2025, and $2.7 million and $2.5 million for the nine months ended September 30, 2026 and 2025, respectively. Accumulated amortization for these costs was $12.8 million and $14.0 million as of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206375</wp:posOffset>
            </wp:positionV>
            <wp:extent cx="65976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4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00" w:type="dxa"/>
            <w:vAlign w:val="bottom"/>
          </w:tcPr>
          <w:p>
            <w:pPr>
              <w:jc w:val="right"/>
              <w:spacing w:after="0"/>
              <w:rPr>
                <w:sz w:val="20"/>
                <w:szCs w:val="20"/>
                <w:color w:val="auto"/>
              </w:rPr>
            </w:pPr>
            <w:r>
              <w:rPr>
                <w:rFonts w:ascii="Arial" w:cs="Arial" w:eastAsia="Arial" w:hAnsi="Arial"/>
                <w:sz w:val="14"/>
                <w:szCs w:val="14"/>
                <w:color w:val="51555C"/>
              </w:rPr>
              <w:t>11</w:t>
            </w:r>
          </w:p>
        </w:tc>
      </w:tr>
      <w:tr>
        <w:trPr>
          <w:trHeight w:val="326"/>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217"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Accrued expenses and other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shd w:val="clear" w:color="auto" w:fill="004054"/>
          </w:tcPr>
          <w:p>
            <w:pPr>
              <w:spacing w:after="0"/>
              <w:rPr>
                <w:sz w:val="17"/>
                <w:szCs w:val="17"/>
                <w:color w:val="auto"/>
              </w:rPr>
            </w:pPr>
          </w:p>
        </w:tc>
        <w:tc>
          <w:tcPr>
            <w:tcW w:w="5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22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60" w:type="dxa"/>
            <w:vAlign w:val="bottom"/>
            <w:shd w:val="clear" w:color="auto" w:fill="004054"/>
          </w:tcPr>
          <w:p>
            <w:pPr>
              <w:spacing w:after="0"/>
              <w:rPr>
                <w:sz w:val="17"/>
                <w:szCs w:val="17"/>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49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004054"/>
            </w:tcBorders>
            <w:shd w:val="clear" w:color="auto" w:fill="004054"/>
          </w:tcPr>
          <w:p>
            <w:pPr>
              <w:spacing w:after="0"/>
              <w:rPr>
                <w:sz w:val="17"/>
                <w:szCs w:val="17"/>
                <w:color w:val="auto"/>
              </w:rPr>
            </w:pPr>
          </w:p>
        </w:tc>
        <w:tc>
          <w:tcPr>
            <w:tcW w:w="980" w:type="dxa"/>
            <w:vAlign w:val="bottom"/>
            <w:tcBorders>
              <w:bottom w:val="single" w:sz="8" w:color="004054"/>
            </w:tcBorders>
            <w:shd w:val="clear" w:color="auto" w:fill="004054"/>
          </w:tcPr>
          <w:p>
            <w:pPr>
              <w:spacing w:after="0"/>
              <w:rPr>
                <w:sz w:val="17"/>
                <w:szCs w:val="17"/>
                <w:color w:val="auto"/>
              </w:rPr>
            </w:pPr>
          </w:p>
        </w:tc>
        <w:tc>
          <w:tcPr>
            <w:tcW w:w="320" w:type="dxa"/>
            <w:vAlign w:val="bottom"/>
            <w:tcBorders>
              <w:bottom w:val="single" w:sz="8" w:color="004054"/>
            </w:tcBorders>
            <w:shd w:val="clear" w:color="auto" w:fill="004054"/>
          </w:tcPr>
          <w:p>
            <w:pPr>
              <w:spacing w:after="0"/>
              <w:rPr>
                <w:sz w:val="17"/>
                <w:szCs w:val="17"/>
                <w:color w:val="auto"/>
              </w:rPr>
            </w:pPr>
          </w:p>
        </w:tc>
        <w:tc>
          <w:tcPr>
            <w:tcW w:w="1220" w:type="dxa"/>
            <w:vAlign w:val="bottom"/>
            <w:tcBorders>
              <w:bottom w:val="single" w:sz="8" w:color="004054"/>
            </w:tcBorders>
            <w:shd w:val="clear" w:color="auto" w:fill="004054"/>
          </w:tcPr>
          <w:p>
            <w:pPr>
              <w:spacing w:after="0"/>
              <w:rPr>
                <w:sz w:val="17"/>
                <w:szCs w:val="17"/>
                <w:color w:val="auto"/>
              </w:rPr>
            </w:pPr>
          </w:p>
        </w:tc>
        <w:tc>
          <w:tcPr>
            <w:tcW w:w="100" w:type="dxa"/>
            <w:vAlign w:val="bottom"/>
            <w:tcBorders>
              <w:bottom w:val="single" w:sz="8" w:color="004054"/>
            </w:tcBorders>
            <w:shd w:val="clear" w:color="auto" w:fill="004054"/>
          </w:tcPr>
          <w:p>
            <w:pPr>
              <w:spacing w:after="0"/>
              <w:rPr>
                <w:sz w:val="17"/>
                <w:szCs w:val="17"/>
                <w:color w:val="auto"/>
              </w:rPr>
            </w:pPr>
          </w:p>
        </w:tc>
        <w:tc>
          <w:tcPr>
            <w:tcW w:w="340" w:type="dxa"/>
            <w:vAlign w:val="bottom"/>
            <w:tcBorders>
              <w:bottom w:val="single" w:sz="8" w:color="004054"/>
            </w:tcBorders>
            <w:shd w:val="clear" w:color="auto" w:fill="004054"/>
          </w:tcPr>
          <w:p>
            <w:pPr>
              <w:spacing w:after="0"/>
              <w:rPr>
                <w:sz w:val="17"/>
                <w:szCs w:val="17"/>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17"/>
                <w:szCs w:val="17"/>
                <w:color w:val="auto"/>
              </w:rPr>
            </w:pP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04"/>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Taxes payable</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10,641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9,945</w:t>
            </w:r>
          </w:p>
        </w:tc>
        <w:tc>
          <w:tcPr>
            <w:tcW w:w="20" w:type="dxa"/>
            <w:vAlign w:val="bottom"/>
          </w:tcPr>
          <w:p>
            <w:pPr>
              <w:spacing w:after="0"/>
              <w:rPr>
                <w:sz w:val="24"/>
                <w:szCs w:val="24"/>
                <w:color w:val="auto"/>
              </w:rPr>
            </w:pPr>
          </w:p>
        </w:tc>
      </w:tr>
      <w:tr>
        <w:trPr>
          <w:trHeight w:val="301"/>
        </w:trPr>
        <w:tc>
          <w:tcPr>
            <w:tcW w:w="4980" w:type="dxa"/>
            <w:vAlign w:val="bottom"/>
          </w:tcPr>
          <w:p>
            <w:pPr>
              <w:ind w:left="20"/>
              <w:spacing w:after="0"/>
              <w:rPr>
                <w:sz w:val="20"/>
                <w:szCs w:val="20"/>
                <w:color w:val="auto"/>
              </w:rPr>
            </w:pPr>
            <w:r>
              <w:rPr>
                <w:rFonts w:ascii="Arial" w:cs="Arial" w:eastAsia="Arial" w:hAnsi="Arial"/>
                <w:sz w:val="18"/>
                <w:szCs w:val="18"/>
                <w:color w:val="51555C"/>
              </w:rPr>
              <w:t>Customer credit balances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9,319</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9,975</w:t>
            </w:r>
          </w:p>
        </w:tc>
        <w:tc>
          <w:tcPr>
            <w:tcW w:w="20" w:type="dxa"/>
            <w:vAlign w:val="bottom"/>
          </w:tcPr>
          <w:p>
            <w:pPr>
              <w:spacing w:after="0"/>
              <w:rPr>
                <w:sz w:val="24"/>
                <w:szCs w:val="24"/>
                <w:color w:val="auto"/>
              </w:rPr>
            </w:pPr>
          </w:p>
        </w:tc>
      </w:tr>
      <w:tr>
        <w:trPr>
          <w:trHeight w:val="23"/>
        </w:trPr>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commissions and salaries</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8,691</w:t>
            </w:r>
          </w:p>
        </w:tc>
        <w:tc>
          <w:tcPr>
            <w:tcW w:w="160" w:type="dxa"/>
            <w:vAlign w:val="bottom"/>
            <w:tcBorders>
              <w:bottom w:val="single" w:sz="8" w:color="EBFBFF"/>
            </w:tcBorders>
            <w:shd w:val="clear" w:color="auto" w:fill="EBFBFF"/>
          </w:tcPr>
          <w:p>
            <w:pPr>
              <w:spacing w:after="0"/>
              <w:rPr>
                <w:sz w:val="24"/>
                <w:szCs w:val="24"/>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3,849</w:t>
            </w:r>
          </w:p>
        </w:tc>
        <w:tc>
          <w:tcPr>
            <w:tcW w:w="20" w:type="dxa"/>
            <w:vAlign w:val="bottom"/>
          </w:tcPr>
          <w:p>
            <w:pPr>
              <w:spacing w:after="0"/>
              <w:rPr>
                <w:sz w:val="24"/>
                <w:szCs w:val="24"/>
                <w:color w:val="auto"/>
              </w:rPr>
            </w:pPr>
          </w:p>
        </w:tc>
      </w:tr>
      <w:tr>
        <w:trPr>
          <w:trHeight w:val="301"/>
        </w:trPr>
        <w:tc>
          <w:tcPr>
            <w:tcW w:w="4980" w:type="dxa"/>
            <w:vAlign w:val="bottom"/>
          </w:tcPr>
          <w:p>
            <w:pPr>
              <w:ind w:left="20"/>
              <w:spacing w:after="0"/>
              <w:rPr>
                <w:sz w:val="20"/>
                <w:szCs w:val="20"/>
                <w:color w:val="auto"/>
              </w:rPr>
            </w:pPr>
            <w:r>
              <w:rPr>
                <w:rFonts w:ascii="Arial" w:cs="Arial" w:eastAsia="Arial" w:hAnsi="Arial"/>
                <w:sz w:val="18"/>
                <w:szCs w:val="18"/>
                <w:color w:val="51555C"/>
              </w:rPr>
              <w:t>Operating lease liabilities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7,022</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6,164</w:t>
            </w:r>
          </w:p>
        </w:tc>
        <w:tc>
          <w:tcPr>
            <w:tcW w:w="20" w:type="dxa"/>
            <w:vAlign w:val="bottom"/>
          </w:tcPr>
          <w:p>
            <w:pPr>
              <w:spacing w:after="0"/>
              <w:rPr>
                <w:sz w:val="24"/>
                <w:szCs w:val="24"/>
                <w:color w:val="auto"/>
              </w:rPr>
            </w:pPr>
          </w:p>
        </w:tc>
      </w:tr>
      <w:tr>
        <w:trPr>
          <w:trHeight w:val="23"/>
        </w:trPr>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Unrecognized tax benefit</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5,089</w:t>
            </w:r>
          </w:p>
        </w:tc>
        <w:tc>
          <w:tcPr>
            <w:tcW w:w="160" w:type="dxa"/>
            <w:vAlign w:val="bottom"/>
            <w:tcBorders>
              <w:bottom w:val="single" w:sz="8" w:color="EBFBFF"/>
            </w:tcBorders>
            <w:shd w:val="clear" w:color="auto" w:fill="EBFBFF"/>
          </w:tcPr>
          <w:p>
            <w:pPr>
              <w:spacing w:after="0"/>
              <w:rPr>
                <w:sz w:val="24"/>
                <w:szCs w:val="24"/>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3,051</w:t>
            </w:r>
          </w:p>
        </w:tc>
        <w:tc>
          <w:tcPr>
            <w:tcW w:w="20" w:type="dxa"/>
            <w:vAlign w:val="bottom"/>
          </w:tcPr>
          <w:p>
            <w:pPr>
              <w:spacing w:after="0"/>
              <w:rPr>
                <w:sz w:val="24"/>
                <w:szCs w:val="24"/>
                <w:color w:val="auto"/>
              </w:rPr>
            </w:pPr>
          </w:p>
        </w:tc>
      </w:tr>
      <w:tr>
        <w:trPr>
          <w:trHeight w:val="301"/>
        </w:trPr>
        <w:tc>
          <w:tcPr>
            <w:tcW w:w="4980" w:type="dxa"/>
            <w:vAlign w:val="bottom"/>
          </w:tcPr>
          <w:p>
            <w:pPr>
              <w:ind w:left="20"/>
              <w:spacing w:after="0"/>
              <w:rPr>
                <w:sz w:val="20"/>
                <w:szCs w:val="20"/>
                <w:color w:val="auto"/>
              </w:rPr>
            </w:pPr>
            <w:r>
              <w:rPr>
                <w:rFonts w:ascii="Arial" w:cs="Arial" w:eastAsia="Arial" w:hAnsi="Arial"/>
                <w:sz w:val="18"/>
                <w:szCs w:val="18"/>
                <w:color w:val="51555C"/>
              </w:rPr>
              <w:t>Accrued health care costs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3,116</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3,173</w:t>
            </w:r>
          </w:p>
        </w:tc>
        <w:tc>
          <w:tcPr>
            <w:tcW w:w="20" w:type="dxa"/>
            <w:vAlign w:val="bottom"/>
          </w:tcPr>
          <w:p>
            <w:pPr>
              <w:spacing w:after="0"/>
              <w:rPr>
                <w:sz w:val="24"/>
                <w:szCs w:val="24"/>
                <w:color w:val="auto"/>
              </w:rPr>
            </w:pPr>
          </w:p>
        </w:tc>
      </w:tr>
      <w:tr>
        <w:trPr>
          <w:trHeight w:val="23"/>
        </w:trPr>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Derivative instruments</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73</w:t>
            </w:r>
          </w:p>
        </w:tc>
        <w:tc>
          <w:tcPr>
            <w:tcW w:w="160" w:type="dxa"/>
            <w:vAlign w:val="bottom"/>
            <w:tcBorders>
              <w:bottom w:val="single" w:sz="8" w:color="EBFBFF"/>
            </w:tcBorders>
            <w:shd w:val="clear" w:color="auto" w:fill="EBFBFF"/>
          </w:tcPr>
          <w:p>
            <w:pPr>
              <w:spacing w:after="0"/>
              <w:rPr>
                <w:sz w:val="24"/>
                <w:szCs w:val="24"/>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3,522</w:t>
            </w:r>
          </w:p>
        </w:tc>
        <w:tc>
          <w:tcPr>
            <w:tcW w:w="20" w:type="dxa"/>
            <w:vAlign w:val="bottom"/>
          </w:tcPr>
          <w:p>
            <w:pPr>
              <w:spacing w:after="0"/>
              <w:rPr>
                <w:sz w:val="24"/>
                <w:szCs w:val="24"/>
                <w:color w:val="auto"/>
              </w:rPr>
            </w:pPr>
          </w:p>
        </w:tc>
      </w:tr>
      <w:tr>
        <w:trPr>
          <w:trHeight w:val="301"/>
        </w:trPr>
        <w:tc>
          <w:tcPr>
            <w:tcW w:w="4980" w:type="dxa"/>
            <w:vAlign w:val="bottom"/>
          </w:tcPr>
          <w:p>
            <w:pPr>
              <w:ind w:left="20"/>
              <w:spacing w:after="0"/>
              <w:rPr>
                <w:sz w:val="20"/>
                <w:szCs w:val="20"/>
                <w:color w:val="auto"/>
              </w:rPr>
            </w:pPr>
            <w:r>
              <w:rPr>
                <w:rFonts w:ascii="Arial" w:cs="Arial" w:eastAsia="Arial" w:hAnsi="Arial"/>
                <w:sz w:val="18"/>
                <w:szCs w:val="18"/>
                <w:color w:val="51555C"/>
              </w:rPr>
              <w:t>Other liabilities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19,734</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15,330</w:t>
            </w:r>
          </w:p>
        </w:tc>
        <w:tc>
          <w:tcPr>
            <w:tcW w:w="20" w:type="dxa"/>
            <w:vAlign w:val="bottom"/>
          </w:tcPr>
          <w:p>
            <w:pPr>
              <w:spacing w:after="0"/>
              <w:rPr>
                <w:sz w:val="24"/>
                <w:szCs w:val="24"/>
                <w:color w:val="auto"/>
              </w:rPr>
            </w:pPr>
          </w:p>
        </w:tc>
      </w:tr>
      <w:tr>
        <w:trPr>
          <w:trHeight w:val="23"/>
        </w:trPr>
        <w:tc>
          <w:tcPr>
            <w:tcW w:w="4980" w:type="dxa"/>
            <w:vAlign w:val="bottom"/>
            <w:tcBorders>
              <w:bottom w:val="single" w:sz="8" w:color="EBFBFF"/>
            </w:tcBorders>
          </w:tcPr>
          <w:p>
            <w:pPr>
              <w:spacing w:after="0"/>
              <w:rPr>
                <w:sz w:val="2"/>
                <w:szCs w:val="2"/>
                <w:color w:val="auto"/>
              </w:rPr>
            </w:pPr>
          </w:p>
        </w:tc>
        <w:tc>
          <w:tcPr>
            <w:tcW w:w="560" w:type="dxa"/>
            <w:vAlign w:val="bottom"/>
            <w:tcBorders>
              <w:bottom w:val="single" w:sz="8" w:color="EBFBFF"/>
            </w:tcBorders>
          </w:tcPr>
          <w:p>
            <w:pPr>
              <w:spacing w:after="0"/>
              <w:rPr>
                <w:sz w:val="2"/>
                <w:szCs w:val="2"/>
                <w:color w:val="auto"/>
              </w:rPr>
            </w:pPr>
          </w:p>
        </w:tc>
        <w:tc>
          <w:tcPr>
            <w:tcW w:w="980" w:type="dxa"/>
            <w:vAlign w:val="bottom"/>
            <w:tcBorders>
              <w:bottom w:val="single" w:sz="8" w:color="EBFBFF"/>
            </w:tcBorders>
          </w:tcPr>
          <w:p>
            <w:pPr>
              <w:spacing w:after="0"/>
              <w:rPr>
                <w:sz w:val="2"/>
                <w:szCs w:val="2"/>
                <w:color w:val="auto"/>
              </w:rPr>
            </w:pPr>
          </w:p>
        </w:tc>
        <w:tc>
          <w:tcPr>
            <w:tcW w:w="320" w:type="dxa"/>
            <w:vAlign w:val="bottom"/>
            <w:tcBorders>
              <w:bottom w:val="single" w:sz="8" w:color="EBFBFF"/>
            </w:tcBorders>
          </w:tcPr>
          <w:p>
            <w:pPr>
              <w:spacing w:after="0"/>
              <w:rPr>
                <w:sz w:val="2"/>
                <w:szCs w:val="2"/>
                <w:color w:val="auto"/>
              </w:rPr>
            </w:pPr>
          </w:p>
        </w:tc>
        <w:tc>
          <w:tcPr>
            <w:tcW w:w="1220" w:type="dxa"/>
            <w:vAlign w:val="bottom"/>
            <w:tcBorders>
              <w:bottom w:val="single" w:sz="8" w:color="EBFBFF"/>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120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3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98"/>
        </w:trPr>
        <w:tc>
          <w:tcPr>
            <w:tcW w:w="49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accrued expenses and other liabilities</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63,685</w:t>
            </w:r>
          </w:p>
        </w:tc>
        <w:tc>
          <w:tcPr>
            <w:tcW w:w="160" w:type="dxa"/>
            <w:vAlign w:val="bottom"/>
            <w:tcBorders>
              <w:bottom w:val="single" w:sz="8" w:color="EBFBFF"/>
            </w:tcBorders>
            <w:shd w:val="clear" w:color="auto" w:fill="EBFBFF"/>
          </w:tcPr>
          <w:p>
            <w:pPr>
              <w:spacing w:after="0"/>
              <w:rPr>
                <w:sz w:val="24"/>
                <w:szCs w:val="24"/>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55,009</w:t>
            </w:r>
          </w:p>
        </w:tc>
        <w:tc>
          <w:tcPr>
            <w:tcW w:w="20" w:type="dxa"/>
            <w:vAlign w:val="bottom"/>
          </w:tcPr>
          <w:p>
            <w:pPr>
              <w:spacing w:after="0"/>
              <w:rPr>
                <w:sz w:val="24"/>
                <w:szCs w:val="24"/>
                <w:color w:val="auto"/>
              </w:rPr>
            </w:pPr>
          </w:p>
        </w:tc>
      </w:tr>
      <w:tr>
        <w:trPr>
          <w:trHeight w:val="301"/>
        </w:trPr>
        <w:tc>
          <w:tcPr>
            <w:tcW w:w="4980" w:type="dxa"/>
            <w:vAlign w:val="bottom"/>
          </w:tcPr>
          <w:p>
            <w:pPr>
              <w:ind w:left="20"/>
              <w:spacing w:after="0"/>
              <w:rPr>
                <w:sz w:val="20"/>
                <w:szCs w:val="20"/>
                <w:color w:val="auto"/>
              </w:rPr>
            </w:pPr>
            <w:r>
              <w:rPr>
                <w:rFonts w:ascii="Arial" w:cs="Arial" w:eastAsia="Arial" w:hAnsi="Arial"/>
                <w:sz w:val="18"/>
                <w:szCs w:val="18"/>
                <w:color w:val="51555C"/>
              </w:rPr>
              <w:t>Less: Long-term portion</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12,638</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11,737</w:t>
            </w:r>
          </w:p>
        </w:tc>
        <w:tc>
          <w:tcPr>
            <w:tcW w:w="20" w:type="dxa"/>
            <w:vAlign w:val="bottom"/>
          </w:tcPr>
          <w:p>
            <w:pPr>
              <w:spacing w:after="0"/>
              <w:rPr>
                <w:sz w:val="24"/>
                <w:szCs w:val="24"/>
                <w:color w:val="auto"/>
              </w:rPr>
            </w:pPr>
          </w:p>
        </w:tc>
      </w:tr>
      <w:tr>
        <w:trPr>
          <w:trHeight w:val="23"/>
        </w:trPr>
        <w:tc>
          <w:tcPr>
            <w:tcW w:w="4980" w:type="dxa"/>
            <w:vAlign w:val="bottom"/>
            <w:tcBorders>
              <w:bottom w:val="single" w:sz="8" w:color="EBFBFF"/>
            </w:tcBorders>
          </w:tcPr>
          <w:p>
            <w:pPr>
              <w:spacing w:after="0"/>
              <w:rPr>
                <w:sz w:val="2"/>
                <w:szCs w:val="2"/>
                <w:color w:val="auto"/>
              </w:rPr>
            </w:pPr>
          </w:p>
        </w:tc>
        <w:tc>
          <w:tcPr>
            <w:tcW w:w="560" w:type="dxa"/>
            <w:vAlign w:val="bottom"/>
            <w:tcBorders>
              <w:bottom w:val="single" w:sz="8" w:color="EBFBFF"/>
            </w:tcBorders>
          </w:tcPr>
          <w:p>
            <w:pPr>
              <w:spacing w:after="0"/>
              <w:rPr>
                <w:sz w:val="2"/>
                <w:szCs w:val="2"/>
                <w:color w:val="auto"/>
              </w:rPr>
            </w:pPr>
          </w:p>
        </w:tc>
        <w:tc>
          <w:tcPr>
            <w:tcW w:w="980" w:type="dxa"/>
            <w:vAlign w:val="bottom"/>
            <w:tcBorders>
              <w:bottom w:val="single" w:sz="8" w:color="EBFBFF"/>
            </w:tcBorders>
          </w:tcPr>
          <w:p>
            <w:pPr>
              <w:spacing w:after="0"/>
              <w:rPr>
                <w:sz w:val="2"/>
                <w:szCs w:val="2"/>
                <w:color w:val="auto"/>
              </w:rPr>
            </w:pPr>
          </w:p>
        </w:tc>
        <w:tc>
          <w:tcPr>
            <w:tcW w:w="320" w:type="dxa"/>
            <w:vAlign w:val="bottom"/>
            <w:tcBorders>
              <w:bottom w:val="single" w:sz="8" w:color="EBFBFF"/>
            </w:tcBorders>
          </w:tcPr>
          <w:p>
            <w:pPr>
              <w:spacing w:after="0"/>
              <w:rPr>
                <w:sz w:val="2"/>
                <w:szCs w:val="2"/>
                <w:color w:val="auto"/>
              </w:rPr>
            </w:pPr>
          </w:p>
        </w:tc>
        <w:tc>
          <w:tcPr>
            <w:tcW w:w="1220" w:type="dxa"/>
            <w:vAlign w:val="bottom"/>
            <w:tcBorders>
              <w:bottom w:val="single" w:sz="8" w:color="EBFBFF"/>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120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3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expenses and other current liabilities</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51,047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43,272</w:t>
            </w:r>
          </w:p>
        </w:tc>
        <w:tc>
          <w:tcPr>
            <w:tcW w:w="20" w:type="dxa"/>
            <w:vAlign w:val="bottom"/>
          </w:tcPr>
          <w:p>
            <w:pPr>
              <w:spacing w:after="0"/>
              <w:rPr>
                <w:sz w:val="24"/>
                <w:szCs w:val="24"/>
                <w:color w:val="auto"/>
              </w:rPr>
            </w:pPr>
          </w:p>
        </w:tc>
      </w:tr>
      <w:tr>
        <w:trPr>
          <w:trHeight w:val="464"/>
        </w:trPr>
        <w:tc>
          <w:tcPr>
            <w:tcW w:w="4980" w:type="dxa"/>
            <w:vAlign w:val="bottom"/>
            <w:tcBorders>
              <w:top w:val="single" w:sz="8" w:color="0CD973"/>
            </w:tcBorders>
          </w:tcPr>
          <w:p>
            <w:pPr>
              <w:ind w:left="660"/>
              <w:spacing w:after="0"/>
              <w:rPr>
                <w:sz w:val="20"/>
                <w:szCs w:val="20"/>
                <w:color w:val="auto"/>
              </w:rPr>
            </w:pPr>
            <w:r>
              <w:rPr>
                <w:rFonts w:ascii="Arial" w:cs="Arial" w:eastAsia="Arial" w:hAnsi="Arial"/>
                <w:sz w:val="18"/>
                <w:szCs w:val="18"/>
                <w:b w:val="1"/>
                <w:bCs w:val="1"/>
                <w:color w:val="51555C"/>
              </w:rPr>
              <w:t>Other income, net</w:t>
            </w:r>
          </w:p>
        </w:tc>
        <w:tc>
          <w:tcPr>
            <w:tcW w:w="56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spacing w:after="0"/>
              <w:rPr>
                <w:sz w:val="24"/>
                <w:szCs w:val="24"/>
                <w:color w:val="auto"/>
              </w:rPr>
            </w:pPr>
          </w:p>
        </w:tc>
        <w:tc>
          <w:tcPr>
            <w:tcW w:w="320" w:type="dxa"/>
            <w:vAlign w:val="bottom"/>
            <w:tcBorders>
              <w:top w:val="single" w:sz="8" w:color="0CD973"/>
            </w:tcBorders>
          </w:tcPr>
          <w:p>
            <w:pPr>
              <w:spacing w:after="0"/>
              <w:rPr>
                <w:sz w:val="24"/>
                <w:szCs w:val="24"/>
                <w:color w:val="auto"/>
              </w:rPr>
            </w:pPr>
          </w:p>
        </w:tc>
        <w:tc>
          <w:tcPr>
            <w:tcW w:w="1220" w:type="dxa"/>
            <w:vAlign w:val="bottom"/>
            <w:tcBorders>
              <w:top w:val="single" w:sz="8" w:color="0CD973"/>
            </w:tcBorders>
          </w:tcPr>
          <w:p>
            <w:pPr>
              <w:spacing w:after="0"/>
              <w:rPr>
                <w:sz w:val="24"/>
                <w:szCs w:val="24"/>
                <w:color w:val="auto"/>
              </w:rPr>
            </w:pPr>
          </w:p>
        </w:tc>
        <w:tc>
          <w:tcPr>
            <w:tcW w:w="100" w:type="dxa"/>
            <w:vAlign w:val="bottom"/>
            <w:tcBorders>
              <w:top w:val="single" w:sz="8" w:color="0CD973"/>
            </w:tcBorders>
          </w:tcPr>
          <w:p>
            <w:pPr>
              <w:spacing w:after="0"/>
              <w:rPr>
                <w:sz w:val="24"/>
                <w:szCs w:val="24"/>
                <w:color w:val="auto"/>
              </w:rPr>
            </w:pPr>
          </w:p>
        </w:tc>
        <w:tc>
          <w:tcPr>
            <w:tcW w:w="340" w:type="dxa"/>
            <w:vAlign w:val="bottom"/>
            <w:tcBorders>
              <w:top w:val="single" w:sz="8" w:color="0CD973"/>
            </w:tcBorders>
          </w:tcPr>
          <w:p>
            <w:pPr>
              <w:spacing w:after="0"/>
              <w:rPr>
                <w:sz w:val="24"/>
                <w:szCs w:val="24"/>
                <w:color w:val="auto"/>
              </w:rPr>
            </w:pPr>
          </w:p>
        </w:tc>
        <w:tc>
          <w:tcPr>
            <w:tcW w:w="1200" w:type="dxa"/>
            <w:vAlign w:val="bottom"/>
            <w:tcBorders>
              <w:top w:val="single" w:sz="8" w:color="0CD973"/>
            </w:tcBorders>
          </w:tcPr>
          <w:p>
            <w:pPr>
              <w:spacing w:after="0"/>
              <w:rPr>
                <w:sz w:val="24"/>
                <w:szCs w:val="24"/>
                <w:color w:val="auto"/>
              </w:rPr>
            </w:pPr>
          </w:p>
        </w:tc>
        <w:tc>
          <w:tcPr>
            <w:tcW w:w="160" w:type="dxa"/>
            <w:vAlign w:val="bottom"/>
            <w:tcBorders>
              <w:top w:val="single" w:sz="8" w:color="0CD973"/>
            </w:tcBorders>
          </w:tcPr>
          <w:p>
            <w:pPr>
              <w:spacing w:after="0"/>
              <w:rPr>
                <w:sz w:val="24"/>
                <w:szCs w:val="24"/>
                <w:color w:val="auto"/>
              </w:rPr>
            </w:pPr>
          </w:p>
        </w:tc>
        <w:tc>
          <w:tcPr>
            <w:tcW w:w="13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69"/>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5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7"/>
        </w:trPr>
        <w:tc>
          <w:tcPr>
            <w:tcW w:w="4980" w:type="dxa"/>
            <w:vAlign w:val="bottom"/>
            <w:shd w:val="clear" w:color="auto" w:fill="004054"/>
          </w:tcPr>
          <w:p>
            <w:pPr>
              <w:spacing w:after="0"/>
              <w:rPr>
                <w:sz w:val="17"/>
                <w:szCs w:val="17"/>
                <w:color w:val="auto"/>
              </w:rPr>
            </w:pPr>
          </w:p>
        </w:tc>
        <w:tc>
          <w:tcPr>
            <w:tcW w:w="5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15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6"/>
        </w:trPr>
        <w:tc>
          <w:tcPr>
            <w:tcW w:w="4980" w:type="dxa"/>
            <w:vAlign w:val="bottom"/>
            <w:shd w:val="clear" w:color="auto" w:fill="004054"/>
          </w:tcPr>
          <w:p>
            <w:pPr>
              <w:spacing w:after="0"/>
              <w:rPr>
                <w:sz w:val="17"/>
                <w:szCs w:val="17"/>
                <w:color w:val="auto"/>
              </w:rPr>
            </w:pPr>
          </w:p>
        </w:tc>
        <w:tc>
          <w:tcPr>
            <w:tcW w:w="5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252"/>
        </w:trPr>
        <w:tc>
          <w:tcPr>
            <w:tcW w:w="49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004054"/>
            </w:tcBorders>
            <w:shd w:val="clear" w:color="auto" w:fill="004054"/>
          </w:tcPr>
          <w:p>
            <w:pPr>
              <w:spacing w:after="0"/>
              <w:rPr>
                <w:sz w:val="21"/>
                <w:szCs w:val="21"/>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20" w:type="dxa"/>
            <w:vAlign w:val="bottom"/>
            <w:tcBorders>
              <w:bottom w:val="single" w:sz="8" w:color="004054"/>
            </w:tcBorders>
            <w:shd w:val="clear" w:color="auto" w:fill="004054"/>
          </w:tcPr>
          <w:p>
            <w:pPr>
              <w:spacing w:after="0"/>
              <w:rPr>
                <w:sz w:val="21"/>
                <w:szCs w:val="21"/>
                <w:color w:val="auto"/>
              </w:rPr>
            </w:pPr>
          </w:p>
        </w:tc>
        <w:tc>
          <w:tcPr>
            <w:tcW w:w="12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1"/>
                <w:szCs w:val="21"/>
                <w:color w:val="auto"/>
              </w:rPr>
            </w:pPr>
          </w:p>
        </w:tc>
        <w:tc>
          <w:tcPr>
            <w:tcW w:w="340" w:type="dxa"/>
            <w:vAlign w:val="bottom"/>
            <w:tcBorders>
              <w:bottom w:val="single" w:sz="8" w:color="004054"/>
            </w:tcBorders>
            <w:shd w:val="clear" w:color="auto" w:fill="004054"/>
          </w:tcPr>
          <w:p>
            <w:pPr>
              <w:spacing w:after="0"/>
              <w:rPr>
                <w:sz w:val="21"/>
                <w:szCs w:val="21"/>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1"/>
                <w:szCs w:val="21"/>
                <w:color w:val="auto"/>
              </w:rPr>
            </w:pP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1"/>
                <w:szCs w:val="21"/>
                <w:color w:val="auto"/>
              </w:rPr>
            </w:pPr>
          </w:p>
        </w:tc>
      </w:tr>
      <w:tr>
        <w:trPr>
          <w:trHeight w:val="304"/>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Interest income</w:t>
            </w:r>
          </w:p>
        </w:tc>
        <w:tc>
          <w:tcPr>
            <w:tcW w:w="56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2,244</w:t>
            </w:r>
          </w:p>
        </w:tc>
        <w:tc>
          <w:tcPr>
            <w:tcW w:w="320" w:type="dxa"/>
            <w:vAlign w:val="bottom"/>
            <w:tcBorders>
              <w:bottom w:val="single" w:sz="8" w:color="EBFBFF"/>
            </w:tcBorders>
            <w:shd w:val="clear" w:color="auto" w:fill="EBFBFF"/>
          </w:tcPr>
          <w:p>
            <w:pPr>
              <w:jc w:val="right"/>
              <w:ind w:right="116"/>
              <w:spacing w:after="0"/>
              <w:rPr>
                <w:sz w:val="20"/>
                <w:szCs w:val="20"/>
                <w:color w:val="auto"/>
              </w:rPr>
            </w:pPr>
            <w:r>
              <w:rPr>
                <w:rFonts w:ascii="Arial" w:cs="Arial" w:eastAsia="Arial" w:hAnsi="Arial"/>
                <w:sz w:val="18"/>
                <w:szCs w:val="18"/>
                <w:color w:val="51555C"/>
                <w:w w:val="99"/>
              </w:rPr>
              <w:t>$</w:t>
            </w: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2,371</w:t>
            </w: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5,850</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5,994</w:t>
            </w:r>
          </w:p>
        </w:tc>
        <w:tc>
          <w:tcPr>
            <w:tcW w:w="20" w:type="dxa"/>
            <w:vAlign w:val="bottom"/>
          </w:tcPr>
          <w:p>
            <w:pPr>
              <w:spacing w:after="0"/>
              <w:rPr>
                <w:sz w:val="24"/>
                <w:szCs w:val="24"/>
                <w:color w:val="auto"/>
              </w:rPr>
            </w:pPr>
          </w:p>
        </w:tc>
      </w:tr>
      <w:tr>
        <w:trPr>
          <w:trHeight w:val="301"/>
        </w:trPr>
        <w:tc>
          <w:tcPr>
            <w:tcW w:w="4980" w:type="dxa"/>
            <w:vAlign w:val="bottom"/>
          </w:tcPr>
          <w:p>
            <w:pPr>
              <w:ind w:left="20"/>
              <w:spacing w:after="0"/>
              <w:rPr>
                <w:sz w:val="20"/>
                <w:szCs w:val="20"/>
                <w:color w:val="auto"/>
              </w:rPr>
            </w:pPr>
            <w:r>
              <w:rPr>
                <w:rFonts w:ascii="Arial" w:cs="Arial" w:eastAsia="Arial" w:hAnsi="Arial"/>
                <w:sz w:val="18"/>
                <w:szCs w:val="18"/>
                <w:color w:val="51555C"/>
              </w:rPr>
              <w:t>Currency revaluation (losses) gains</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(158)</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51555C"/>
              </w:rPr>
              <w:t>264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(661)</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(2,635)</w:t>
            </w:r>
          </w:p>
        </w:tc>
        <w:tc>
          <w:tcPr>
            <w:tcW w:w="20" w:type="dxa"/>
            <w:vAlign w:val="bottom"/>
          </w:tcPr>
          <w:p>
            <w:pPr>
              <w:spacing w:after="0"/>
              <w:rPr>
                <w:sz w:val="24"/>
                <w:szCs w:val="24"/>
                <w:color w:val="auto"/>
              </w:rPr>
            </w:pPr>
          </w:p>
        </w:tc>
      </w:tr>
      <w:tr>
        <w:trPr>
          <w:trHeight w:val="23"/>
        </w:trPr>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income, net</w:t>
            </w:r>
          </w:p>
        </w:tc>
        <w:tc>
          <w:tcPr>
            <w:tcW w:w="56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511</w:t>
            </w:r>
          </w:p>
        </w:tc>
        <w:tc>
          <w:tcPr>
            <w:tcW w:w="32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610</w:t>
            </w:r>
          </w:p>
        </w:tc>
        <w:tc>
          <w:tcPr>
            <w:tcW w:w="100" w:type="dxa"/>
            <w:vAlign w:val="bottom"/>
            <w:tcBorders>
              <w:bottom w:val="single" w:sz="8" w:color="EBFBFF"/>
            </w:tcBorders>
            <w:shd w:val="clear" w:color="auto" w:fill="EBFBFF"/>
          </w:tcPr>
          <w:p>
            <w:pPr>
              <w:spacing w:after="0"/>
              <w:rPr>
                <w:sz w:val="24"/>
                <w:szCs w:val="24"/>
                <w:color w:val="auto"/>
              </w:rPr>
            </w:pPr>
          </w:p>
        </w:tc>
        <w:tc>
          <w:tcPr>
            <w:tcW w:w="34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1,788</w:t>
            </w:r>
          </w:p>
        </w:tc>
        <w:tc>
          <w:tcPr>
            <w:tcW w:w="160" w:type="dxa"/>
            <w:vAlign w:val="bottom"/>
            <w:tcBorders>
              <w:bottom w:val="single" w:sz="8" w:color="EBFBFF"/>
            </w:tcBorders>
            <w:shd w:val="clear" w:color="auto" w:fill="EBFBFF"/>
          </w:tcPr>
          <w:p>
            <w:pPr>
              <w:spacing w:after="0"/>
              <w:rPr>
                <w:sz w:val="24"/>
                <w:szCs w:val="24"/>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3,109</w:t>
            </w:r>
          </w:p>
        </w:tc>
        <w:tc>
          <w:tcPr>
            <w:tcW w:w="20" w:type="dxa"/>
            <w:vAlign w:val="bottom"/>
          </w:tcPr>
          <w:p>
            <w:pPr>
              <w:spacing w:after="0"/>
              <w:rPr>
                <w:sz w:val="24"/>
                <w:szCs w:val="24"/>
                <w:color w:val="auto"/>
              </w:rPr>
            </w:pPr>
          </w:p>
        </w:tc>
      </w:tr>
      <w:tr>
        <w:trPr>
          <w:trHeight w:val="294"/>
        </w:trPr>
        <w:tc>
          <w:tcPr>
            <w:tcW w:w="4980" w:type="dxa"/>
            <w:vAlign w:val="bottom"/>
          </w:tcPr>
          <w:p>
            <w:pPr>
              <w:ind w:left="140"/>
              <w:spacing w:after="0"/>
              <w:rPr>
                <w:sz w:val="20"/>
                <w:szCs w:val="20"/>
                <w:color w:val="auto"/>
              </w:rPr>
            </w:pPr>
            <w:r>
              <w:rPr>
                <w:rFonts w:ascii="Arial" w:cs="Arial" w:eastAsia="Arial" w:hAnsi="Arial"/>
                <w:sz w:val="18"/>
                <w:szCs w:val="18"/>
                <w:color w:val="51555C"/>
              </w:rPr>
              <w:t>Other income, net</w:t>
            </w:r>
          </w:p>
        </w:tc>
        <w:tc>
          <w:tcPr>
            <w:tcW w:w="560" w:type="dxa"/>
            <w:vAlign w:val="bottom"/>
            <w:tcBorders>
              <w:top w:val="single" w:sz="8" w:color="51555C"/>
            </w:tcBorders>
          </w:tcPr>
          <w:p>
            <w:pPr>
              <w:jc w:val="right"/>
              <w:ind w:right="330"/>
              <w:spacing w:after="0"/>
              <w:rPr>
                <w:sz w:val="20"/>
                <w:szCs w:val="20"/>
                <w:color w:val="auto"/>
              </w:rPr>
            </w:pPr>
            <w:r>
              <w:rPr>
                <w:rFonts w:ascii="Arial" w:cs="Arial" w:eastAsia="Arial" w:hAnsi="Arial"/>
                <w:sz w:val="18"/>
                <w:szCs w:val="18"/>
                <w:color w:val="51555C"/>
              </w:rPr>
              <w:t>$</w:t>
            </w:r>
          </w:p>
        </w:tc>
        <w:tc>
          <w:tcPr>
            <w:tcW w:w="9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2,597</w:t>
            </w:r>
          </w:p>
        </w:tc>
        <w:tc>
          <w:tcPr>
            <w:tcW w:w="320" w:type="dxa"/>
            <w:vAlign w:val="bottom"/>
            <w:tcBorders>
              <w:top w:val="single" w:sz="8" w:color="51555C"/>
            </w:tcBorders>
          </w:tcPr>
          <w:p>
            <w:pPr>
              <w:jc w:val="right"/>
              <w:ind w:right="116"/>
              <w:spacing w:after="0"/>
              <w:rPr>
                <w:sz w:val="20"/>
                <w:szCs w:val="20"/>
                <w:color w:val="auto"/>
              </w:rPr>
            </w:pPr>
            <w:r>
              <w:rPr>
                <w:rFonts w:ascii="Arial" w:cs="Arial" w:eastAsia="Arial" w:hAnsi="Arial"/>
                <w:sz w:val="18"/>
                <w:szCs w:val="18"/>
                <w:color w:val="51555C"/>
                <w:w w:val="99"/>
              </w:rPr>
              <w:t>$</w:t>
            </w:r>
          </w:p>
        </w:tc>
        <w:tc>
          <w:tcPr>
            <w:tcW w:w="12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3,245</w:t>
            </w:r>
          </w:p>
        </w:tc>
        <w:tc>
          <w:tcPr>
            <w:tcW w:w="100" w:type="dxa"/>
            <w:vAlign w:val="bottom"/>
          </w:tcPr>
          <w:p>
            <w:pPr>
              <w:spacing w:after="0"/>
              <w:rPr>
                <w:sz w:val="24"/>
                <w:szCs w:val="24"/>
                <w:color w:val="auto"/>
              </w:rPr>
            </w:pPr>
          </w:p>
        </w:tc>
        <w:tc>
          <w:tcPr>
            <w:tcW w:w="340" w:type="dxa"/>
            <w:vAlign w:val="bottom"/>
            <w:tcBorders>
              <w:top w:val="single" w:sz="8" w:color="51555C"/>
            </w:tcBorders>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6,977</w:t>
            </w:r>
          </w:p>
        </w:tc>
        <w:tc>
          <w:tcPr>
            <w:tcW w:w="1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6,468</w:t>
            </w:r>
          </w:p>
        </w:tc>
        <w:tc>
          <w:tcPr>
            <w:tcW w:w="20" w:type="dxa"/>
            <w:vAlign w:val="bottom"/>
          </w:tcPr>
          <w:p>
            <w:pPr>
              <w:spacing w:after="0"/>
              <w:rPr>
                <w:sz w:val="24"/>
                <w:szCs w:val="24"/>
                <w:color w:val="auto"/>
              </w:rPr>
            </w:pPr>
          </w:p>
        </w:tc>
      </w:tr>
      <w:tr>
        <w:trPr>
          <w:trHeight w:val="23"/>
        </w:trPr>
        <w:tc>
          <w:tcPr>
            <w:tcW w:w="4980" w:type="dxa"/>
            <w:vAlign w:val="bottom"/>
            <w:tcBorders>
              <w:bottom w:val="single" w:sz="8" w:color="0CD973"/>
            </w:tcBorders>
          </w:tcPr>
          <w:p>
            <w:pPr>
              <w:spacing w:after="0"/>
              <w:rPr>
                <w:sz w:val="2"/>
                <w:szCs w:val="2"/>
                <w:color w:val="auto"/>
              </w:rPr>
            </w:pPr>
          </w:p>
        </w:tc>
        <w:tc>
          <w:tcPr>
            <w:tcW w:w="56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32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160" w:type="dxa"/>
            <w:vAlign w:val="bottom"/>
            <w:tcBorders>
              <w:bottom w:val="single" w:sz="8" w:color="0CD973"/>
            </w:tcBorders>
          </w:tcPr>
          <w:p>
            <w:pPr>
              <w:spacing w:after="0"/>
              <w:rPr>
                <w:sz w:val="2"/>
                <w:szCs w:val="2"/>
                <w:color w:val="auto"/>
              </w:rPr>
            </w:pPr>
          </w:p>
        </w:tc>
        <w:tc>
          <w:tcPr>
            <w:tcW w:w="13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-1002030</wp:posOffset>
            </wp:positionV>
            <wp:extent cx="39776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6.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following table summarizes our debt balances and the related weighted average effective interest rates, which includes the effect of interest rate swap agreements.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260" w:type="dxa"/>
            <w:vAlign w:val="bottom"/>
            <w:tcBorders>
              <w:right w:val="single" w:sz="8" w:color="004054"/>
            </w:tcBorders>
            <w:shd w:val="clear" w:color="auto" w:fill="004054"/>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shd w:val="clear" w:color="auto" w:fill="004054"/>
          </w:tcPr>
          <w:p>
            <w:pPr>
              <w:spacing w:after="0"/>
              <w:rPr>
                <w:sz w:val="17"/>
                <w:szCs w:val="17"/>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004054"/>
          </w:tcPr>
          <w:p>
            <w:pPr>
              <w:spacing w:after="0"/>
              <w:rPr>
                <w:sz w:val="17"/>
                <w:szCs w:val="17"/>
                <w:color w:val="auto"/>
              </w:rPr>
            </w:pPr>
          </w:p>
        </w:tc>
      </w:tr>
      <w:tr>
        <w:trPr>
          <w:trHeight w:val="196"/>
        </w:trPr>
        <w:tc>
          <w:tcPr>
            <w:tcW w:w="480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7"/>
                <w:szCs w:val="17"/>
                <w:color w:val="auto"/>
              </w:rPr>
            </w:pPr>
          </w:p>
        </w:tc>
        <w:tc>
          <w:tcPr>
            <w:tcW w:w="1660" w:type="dxa"/>
            <w:vAlign w:val="bottom"/>
            <w:shd w:val="clear" w:color="auto" w:fill="004054"/>
          </w:tcPr>
          <w:p>
            <w:pPr>
              <w:spacing w:after="0"/>
              <w:rPr>
                <w:sz w:val="17"/>
                <w:szCs w:val="17"/>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004054"/>
          </w:tcPr>
          <w:p>
            <w:pPr>
              <w:spacing w:after="0"/>
              <w:rPr>
                <w:sz w:val="17"/>
                <w:szCs w:val="17"/>
                <w:color w:val="auto"/>
              </w:rPr>
            </w:pPr>
          </w:p>
        </w:tc>
      </w:tr>
      <w:tr>
        <w:trPr>
          <w:trHeight w:val="222"/>
        </w:trPr>
        <w:tc>
          <w:tcPr>
            <w:tcW w:w="4800" w:type="dxa"/>
            <w:vAlign w:val="bottom"/>
            <w:shd w:val="clear" w:color="auto" w:fill="004054"/>
          </w:tcPr>
          <w:p>
            <w:pPr>
              <w:spacing w:after="0"/>
              <w:rPr>
                <w:sz w:val="19"/>
                <w:szCs w:val="19"/>
                <w:color w:val="auto"/>
              </w:rPr>
            </w:pPr>
          </w:p>
        </w:tc>
        <w:tc>
          <w:tcPr>
            <w:tcW w:w="320" w:type="dxa"/>
            <w:vAlign w:val="bottom"/>
            <w:shd w:val="clear" w:color="auto" w:fill="004054"/>
          </w:tcPr>
          <w:p>
            <w:pPr>
              <w:spacing w:after="0"/>
              <w:rPr>
                <w:sz w:val="19"/>
                <w:szCs w:val="19"/>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004054"/>
          </w:tcPr>
          <w:p>
            <w:pPr>
              <w:spacing w:after="0"/>
              <w:rPr>
                <w:sz w:val="19"/>
                <w:szCs w:val="19"/>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9"/>
                <w:szCs w:val="19"/>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9"/>
                <w:szCs w:val="19"/>
                <w:color w:val="auto"/>
              </w:rPr>
            </w:pPr>
          </w:p>
        </w:tc>
      </w:tr>
      <w:tr>
        <w:trPr>
          <w:trHeight w:val="205"/>
        </w:trPr>
        <w:tc>
          <w:tcPr>
            <w:tcW w:w="48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tcBorders>
              <w:bottom w:val="single" w:sz="8" w:color="004054"/>
            </w:tcBorders>
            <w:shd w:val="clear" w:color="auto" w:fill="004054"/>
          </w:tcPr>
          <w:p>
            <w:pPr>
              <w:spacing w:after="0"/>
              <w:rPr>
                <w:sz w:val="17"/>
                <w:szCs w:val="17"/>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60" w:type="dxa"/>
            <w:vAlign w:val="bottom"/>
            <w:tcBorders>
              <w:bottom w:val="single" w:sz="8" w:color="004054"/>
            </w:tcBorders>
            <w:shd w:val="clear" w:color="auto" w:fill="004054"/>
          </w:tcPr>
          <w:p>
            <w:pPr>
              <w:spacing w:after="0"/>
              <w:rPr>
                <w:sz w:val="17"/>
                <w:szCs w:val="17"/>
                <w:color w:val="auto"/>
              </w:rPr>
            </w:pPr>
          </w:p>
        </w:tc>
        <w:tc>
          <w:tcPr>
            <w:tcW w:w="126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17"/>
                <w:szCs w:val="17"/>
                <w:color w:val="auto"/>
              </w:rPr>
            </w:pP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04"/>
        </w:trPr>
        <w:tc>
          <w:tcPr>
            <w:tcW w:w="4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Credit facility:</w:t>
            </w:r>
          </w:p>
        </w:tc>
        <w:tc>
          <w:tcPr>
            <w:tcW w:w="32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spacing w:after="0"/>
              <w:rPr>
                <w:sz w:val="24"/>
                <w:szCs w:val="24"/>
                <w:color w:val="auto"/>
              </w:rPr>
            </w:pPr>
          </w:p>
        </w:tc>
        <w:tc>
          <w:tcPr>
            <w:tcW w:w="260" w:type="dxa"/>
            <w:vAlign w:val="bottom"/>
            <w:tcBorders>
              <w:bottom w:val="single" w:sz="8" w:color="EBFBFF"/>
            </w:tcBorders>
            <w:shd w:val="clear" w:color="auto" w:fill="EBFBFF"/>
          </w:tcPr>
          <w:p>
            <w:pPr>
              <w:spacing w:after="0"/>
              <w:rPr>
                <w:sz w:val="24"/>
                <w:szCs w:val="24"/>
                <w:color w:val="auto"/>
              </w:rPr>
            </w:pPr>
          </w:p>
        </w:tc>
        <w:tc>
          <w:tcPr>
            <w:tcW w:w="1260" w:type="dxa"/>
            <w:vAlign w:val="bottom"/>
            <w:tcBorders>
              <w:bottom w:val="single" w:sz="8" w:color="EBFBFF"/>
              <w:right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1660" w:type="dxa"/>
            <w:vAlign w:val="bottom"/>
            <w:tcBorders>
              <w:bottom w:val="single" w:sz="8" w:color="EBFBFF"/>
            </w:tcBorders>
            <w:shd w:val="clear" w:color="auto" w:fill="EBFBFF"/>
          </w:tcPr>
          <w:p>
            <w:pPr>
              <w:spacing w:after="0"/>
              <w:rPr>
                <w:sz w:val="24"/>
                <w:szCs w:val="24"/>
                <w:color w:val="auto"/>
              </w:rPr>
            </w:pPr>
          </w:p>
        </w:tc>
        <w:tc>
          <w:tcPr>
            <w:tcW w:w="1640" w:type="dxa"/>
            <w:vAlign w:val="bottom"/>
            <w:tcBorders>
              <w:bottom w:val="single" w:sz="8" w:color="EBFBFF"/>
            </w:tcBorders>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800" w:type="dxa"/>
            <w:vAlign w:val="bottom"/>
          </w:tcPr>
          <w:p>
            <w:pPr>
              <w:ind w:left="140"/>
              <w:spacing w:after="0"/>
              <w:rPr>
                <w:sz w:val="20"/>
                <w:szCs w:val="20"/>
                <w:color w:val="auto"/>
              </w:rPr>
            </w:pPr>
            <w:r>
              <w:rPr>
                <w:rFonts w:ascii="Arial" w:cs="Arial" w:eastAsia="Arial" w:hAnsi="Arial"/>
                <w:sz w:val="18"/>
                <w:szCs w:val="18"/>
                <w:color w:val="51555C"/>
              </w:rPr>
              <w:t>Revolving credit 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51555C"/>
              </w:rPr>
              <w:t>225,800</w:t>
            </w:r>
          </w:p>
        </w:tc>
        <w:tc>
          <w:tcPr>
            <w:tcW w:w="260" w:type="dxa"/>
            <w:vAlign w:val="bottom"/>
          </w:tcPr>
          <w:p>
            <w:pPr>
              <w:jc w:val="right"/>
              <w:ind w:right="50"/>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286,400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6.09 %</w:t>
            </w:r>
          </w:p>
        </w:tc>
        <w:tc>
          <w:tcPr>
            <w:tcW w:w="1640" w:type="dxa"/>
            <w:vAlign w:val="bottom"/>
          </w:tcPr>
          <w:p>
            <w:pPr>
              <w:jc w:val="right"/>
              <w:spacing w:after="0"/>
              <w:rPr>
                <w:sz w:val="20"/>
                <w:szCs w:val="20"/>
                <w:color w:val="auto"/>
              </w:rPr>
            </w:pPr>
            <w:r>
              <w:rPr>
                <w:rFonts w:ascii="Arial" w:cs="Arial" w:eastAsia="Arial" w:hAnsi="Arial"/>
                <w:sz w:val="18"/>
                <w:szCs w:val="18"/>
                <w:color w:val="51555C"/>
              </w:rPr>
              <w:t>5.50 %</w:t>
            </w:r>
          </w:p>
        </w:tc>
        <w:tc>
          <w:tcPr>
            <w:tcW w:w="20" w:type="dxa"/>
            <w:vAlign w:val="bottom"/>
          </w:tcPr>
          <w:p>
            <w:pPr>
              <w:spacing w:after="0"/>
              <w:rPr>
                <w:sz w:val="24"/>
                <w:szCs w:val="24"/>
                <w:color w:val="auto"/>
              </w:rPr>
            </w:pPr>
          </w:p>
        </w:tc>
      </w:tr>
      <w:tr>
        <w:trPr>
          <w:trHeight w:val="2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8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Term loans</w:t>
            </w:r>
          </w:p>
        </w:tc>
        <w:tc>
          <w:tcPr>
            <w:tcW w:w="32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755,000</w:t>
            </w:r>
          </w:p>
        </w:tc>
        <w:tc>
          <w:tcPr>
            <w:tcW w:w="260" w:type="dxa"/>
            <w:vAlign w:val="bottom"/>
            <w:tcBorders>
              <w:bottom w:val="single" w:sz="8" w:color="EBFBFF"/>
            </w:tcBorders>
            <w:shd w:val="clear" w:color="auto" w:fill="EBFBFF"/>
          </w:tcPr>
          <w:p>
            <w:pPr>
              <w:spacing w:after="0"/>
              <w:rPr>
                <w:sz w:val="24"/>
                <w:szCs w:val="24"/>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770,000</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5.49 %</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5.21 %</w:t>
            </w:r>
          </w:p>
        </w:tc>
        <w:tc>
          <w:tcPr>
            <w:tcW w:w="20" w:type="dxa"/>
            <w:vAlign w:val="bottom"/>
          </w:tcPr>
          <w:p>
            <w:pPr>
              <w:spacing w:after="0"/>
              <w:rPr>
                <w:sz w:val="24"/>
                <w:szCs w:val="24"/>
                <w:color w:val="auto"/>
              </w:rPr>
            </w:pPr>
          </w:p>
        </w:tc>
      </w:tr>
      <w:tr>
        <w:trPr>
          <w:trHeight w:val="301"/>
        </w:trPr>
        <w:tc>
          <w:tcPr>
            <w:tcW w:w="4800" w:type="dxa"/>
            <w:vAlign w:val="bottom"/>
          </w:tcPr>
          <w:p>
            <w:pPr>
              <w:ind w:left="20"/>
              <w:spacing w:after="0"/>
              <w:rPr>
                <w:sz w:val="20"/>
                <w:szCs w:val="20"/>
                <w:color w:val="auto"/>
              </w:rPr>
            </w:pPr>
            <w:r>
              <w:rPr>
                <w:rFonts w:ascii="Arial" w:cs="Arial" w:eastAsia="Arial" w:hAnsi="Arial"/>
                <w:sz w:val="18"/>
                <w:szCs w:val="18"/>
                <w:color w:val="51555C"/>
              </w:rPr>
              <w:t>Real estate loans</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51,892</w:t>
            </w:r>
          </w:p>
        </w:tc>
        <w:tc>
          <w:tcPr>
            <w:tcW w:w="260" w:type="dxa"/>
            <w:vAlign w:val="bottom"/>
          </w:tcPr>
          <w:p>
            <w:pPr>
              <w:spacing w:after="0"/>
              <w:rPr>
                <w:sz w:val="24"/>
                <w:szCs w:val="24"/>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53,352</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5.23 %</w:t>
            </w:r>
          </w:p>
        </w:tc>
        <w:tc>
          <w:tcPr>
            <w:tcW w:w="1640" w:type="dxa"/>
            <w:vAlign w:val="bottom"/>
          </w:tcPr>
          <w:p>
            <w:pPr>
              <w:jc w:val="right"/>
              <w:spacing w:after="0"/>
              <w:rPr>
                <w:sz w:val="20"/>
                <w:szCs w:val="20"/>
                <w:color w:val="auto"/>
              </w:rPr>
            </w:pPr>
            <w:r>
              <w:rPr>
                <w:rFonts w:ascii="Arial" w:cs="Arial" w:eastAsia="Arial" w:hAnsi="Arial"/>
                <w:sz w:val="18"/>
                <w:szCs w:val="18"/>
                <w:color w:val="51555C"/>
              </w:rPr>
              <w:t>5.23 %</w:t>
            </w:r>
          </w:p>
        </w:tc>
        <w:tc>
          <w:tcPr>
            <w:tcW w:w="20" w:type="dxa"/>
            <w:vAlign w:val="bottom"/>
          </w:tcPr>
          <w:p>
            <w:pPr>
              <w:spacing w:after="0"/>
              <w:rPr>
                <w:sz w:val="24"/>
                <w:szCs w:val="24"/>
                <w:color w:val="auto"/>
              </w:rPr>
            </w:pPr>
          </w:p>
        </w:tc>
      </w:tr>
      <w:tr>
        <w:trPr>
          <w:trHeight w:val="2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debt</w:t>
            </w:r>
          </w:p>
        </w:tc>
        <w:tc>
          <w:tcPr>
            <w:tcW w:w="32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13,802</w:t>
            </w:r>
          </w:p>
        </w:tc>
        <w:tc>
          <w:tcPr>
            <w:tcW w:w="260" w:type="dxa"/>
            <w:vAlign w:val="bottom"/>
            <w:tcBorders>
              <w:bottom w:val="single" w:sz="8" w:color="EBFBFF"/>
            </w:tcBorders>
            <w:shd w:val="clear" w:color="auto" w:fill="EBFBFF"/>
          </w:tcPr>
          <w:p>
            <w:pPr>
              <w:spacing w:after="0"/>
              <w:rPr>
                <w:sz w:val="24"/>
                <w:szCs w:val="24"/>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691</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7.38 %</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9.13 %</w:t>
            </w:r>
          </w:p>
        </w:tc>
        <w:tc>
          <w:tcPr>
            <w:tcW w:w="20" w:type="dxa"/>
            <w:vAlign w:val="bottom"/>
          </w:tcPr>
          <w:p>
            <w:pPr>
              <w:spacing w:after="0"/>
              <w:rPr>
                <w:sz w:val="24"/>
                <w:szCs w:val="24"/>
                <w:color w:val="auto"/>
              </w:rPr>
            </w:pPr>
          </w:p>
        </w:tc>
      </w:tr>
      <w:tr>
        <w:trPr>
          <w:trHeight w:val="294"/>
        </w:trPr>
        <w:tc>
          <w:tcPr>
            <w:tcW w:w="4800" w:type="dxa"/>
            <w:vAlign w:val="bottom"/>
          </w:tcPr>
          <w:p>
            <w:pPr>
              <w:ind w:left="360"/>
              <w:spacing w:after="0"/>
              <w:rPr>
                <w:sz w:val="20"/>
                <w:szCs w:val="20"/>
                <w:color w:val="auto"/>
              </w:rPr>
            </w:pPr>
            <w:r>
              <w:rPr>
                <w:rFonts w:ascii="Arial" w:cs="Arial" w:eastAsia="Arial" w:hAnsi="Arial"/>
                <w:sz w:val="18"/>
                <w:szCs w:val="18"/>
                <w:color w:val="51555C"/>
              </w:rPr>
              <w:t>Total debt</w:t>
            </w:r>
          </w:p>
        </w:tc>
        <w:tc>
          <w:tcPr>
            <w:tcW w:w="320" w:type="dxa"/>
            <w:vAlign w:val="bottom"/>
            <w:tcBorders>
              <w:top w:val="single" w:sz="8" w:color="51555C"/>
            </w:tcBorders>
          </w:tcPr>
          <w:p>
            <w:pPr>
              <w:spacing w:after="0"/>
              <w:rPr>
                <w:sz w:val="24"/>
                <w:szCs w:val="24"/>
                <w:color w:val="auto"/>
              </w:rPr>
            </w:pPr>
          </w:p>
        </w:tc>
        <w:tc>
          <w:tcPr>
            <w:tcW w:w="1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1,046,494</w:t>
            </w:r>
          </w:p>
        </w:tc>
        <w:tc>
          <w:tcPr>
            <w:tcW w:w="260" w:type="dxa"/>
            <w:vAlign w:val="bottom"/>
            <w:tcBorders>
              <w:top w:val="single" w:sz="8" w:color="51555C"/>
            </w:tcBorders>
          </w:tcPr>
          <w:p>
            <w:pPr>
              <w:spacing w:after="0"/>
              <w:rPr>
                <w:sz w:val="24"/>
                <w:szCs w:val="24"/>
                <w:color w:val="auto"/>
              </w:rPr>
            </w:pPr>
          </w:p>
        </w:tc>
        <w:tc>
          <w:tcPr>
            <w:tcW w:w="1260" w:type="dxa"/>
            <w:vAlign w:val="bottom"/>
            <w:tcBorders>
              <w:top w:val="single" w:sz="8" w:color="51555C"/>
            </w:tcBorders>
          </w:tcPr>
          <w:p>
            <w:pPr>
              <w:jc w:val="right"/>
              <w:ind w:right="15"/>
              <w:spacing w:after="0"/>
              <w:rPr>
                <w:sz w:val="20"/>
                <w:szCs w:val="20"/>
                <w:color w:val="auto"/>
              </w:rPr>
            </w:pPr>
            <w:r>
              <w:rPr>
                <w:rFonts w:ascii="Arial" w:cs="Arial" w:eastAsia="Arial" w:hAnsi="Arial"/>
                <w:sz w:val="18"/>
                <w:szCs w:val="18"/>
                <w:color w:val="51555C"/>
              </w:rPr>
              <w:t>1,110,443</w:t>
            </w:r>
          </w:p>
        </w:tc>
        <w:tc>
          <w:tcPr>
            <w:tcW w:w="100" w:type="dxa"/>
            <w:vAlign w:val="bottom"/>
          </w:tcPr>
          <w:p>
            <w:pPr>
              <w:spacing w:after="0"/>
              <w:rPr>
                <w:sz w:val="24"/>
                <w:szCs w:val="24"/>
                <w:color w:val="auto"/>
              </w:rPr>
            </w:pPr>
          </w:p>
        </w:tc>
        <w:tc>
          <w:tcPr>
            <w:tcW w:w="16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5.63 %</w:t>
            </w:r>
          </w:p>
        </w:tc>
        <w:tc>
          <w:tcPr>
            <w:tcW w:w="16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5.29 %</w:t>
            </w:r>
          </w:p>
        </w:tc>
        <w:tc>
          <w:tcPr>
            <w:tcW w:w="20" w:type="dxa"/>
            <w:vAlign w:val="bottom"/>
          </w:tcPr>
          <w:p>
            <w:pPr>
              <w:spacing w:after="0"/>
              <w:rPr>
                <w:sz w:val="24"/>
                <w:szCs w:val="24"/>
                <w:color w:val="auto"/>
              </w:rPr>
            </w:pPr>
          </w:p>
        </w:tc>
      </w:tr>
      <w:tr>
        <w:trPr>
          <w:trHeight w:val="23"/>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Unamortized discount and debt issuance costs</w:t>
            </w:r>
          </w:p>
        </w:tc>
        <w:tc>
          <w:tcPr>
            <w:tcW w:w="32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1,697</w:t>
            </w:r>
          </w:p>
        </w:tc>
        <w:tc>
          <w:tcPr>
            <w:tcW w:w="260" w:type="dxa"/>
            <w:vAlign w:val="bottom"/>
            <w:tcBorders>
              <w:bottom w:val="single" w:sz="8" w:color="EBFBFF"/>
            </w:tcBorders>
            <w:shd w:val="clear" w:color="auto" w:fill="EBFBFF"/>
          </w:tcPr>
          <w:p>
            <w:pPr>
              <w:spacing w:after="0"/>
              <w:rPr>
                <w:sz w:val="24"/>
                <w:szCs w:val="24"/>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746</w:t>
            </w:r>
          </w:p>
        </w:tc>
        <w:tc>
          <w:tcPr>
            <w:tcW w:w="100" w:type="dxa"/>
            <w:vAlign w:val="bottom"/>
            <w:tcBorders>
              <w:bottom w:val="single" w:sz="8" w:color="EBFBFF"/>
            </w:tcBorders>
            <w:shd w:val="clear" w:color="auto" w:fill="EBFBFF"/>
          </w:tcPr>
          <w:p>
            <w:pPr>
              <w:spacing w:after="0"/>
              <w:rPr>
                <w:sz w:val="24"/>
                <w:szCs w:val="24"/>
                <w:color w:val="auto"/>
              </w:rPr>
            </w:pPr>
          </w:p>
        </w:tc>
        <w:tc>
          <w:tcPr>
            <w:tcW w:w="1660" w:type="dxa"/>
            <w:vAlign w:val="bottom"/>
            <w:tcBorders>
              <w:bottom w:val="single" w:sz="8" w:color="EBFBFF"/>
            </w:tcBorders>
            <w:shd w:val="clear" w:color="auto" w:fill="EBFBFF"/>
          </w:tcPr>
          <w:p>
            <w:pPr>
              <w:spacing w:after="0"/>
              <w:rPr>
                <w:sz w:val="24"/>
                <w:szCs w:val="24"/>
                <w:color w:val="auto"/>
              </w:rPr>
            </w:pPr>
          </w:p>
        </w:tc>
        <w:tc>
          <w:tcPr>
            <w:tcW w:w="1640" w:type="dxa"/>
            <w:vAlign w:val="bottom"/>
            <w:tcBorders>
              <w:bottom w:val="single" w:sz="8" w:color="EBFBFF"/>
            </w:tcBorders>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800" w:type="dxa"/>
            <w:vAlign w:val="bottom"/>
          </w:tcPr>
          <w:p>
            <w:pPr>
              <w:ind w:left="20"/>
              <w:spacing w:after="0"/>
              <w:rPr>
                <w:sz w:val="20"/>
                <w:szCs w:val="20"/>
                <w:color w:val="auto"/>
              </w:rPr>
            </w:pPr>
            <w:r>
              <w:rPr>
                <w:rFonts w:ascii="Arial" w:cs="Arial" w:eastAsia="Arial" w:hAnsi="Arial"/>
                <w:sz w:val="18"/>
                <w:szCs w:val="18"/>
                <w:color w:val="51555C"/>
              </w:rPr>
              <w:t>Less: Debt, current portion</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22,654</w:t>
            </w:r>
          </w:p>
        </w:tc>
        <w:tc>
          <w:tcPr>
            <w:tcW w:w="260" w:type="dxa"/>
            <w:vAlign w:val="bottom"/>
          </w:tcPr>
          <w:p>
            <w:pPr>
              <w:spacing w:after="0"/>
              <w:rPr>
                <w:sz w:val="24"/>
                <w:szCs w:val="24"/>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22,660</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6.04 %</w:t>
            </w:r>
          </w:p>
        </w:tc>
        <w:tc>
          <w:tcPr>
            <w:tcW w:w="1640" w:type="dxa"/>
            <w:vAlign w:val="bottom"/>
          </w:tcPr>
          <w:p>
            <w:pPr>
              <w:jc w:val="right"/>
              <w:spacing w:after="0"/>
              <w:rPr>
                <w:sz w:val="20"/>
                <w:szCs w:val="20"/>
                <w:color w:val="auto"/>
              </w:rPr>
            </w:pPr>
            <w:r>
              <w:rPr>
                <w:rFonts w:ascii="Arial" w:cs="Arial" w:eastAsia="Arial" w:hAnsi="Arial"/>
                <w:sz w:val="18"/>
                <w:szCs w:val="18"/>
                <w:color w:val="51555C"/>
              </w:rPr>
              <w:t>5.49 %</w:t>
            </w:r>
          </w:p>
        </w:tc>
        <w:tc>
          <w:tcPr>
            <w:tcW w:w="20" w:type="dxa"/>
            <w:vAlign w:val="bottom"/>
          </w:tcPr>
          <w:p>
            <w:pPr>
              <w:spacing w:after="0"/>
              <w:rPr>
                <w:sz w:val="24"/>
                <w:szCs w:val="24"/>
                <w:color w:val="auto"/>
              </w:rPr>
            </w:pPr>
          </w:p>
        </w:tc>
      </w:tr>
      <w:tr>
        <w:trPr>
          <w:trHeight w:val="23"/>
        </w:trPr>
        <w:tc>
          <w:tcPr>
            <w:tcW w:w="480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120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2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660" w:type="dxa"/>
            <w:vAlign w:val="bottom"/>
            <w:tcBorders>
              <w:bottom w:val="single" w:sz="8" w:color="51555C"/>
            </w:tcBorders>
          </w:tcPr>
          <w:p>
            <w:pPr>
              <w:spacing w:after="0"/>
              <w:rPr>
                <w:sz w:val="2"/>
                <w:szCs w:val="2"/>
                <w:color w:val="auto"/>
              </w:rPr>
            </w:pPr>
          </w:p>
        </w:tc>
        <w:tc>
          <w:tcPr>
            <w:tcW w:w="16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98"/>
        </w:trPr>
        <w:tc>
          <w:tcPr>
            <w:tcW w:w="4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Debt, net of current portion</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1,022,143</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1,087,037</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5.62 %</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5.28 %</w:t>
            </w:r>
          </w:p>
        </w:tc>
        <w:tc>
          <w:tcPr>
            <w:tcW w:w="20" w:type="dxa"/>
            <w:vAlign w:val="bottom"/>
          </w:tcPr>
          <w:p>
            <w:pPr>
              <w:spacing w:after="0"/>
              <w:rPr>
                <w:sz w:val="24"/>
                <w:szCs w:val="24"/>
                <w:color w:val="auto"/>
              </w:rPr>
            </w:pPr>
          </w:p>
        </w:tc>
      </w:tr>
      <w:tr>
        <w:trPr>
          <w:trHeight w:val="20"/>
        </w:trPr>
        <w:tc>
          <w:tcPr>
            <w:tcW w:w="480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26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-2150745</wp:posOffset>
            </wp:positionV>
            <wp:extent cx="40976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2024 Credit Facilities</w:t>
      </w:r>
    </w:p>
    <w:p>
      <w:pPr>
        <w:spacing w:after="0" w:line="17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51555C"/>
        </w:rPr>
        <w:t>In April 2024, we entered into a five-year $1.5 billion senior credit facility (the "2024 Credit Facilities"). At September 30, 2026, we were in compliance with our debt covenants under the 2024 Credit Facilities.</w:t>
      </w:r>
    </w:p>
    <w:p>
      <w:pPr>
        <w:spacing w:after="0" w:line="29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12</w:t>
      </w:r>
      <w:r>
        <w:rPr>
          <w:sz w:val="20"/>
          <w:szCs w:val="20"/>
          <w:color w:val="auto"/>
        </w:rPr>
        <w:tab/>
      </w:r>
      <w:r>
        <w:rPr>
          <w:sz w:val="1"/>
          <w:szCs w:val="1"/>
          <w:color w:val="auto"/>
        </w:rPr>
        <w:drawing>
          <wp:inline distT="0" distB="0" distL="0" distR="0">
            <wp:extent cx="651510" cy="171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487"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Real estate loans</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September 30, 2026, we were in compliance with our debt covenants under the Real Estate Loans.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debt</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From time to time, we enter into third-party financing agreements for purchases of software and related services for our internal use. Generally, the agreements are non-interest-bearing notes requiring periodic payments. Interest associated with the notes is imputed at the rate we would incur for amounts borrowed under our then-existing credit facility at the inception of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our currently effective supplier financing agreements as of September 30, 2026: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shd w:val="clear" w:color="auto" w:fill="004054"/>
          </w:tcPr>
          <w:p>
            <w:pPr>
              <w:spacing w:after="0"/>
              <w:rPr>
                <w:sz w:val="17"/>
                <w:szCs w:val="17"/>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First Payment</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004054"/>
          </w:tcPr>
          <w:p>
            <w:pPr>
              <w:spacing w:after="0"/>
              <w:rPr>
                <w:sz w:val="17"/>
                <w:szCs w:val="17"/>
                <w:color w:val="auto"/>
              </w:rPr>
            </w:pPr>
          </w:p>
        </w:tc>
      </w:tr>
      <w:tr>
        <w:trPr>
          <w:trHeight w:val="205"/>
        </w:trPr>
        <w:tc>
          <w:tcPr>
            <w:tcW w:w="48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Payments</w:t>
            </w:r>
          </w:p>
        </w:tc>
        <w:tc>
          <w:tcPr>
            <w:tcW w:w="16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Due</w:t>
            </w:r>
          </w:p>
        </w:tc>
        <w:tc>
          <w:tcPr>
            <w:tcW w:w="360" w:type="dxa"/>
            <w:vAlign w:val="bottom"/>
            <w:tcBorders>
              <w:bottom w:val="single" w:sz="8" w:color="004054"/>
            </w:tcBorders>
            <w:shd w:val="clear" w:color="auto" w:fill="004054"/>
          </w:tcPr>
          <w:p>
            <w:pPr>
              <w:spacing w:after="0"/>
              <w:rPr>
                <w:sz w:val="17"/>
                <w:szCs w:val="17"/>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004054"/>
            </w:tcBorders>
            <w:shd w:val="clear" w:color="auto" w:fill="004054"/>
          </w:tcPr>
          <w:p>
            <w:pPr>
              <w:spacing w:after="0"/>
              <w:rPr>
                <w:sz w:val="17"/>
                <w:szCs w:val="17"/>
                <w:color w:val="auto"/>
              </w:rPr>
            </w:pPr>
          </w:p>
        </w:tc>
      </w:tr>
      <w:tr>
        <w:trPr>
          <w:trHeight w:val="432"/>
        </w:trPr>
        <w:tc>
          <w:tcPr>
            <w:tcW w:w="488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 xml:space="preserve">Effective dates of agreements </w:t>
            </w:r>
            <w:r>
              <w:rPr>
                <w:rFonts w:ascii="Arial" w:cs="Arial" w:eastAsia="Arial" w:hAnsi="Arial"/>
                <w:sz w:val="23"/>
                <w:szCs w:val="23"/>
                <w:b w:val="1"/>
                <w:bCs w:val="1"/>
                <w:color w:val="51555C"/>
                <w:vertAlign w:val="superscript"/>
              </w:rPr>
              <w:t>(1)</w:t>
            </w:r>
            <w:r>
              <w:rPr>
                <w:rFonts w:ascii="Arial" w:cs="Arial" w:eastAsia="Arial" w:hAnsi="Arial"/>
                <w:sz w:val="18"/>
                <w:szCs w:val="18"/>
                <w:b w:val="1"/>
                <w:bCs w:val="1"/>
                <w:color w:val="51555C"/>
              </w:rPr>
              <w:t>:</w:t>
            </w:r>
          </w:p>
        </w:tc>
        <w:tc>
          <w:tcPr>
            <w:tcW w:w="152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1640" w:type="dxa"/>
            <w:vAlign w:val="bottom"/>
            <w:shd w:val="clear" w:color="auto" w:fill="EBFBFF"/>
          </w:tcPr>
          <w:p>
            <w:pPr>
              <w:spacing w:after="0"/>
              <w:rPr>
                <w:sz w:val="24"/>
                <w:szCs w:val="24"/>
                <w:color w:val="auto"/>
              </w:rPr>
            </w:pPr>
          </w:p>
        </w:tc>
        <w:tc>
          <w:tcPr>
            <w:tcW w:w="360" w:type="dxa"/>
            <w:vAlign w:val="bottom"/>
            <w:shd w:val="clear" w:color="auto" w:fill="EBFBFF"/>
          </w:tcPr>
          <w:p>
            <w:pPr>
              <w:spacing w:after="0"/>
              <w:rPr>
                <w:sz w:val="24"/>
                <w:szCs w:val="24"/>
                <w:color w:val="auto"/>
              </w:rPr>
            </w:pPr>
          </w:p>
        </w:tc>
        <w:tc>
          <w:tcPr>
            <w:tcW w:w="118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4880" w:type="dxa"/>
            <w:vAlign w:val="bottom"/>
          </w:tcPr>
          <w:p>
            <w:pPr>
              <w:ind w:left="140"/>
              <w:spacing w:after="0"/>
              <w:rPr>
                <w:sz w:val="20"/>
                <w:szCs w:val="20"/>
                <w:color w:val="auto"/>
              </w:rPr>
            </w:pPr>
            <w:r>
              <w:rPr>
                <w:rFonts w:ascii="Arial" w:cs="Arial" w:eastAsia="Arial" w:hAnsi="Arial"/>
                <w:sz w:val="18"/>
                <w:szCs w:val="18"/>
                <w:color w:val="51555C"/>
              </w:rPr>
              <w:t>April 2024</w:t>
            </w:r>
          </w:p>
        </w:tc>
        <w:tc>
          <w:tcPr>
            <w:tcW w:w="1520" w:type="dxa"/>
            <w:vAlign w:val="bottom"/>
          </w:tcPr>
          <w:p>
            <w:pPr>
              <w:jc w:val="right"/>
              <w:spacing w:after="0"/>
              <w:rPr>
                <w:sz w:val="20"/>
                <w:szCs w:val="20"/>
                <w:color w:val="auto"/>
              </w:rPr>
            </w:pPr>
            <w:r>
              <w:rPr>
                <w:rFonts w:ascii="Arial" w:cs="Arial" w:eastAsia="Arial" w:hAnsi="Arial"/>
                <w:sz w:val="18"/>
                <w:szCs w:val="18"/>
                <w:color w:val="51555C"/>
              </w:rPr>
              <w:t>36</w:t>
            </w:r>
          </w:p>
        </w:tc>
        <w:tc>
          <w:tcPr>
            <w:tcW w:w="1660" w:type="dxa"/>
            <w:vAlign w:val="bottom"/>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Pr>
          <w:p>
            <w:pPr>
              <w:jc w:val="right"/>
              <w:spacing w:after="0"/>
              <w:rPr>
                <w:sz w:val="20"/>
                <w:szCs w:val="20"/>
                <w:color w:val="auto"/>
              </w:rPr>
            </w:pPr>
            <w:r>
              <w:rPr>
                <w:rFonts w:ascii="Arial" w:cs="Arial" w:eastAsia="Arial" w:hAnsi="Arial"/>
                <w:sz w:val="18"/>
                <w:szCs w:val="18"/>
                <w:color w:val="51555C"/>
              </w:rPr>
              <w:t>May 2024</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51555C"/>
              </w:rPr>
              <w:t>2,073</w:t>
            </w:r>
          </w:p>
        </w:tc>
        <w:tc>
          <w:tcPr>
            <w:tcW w:w="20" w:type="dxa"/>
            <w:vAlign w:val="bottom"/>
          </w:tcPr>
          <w:p>
            <w:pPr>
              <w:spacing w:after="0"/>
              <w:rPr>
                <w:sz w:val="24"/>
                <w:szCs w:val="24"/>
                <w:color w:val="auto"/>
              </w:rPr>
            </w:pPr>
          </w:p>
        </w:tc>
      </w:tr>
      <w:tr>
        <w:trPr>
          <w:trHeight w:val="23"/>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8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January 2026</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60</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October 2026</w:t>
            </w:r>
          </w:p>
        </w:tc>
        <w:tc>
          <w:tcPr>
            <w:tcW w:w="36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13,802</w:t>
            </w:r>
          </w:p>
        </w:tc>
        <w:tc>
          <w:tcPr>
            <w:tcW w:w="20" w:type="dxa"/>
            <w:vAlign w:val="bottom"/>
          </w:tcPr>
          <w:p>
            <w:pPr>
              <w:spacing w:after="0"/>
              <w:rPr>
                <w:sz w:val="24"/>
                <w:szCs w:val="24"/>
                <w:color w:val="auto"/>
              </w:rPr>
            </w:pPr>
          </w:p>
        </w:tc>
      </w:tr>
      <w:tr>
        <w:trPr>
          <w:trHeight w:val="20"/>
        </w:trPr>
        <w:tc>
          <w:tcPr>
            <w:tcW w:w="488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Represent noncash investing and financing transactions during the periods indicated as we purchased software and services by assuming directly related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supplier financing obligations during the nine months ended September 30, 2026,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004054"/>
            </w:tcBorders>
            <w:shd w:val="clear" w:color="auto" w:fill="004054"/>
          </w:tcPr>
          <w:p>
            <w:pPr>
              <w:spacing w:after="0"/>
              <w:rPr>
                <w:sz w:val="20"/>
                <w:szCs w:val="20"/>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20"/>
                <w:szCs w:val="20"/>
                <w:color w:val="auto"/>
              </w:rPr>
            </w:pPr>
          </w:p>
        </w:tc>
      </w:tr>
      <w:tr>
        <w:trPr>
          <w:trHeight w:val="432"/>
        </w:trPr>
        <w:tc>
          <w:tcPr>
            <w:tcW w:w="97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Balance at December 31, 2025</w:t>
            </w:r>
          </w:p>
        </w:tc>
        <w:tc>
          <w:tcPr>
            <w:tcW w:w="520" w:type="dxa"/>
            <w:vAlign w:val="bottom"/>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691</w:t>
            </w:r>
          </w:p>
        </w:tc>
        <w:tc>
          <w:tcPr>
            <w:tcW w:w="20" w:type="dxa"/>
            <w:vAlign w:val="bottom"/>
          </w:tcPr>
          <w:p>
            <w:pPr>
              <w:spacing w:after="0"/>
              <w:rPr>
                <w:sz w:val="24"/>
                <w:szCs w:val="24"/>
                <w:color w:val="auto"/>
              </w:rPr>
            </w:pPr>
          </w:p>
        </w:tc>
      </w:tr>
      <w:tr>
        <w:trPr>
          <w:trHeight w:val="301"/>
        </w:trPr>
        <w:tc>
          <w:tcPr>
            <w:tcW w:w="9700" w:type="dxa"/>
            <w:vAlign w:val="bottom"/>
          </w:tcPr>
          <w:p>
            <w:pPr>
              <w:ind w:left="140"/>
              <w:spacing w:after="0"/>
              <w:rPr>
                <w:sz w:val="20"/>
                <w:szCs w:val="20"/>
                <w:color w:val="auto"/>
              </w:rPr>
            </w:pPr>
            <w:r>
              <w:rPr>
                <w:rFonts w:ascii="Arial" w:cs="Arial" w:eastAsia="Arial" w:hAnsi="Arial"/>
                <w:sz w:val="18"/>
                <w:szCs w:val="18"/>
                <w:color w:val="51555C"/>
              </w:rPr>
              <w:t>Additions</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13,802</w:t>
            </w:r>
          </w:p>
        </w:tc>
        <w:tc>
          <w:tcPr>
            <w:tcW w:w="20" w:type="dxa"/>
            <w:vAlign w:val="bottom"/>
          </w:tcPr>
          <w:p>
            <w:pPr>
              <w:spacing w:after="0"/>
              <w:rPr>
                <w:sz w:val="24"/>
                <w:szCs w:val="24"/>
                <w:color w:val="auto"/>
              </w:rPr>
            </w:pPr>
          </w:p>
        </w:tc>
      </w:tr>
      <w:tr>
        <w:trPr>
          <w:trHeight w:val="23"/>
        </w:trPr>
        <w:tc>
          <w:tcPr>
            <w:tcW w:w="9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97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Payments</w:t>
            </w:r>
          </w:p>
        </w:tc>
        <w:tc>
          <w:tcPr>
            <w:tcW w:w="520" w:type="dxa"/>
            <w:vAlign w:val="bottom"/>
            <w:tcBorders>
              <w:bottom w:val="single" w:sz="8" w:color="EBFBFF"/>
            </w:tcBorders>
            <w:shd w:val="clear" w:color="auto" w:fill="EBFBFF"/>
          </w:tcPr>
          <w:p>
            <w:pPr>
              <w:spacing w:after="0"/>
              <w:rPr>
                <w:sz w:val="24"/>
                <w:szCs w:val="24"/>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(691)</w:t>
            </w:r>
          </w:p>
        </w:tc>
        <w:tc>
          <w:tcPr>
            <w:tcW w:w="20" w:type="dxa"/>
            <w:vAlign w:val="bottom"/>
          </w:tcPr>
          <w:p>
            <w:pPr>
              <w:spacing w:after="0"/>
              <w:rPr>
                <w:sz w:val="24"/>
                <w:szCs w:val="24"/>
                <w:color w:val="auto"/>
              </w:rPr>
            </w:pPr>
          </w:p>
        </w:tc>
      </w:tr>
      <w:tr>
        <w:trPr>
          <w:trHeight w:val="311"/>
        </w:trPr>
        <w:tc>
          <w:tcPr>
            <w:tcW w:w="970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Balance at September 30, 2026</w:t>
            </w:r>
          </w:p>
        </w:tc>
        <w:tc>
          <w:tcPr>
            <w:tcW w:w="520" w:type="dxa"/>
            <w:vAlign w:val="bottom"/>
            <w:tcBorders>
              <w:top w:val="single" w:sz="8" w:color="51555C"/>
              <w:bottom w:val="single" w:sz="8" w:color="0CD973"/>
            </w:tcBorders>
          </w:tcPr>
          <w:p>
            <w:pPr>
              <w:jc w:val="right"/>
              <w:ind w:right="31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13,802</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7.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All of our derivative instruments are governed by International Swap Dealers Association, Inc. master agreements with our counterparties. As of September 30, 2026 and December 31, 2025, we have presented the fair value of our derivative instruments at the gross amounts in the unaudited, condensed consolidated balance sheets as the gross fair values of our derivative instruments equaled their net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Cash flow hedges</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As of September 30, 2026 and December 31, 2025, the aggregate notional values of the interest rate swaps were $700.0 million. All of the contracts have maturities on or before February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194945</wp:posOffset>
            </wp:positionV>
            <wp:extent cx="65976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13</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September 30, 2026 and December 31, 2025, the aggregate notional values of the foreign currency forward contracts designated as cash flow hedges that we held to buy USD in exchange for Canadian Dollars were $36.8 million CAD and $32.9 million CAD, respectively. All of the contracts have maturities of 12 months or less.</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In September 2026, we entered into foreign currency forward contracts to hedge operating expenses denominated in the Indian rupee ("INR") against changes in the exchange rate with USD. We designated each of these foreign currency forward contracts as cash flow hedges at the inception of the contracts. As of September 30, 2026, the aggregate notional values of the foreign currency forward contracts designated as cash flow hedges that we held to buy Indian rupees in exchange for USD was $19.8 million. All of the contracts have maturities of 12 months or less.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Net investment hedges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September 30, 2026 and December 31, 2025, the aggregate notional values of the foreign currency forward contracts designated as net investment hedges to reduce the volatility of the U.S. dollar value of a portion of our GBP-denominated investments was £8.8 million and £12.0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1555C"/>
        </w:rPr>
        <w:t>The fair values of our derivative instruments were as follows as of: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0" w:type="dxa"/>
            <w:vAlign w:val="bottom"/>
            <w:shd w:val="clear" w:color="auto" w:fill="004054"/>
          </w:tcPr>
          <w:p>
            <w:pPr>
              <w:spacing w:after="0"/>
              <w:rPr>
                <w:sz w:val="19"/>
                <w:szCs w:val="19"/>
                <w:color w:val="auto"/>
              </w:rPr>
            </w:pPr>
          </w:p>
        </w:tc>
        <w:tc>
          <w:tcPr>
            <w:tcW w:w="1180" w:type="dxa"/>
            <w:vAlign w:val="bottom"/>
            <w:shd w:val="clear" w:color="auto" w:fill="004054"/>
          </w:tcPr>
          <w:p>
            <w:pPr>
              <w:spacing w:after="0"/>
              <w:rPr>
                <w:sz w:val="19"/>
                <w:szCs w:val="19"/>
                <w:color w:val="auto"/>
              </w:rPr>
            </w:pPr>
          </w:p>
        </w:tc>
        <w:tc>
          <w:tcPr>
            <w:tcW w:w="168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060" w:type="dxa"/>
            <w:vAlign w:val="bottom"/>
            <w:shd w:val="clear" w:color="auto" w:fill="004054"/>
          </w:tcPr>
          <w:p>
            <w:pPr>
              <w:spacing w:after="0"/>
              <w:rPr>
                <w:sz w:val="19"/>
                <w:szCs w:val="19"/>
                <w:color w:val="auto"/>
              </w:rPr>
            </w:pPr>
          </w:p>
        </w:tc>
        <w:tc>
          <w:tcPr>
            <w:tcW w:w="126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Asset derivatives</w:t>
            </w:r>
          </w:p>
        </w:tc>
        <w:tc>
          <w:tcPr>
            <w:tcW w:w="100" w:type="dxa"/>
            <w:vAlign w:val="bottom"/>
          </w:tcPr>
          <w:p>
            <w:pPr>
              <w:spacing w:after="0"/>
              <w:rPr>
                <w:sz w:val="19"/>
                <w:szCs w:val="19"/>
                <w:color w:val="auto"/>
              </w:rPr>
            </w:pPr>
          </w:p>
        </w:tc>
        <w:tc>
          <w:tcPr>
            <w:tcW w:w="1660" w:type="dxa"/>
            <w:vAlign w:val="bottom"/>
            <w:shd w:val="clear" w:color="auto" w:fill="004054"/>
          </w:tcPr>
          <w:p>
            <w:pPr>
              <w:spacing w:after="0"/>
              <w:rPr>
                <w:sz w:val="19"/>
                <w:szCs w:val="19"/>
                <w:color w:val="auto"/>
              </w:rPr>
            </w:pPr>
          </w:p>
        </w:tc>
        <w:tc>
          <w:tcPr>
            <w:tcW w:w="200" w:type="dxa"/>
            <w:vAlign w:val="bottom"/>
            <w:shd w:val="clear" w:color="auto" w:fill="004054"/>
          </w:tcPr>
          <w:p>
            <w:pPr>
              <w:spacing w:after="0"/>
              <w:rPr>
                <w:sz w:val="19"/>
                <w:szCs w:val="19"/>
                <w:color w:val="auto"/>
              </w:rPr>
            </w:pPr>
          </w:p>
        </w:tc>
        <w:tc>
          <w:tcPr>
            <w:tcW w:w="23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Liability derivatives</w:t>
            </w:r>
          </w:p>
        </w:tc>
        <w:tc>
          <w:tcPr>
            <w:tcW w:w="20" w:type="dxa"/>
            <w:vAlign w:val="bottom"/>
            <w:shd w:val="clear" w:color="auto" w:fill="004054"/>
          </w:tcPr>
          <w:p>
            <w:pPr>
              <w:spacing w:after="0"/>
              <w:rPr>
                <w:sz w:val="19"/>
                <w:szCs w:val="19"/>
                <w:color w:val="auto"/>
              </w:rPr>
            </w:pPr>
          </w:p>
        </w:tc>
      </w:tr>
      <w:tr>
        <w:trPr>
          <w:trHeight w:val="222"/>
        </w:trPr>
        <w:tc>
          <w:tcPr>
            <w:tcW w:w="1600" w:type="dxa"/>
            <w:vAlign w:val="bottom"/>
            <w:shd w:val="clear" w:color="auto" w:fill="004054"/>
          </w:tcPr>
          <w:p>
            <w:pPr>
              <w:spacing w:after="0"/>
              <w:rPr>
                <w:sz w:val="19"/>
                <w:szCs w:val="19"/>
                <w:color w:val="auto"/>
              </w:rPr>
            </w:pPr>
          </w:p>
        </w:tc>
        <w:tc>
          <w:tcPr>
            <w:tcW w:w="1180" w:type="dxa"/>
            <w:vAlign w:val="bottom"/>
            <w:shd w:val="clear" w:color="auto" w:fill="004054"/>
          </w:tcPr>
          <w:p>
            <w:pPr>
              <w:spacing w:after="0"/>
              <w:rPr>
                <w:sz w:val="19"/>
                <w:szCs w:val="19"/>
                <w:color w:val="auto"/>
              </w:rPr>
            </w:pPr>
          </w:p>
        </w:tc>
        <w:tc>
          <w:tcPr>
            <w:tcW w:w="168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20" w:type="dxa"/>
            <w:vAlign w:val="bottom"/>
            <w:shd w:val="clear" w:color="auto" w:fill="004054"/>
          </w:tcPr>
          <w:p>
            <w:pPr>
              <w:spacing w:after="0"/>
              <w:rPr>
                <w:sz w:val="19"/>
                <w:szCs w:val="19"/>
                <w:color w:val="auto"/>
              </w:rPr>
            </w:pPr>
          </w:p>
        </w:tc>
        <w:tc>
          <w:tcPr>
            <w:tcW w:w="104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9"/>
                <w:szCs w:val="19"/>
                <w:color w:val="auto"/>
              </w:rPr>
            </w:pPr>
          </w:p>
        </w:tc>
        <w:tc>
          <w:tcPr>
            <w:tcW w:w="1660" w:type="dxa"/>
            <w:vAlign w:val="bottom"/>
            <w:shd w:val="clear" w:color="auto" w:fill="004054"/>
          </w:tcPr>
          <w:p>
            <w:pPr>
              <w:spacing w:after="0"/>
              <w:rPr>
                <w:sz w:val="19"/>
                <w:szCs w:val="19"/>
                <w:color w:val="auto"/>
              </w:rPr>
            </w:pPr>
          </w:p>
        </w:tc>
        <w:tc>
          <w:tcPr>
            <w:tcW w:w="20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2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9"/>
                <w:szCs w:val="19"/>
                <w:color w:val="auto"/>
              </w:rPr>
            </w:pPr>
          </w:p>
        </w:tc>
      </w:tr>
      <w:tr>
        <w:trPr>
          <w:trHeight w:val="205"/>
        </w:trPr>
        <w:tc>
          <w:tcPr>
            <w:tcW w:w="16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180" w:type="dxa"/>
            <w:vAlign w:val="bottom"/>
            <w:tcBorders>
              <w:bottom w:val="single" w:sz="8" w:color="004054"/>
            </w:tcBorders>
            <w:shd w:val="clear" w:color="auto" w:fill="004054"/>
          </w:tcPr>
          <w:p>
            <w:pPr>
              <w:spacing w:after="0"/>
              <w:rPr>
                <w:sz w:val="17"/>
                <w:szCs w:val="17"/>
                <w:color w:val="auto"/>
              </w:rPr>
            </w:pPr>
          </w:p>
        </w:tc>
        <w:tc>
          <w:tcPr>
            <w:tcW w:w="16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180" w:type="dxa"/>
            <w:vAlign w:val="bottom"/>
            <w:tcBorders>
              <w:bottom w:val="single" w:sz="8" w:color="004054"/>
            </w:tcBorders>
            <w:shd w:val="clear" w:color="auto" w:fill="004054"/>
          </w:tcPr>
          <w:p>
            <w:pPr>
              <w:spacing w:after="0"/>
              <w:rPr>
                <w:sz w:val="17"/>
                <w:szCs w:val="17"/>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20" w:type="dxa"/>
            <w:vAlign w:val="bottom"/>
            <w:tcBorders>
              <w:bottom w:val="single" w:sz="8" w:color="004054"/>
            </w:tcBorders>
            <w:shd w:val="clear" w:color="auto" w:fill="004054"/>
          </w:tcPr>
          <w:p>
            <w:pPr>
              <w:spacing w:after="0"/>
              <w:rPr>
                <w:sz w:val="17"/>
                <w:szCs w:val="17"/>
                <w:color w:val="auto"/>
              </w:rPr>
            </w:pPr>
          </w:p>
        </w:tc>
        <w:tc>
          <w:tcPr>
            <w:tcW w:w="104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17"/>
                <w:szCs w:val="17"/>
                <w:color w:val="auto"/>
              </w:rPr>
            </w:pP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200" w:type="dxa"/>
            <w:vAlign w:val="bottom"/>
            <w:tcBorders>
              <w:bottom w:val="single" w:sz="8" w:color="004054"/>
            </w:tcBorders>
            <w:shd w:val="clear" w:color="auto" w:fill="004054"/>
          </w:tcPr>
          <w:p>
            <w:pPr>
              <w:spacing w:after="0"/>
              <w:rPr>
                <w:sz w:val="17"/>
                <w:szCs w:val="17"/>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20" w:type="dxa"/>
            <w:vAlign w:val="bottom"/>
            <w:tcBorders>
              <w:bottom w:val="single" w:sz="8" w:color="004054"/>
            </w:tcBorders>
            <w:shd w:val="clear" w:color="auto" w:fill="004054"/>
          </w:tcPr>
          <w:p>
            <w:pPr>
              <w:spacing w:after="0"/>
              <w:rPr>
                <w:sz w:val="17"/>
                <w:szCs w:val="17"/>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86"/>
        </w:trPr>
        <w:tc>
          <w:tcPr>
            <w:tcW w:w="27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Derivative instruments</w:t>
            </w:r>
          </w:p>
        </w:tc>
        <w:tc>
          <w:tcPr>
            <w:tcW w:w="1680" w:type="dxa"/>
            <w:vAlign w:val="bottom"/>
            <w:shd w:val="clear" w:color="auto" w:fill="EBFBFF"/>
          </w:tcPr>
          <w:p>
            <w:pPr>
              <w:spacing w:after="0"/>
              <w:rPr>
                <w:sz w:val="24"/>
                <w:szCs w:val="24"/>
                <w:color w:val="auto"/>
              </w:rPr>
            </w:pPr>
          </w:p>
        </w:tc>
        <w:tc>
          <w:tcPr>
            <w:tcW w:w="18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2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20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2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designated as hedging</w:t>
            </w:r>
          </w:p>
        </w:tc>
        <w:tc>
          <w:tcPr>
            <w:tcW w:w="168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1040" w:type="dxa"/>
            <w:vAlign w:val="bottom"/>
            <w:tcBorders>
              <w:right w:val="single" w:sz="8" w:color="EBFBFF"/>
            </w:tcBorders>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166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62"/>
        </w:trPr>
        <w:tc>
          <w:tcPr>
            <w:tcW w:w="16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instruments:</w:t>
            </w:r>
          </w:p>
        </w:tc>
        <w:tc>
          <w:tcPr>
            <w:tcW w:w="1180" w:type="dxa"/>
            <w:vAlign w:val="bottom"/>
            <w:shd w:val="clear" w:color="auto" w:fill="EBFBFF"/>
          </w:tcPr>
          <w:p>
            <w:pPr>
              <w:spacing w:after="0"/>
              <w:rPr>
                <w:sz w:val="22"/>
                <w:szCs w:val="22"/>
                <w:color w:val="auto"/>
              </w:rPr>
            </w:pPr>
          </w:p>
        </w:tc>
        <w:tc>
          <w:tcPr>
            <w:tcW w:w="1680" w:type="dxa"/>
            <w:vAlign w:val="bottom"/>
            <w:shd w:val="clear" w:color="auto" w:fill="EBFBFF"/>
          </w:tcPr>
          <w:p>
            <w:pPr>
              <w:spacing w:after="0"/>
              <w:rPr>
                <w:sz w:val="22"/>
                <w:szCs w:val="22"/>
                <w:color w:val="auto"/>
              </w:rPr>
            </w:pPr>
          </w:p>
        </w:tc>
        <w:tc>
          <w:tcPr>
            <w:tcW w:w="180" w:type="dxa"/>
            <w:vAlign w:val="bottom"/>
            <w:shd w:val="clear" w:color="auto" w:fill="EBFBFF"/>
          </w:tcPr>
          <w:p>
            <w:pPr>
              <w:spacing w:after="0"/>
              <w:rPr>
                <w:sz w:val="22"/>
                <w:szCs w:val="22"/>
                <w:color w:val="auto"/>
              </w:rPr>
            </w:pPr>
          </w:p>
        </w:tc>
        <w:tc>
          <w:tcPr>
            <w:tcW w:w="1060" w:type="dxa"/>
            <w:vAlign w:val="bottom"/>
            <w:shd w:val="clear" w:color="auto" w:fill="EBFBFF"/>
          </w:tcPr>
          <w:p>
            <w:pPr>
              <w:spacing w:after="0"/>
              <w:rPr>
                <w:sz w:val="22"/>
                <w:szCs w:val="22"/>
                <w:color w:val="auto"/>
              </w:rPr>
            </w:pPr>
          </w:p>
        </w:tc>
        <w:tc>
          <w:tcPr>
            <w:tcW w:w="220" w:type="dxa"/>
            <w:vAlign w:val="bottom"/>
            <w:shd w:val="clear" w:color="auto" w:fill="EBFBFF"/>
          </w:tcPr>
          <w:p>
            <w:pPr>
              <w:spacing w:after="0"/>
              <w:rPr>
                <w:sz w:val="22"/>
                <w:szCs w:val="22"/>
                <w:color w:val="auto"/>
              </w:rPr>
            </w:pPr>
          </w:p>
        </w:tc>
        <w:tc>
          <w:tcPr>
            <w:tcW w:w="1040" w:type="dxa"/>
            <w:vAlign w:val="bottom"/>
            <w:tcBorders>
              <w:right w:val="single" w:sz="8" w:color="EBFBFF"/>
            </w:tcBorders>
            <w:shd w:val="clear" w:color="auto" w:fill="EBFBFF"/>
          </w:tcPr>
          <w:p>
            <w:pPr>
              <w:spacing w:after="0"/>
              <w:rPr>
                <w:sz w:val="22"/>
                <w:szCs w:val="22"/>
                <w:color w:val="auto"/>
              </w:rPr>
            </w:pPr>
          </w:p>
        </w:tc>
        <w:tc>
          <w:tcPr>
            <w:tcW w:w="100" w:type="dxa"/>
            <w:vAlign w:val="bottom"/>
            <w:shd w:val="clear" w:color="auto" w:fill="EBFBFF"/>
          </w:tcPr>
          <w:p>
            <w:pPr>
              <w:spacing w:after="0"/>
              <w:rPr>
                <w:sz w:val="22"/>
                <w:szCs w:val="22"/>
                <w:color w:val="auto"/>
              </w:rPr>
            </w:pPr>
          </w:p>
        </w:tc>
        <w:tc>
          <w:tcPr>
            <w:tcW w:w="1660" w:type="dxa"/>
            <w:vAlign w:val="bottom"/>
            <w:shd w:val="clear" w:color="auto" w:fill="EBFBFF"/>
          </w:tcPr>
          <w:p>
            <w:pPr>
              <w:spacing w:after="0"/>
              <w:rPr>
                <w:sz w:val="22"/>
                <w:szCs w:val="22"/>
                <w:color w:val="auto"/>
              </w:rPr>
            </w:pPr>
          </w:p>
        </w:tc>
        <w:tc>
          <w:tcPr>
            <w:tcW w:w="200" w:type="dxa"/>
            <w:vAlign w:val="bottom"/>
            <w:shd w:val="clear" w:color="auto" w:fill="EBFBFF"/>
          </w:tcPr>
          <w:p>
            <w:pPr>
              <w:spacing w:after="0"/>
              <w:rPr>
                <w:sz w:val="22"/>
                <w:szCs w:val="22"/>
                <w:color w:val="auto"/>
              </w:rPr>
            </w:pPr>
          </w:p>
        </w:tc>
        <w:tc>
          <w:tcPr>
            <w:tcW w:w="1060" w:type="dxa"/>
            <w:vAlign w:val="bottom"/>
            <w:shd w:val="clear" w:color="auto" w:fill="EBFBFF"/>
          </w:tcPr>
          <w:p>
            <w:pPr>
              <w:spacing w:after="0"/>
              <w:rPr>
                <w:sz w:val="22"/>
                <w:szCs w:val="22"/>
                <w:color w:val="auto"/>
              </w:rPr>
            </w:pPr>
          </w:p>
        </w:tc>
        <w:tc>
          <w:tcPr>
            <w:tcW w:w="220" w:type="dxa"/>
            <w:vAlign w:val="bottom"/>
            <w:shd w:val="clear" w:color="auto" w:fill="EBFBFF"/>
          </w:tcPr>
          <w:p>
            <w:pPr>
              <w:spacing w:after="0"/>
              <w:rPr>
                <w:sz w:val="22"/>
                <w:szCs w:val="22"/>
                <w:color w:val="auto"/>
              </w:rPr>
            </w:pPr>
          </w:p>
        </w:tc>
        <w:tc>
          <w:tcPr>
            <w:tcW w:w="104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2780" w:type="dxa"/>
            <w:vAlign w:val="bottom"/>
            <w:gridSpan w:val="2"/>
          </w:tcPr>
          <w:p>
            <w:pPr>
              <w:ind w:left="140"/>
              <w:spacing w:after="0"/>
              <w:rPr>
                <w:sz w:val="20"/>
                <w:szCs w:val="20"/>
                <w:color w:val="auto"/>
              </w:rPr>
            </w:pPr>
            <w:r>
              <w:rPr>
                <w:rFonts w:ascii="Arial" w:cs="Arial" w:eastAsia="Arial" w:hAnsi="Arial"/>
                <w:sz w:val="18"/>
                <w:szCs w:val="18"/>
                <w:color w:val="51555C"/>
              </w:rPr>
              <w:t>Interest rate swaps, current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51555C"/>
              </w:rPr>
              <w:t>Prepaid expenses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51555C"/>
              </w:rPr>
              <w:t>Accrued expenses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1600" w:type="dxa"/>
            <w:vAlign w:val="bottom"/>
          </w:tcPr>
          <w:p>
            <w:pPr>
              <w:ind w:left="140"/>
              <w:spacing w:after="0"/>
              <w:rPr>
                <w:sz w:val="20"/>
                <w:szCs w:val="20"/>
                <w:color w:val="auto"/>
              </w:rPr>
            </w:pPr>
            <w:r>
              <w:rPr>
                <w:rFonts w:ascii="Arial" w:cs="Arial" w:eastAsia="Arial" w:hAnsi="Arial"/>
                <w:sz w:val="18"/>
                <w:szCs w:val="18"/>
                <w:color w:val="51555C"/>
              </w:rPr>
              <w:t>portion</w:t>
            </w:r>
          </w:p>
        </w:tc>
        <w:tc>
          <w:tcPr>
            <w:tcW w:w="1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51555C"/>
              </w:rPr>
              <w:t>and other current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51555C"/>
              </w:rPr>
              <w:t>and other current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1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51555C"/>
              </w:rPr>
              <w:t>assets $</w:t>
            </w:r>
          </w:p>
        </w:tc>
        <w:tc>
          <w:tcPr>
            <w:tcW w:w="1060" w:type="dxa"/>
            <w:vAlign w:val="bottom"/>
          </w:tcPr>
          <w:p>
            <w:pPr>
              <w:jc w:val="right"/>
              <w:spacing w:after="0"/>
              <w:rPr>
                <w:sz w:val="20"/>
                <w:szCs w:val="20"/>
                <w:color w:val="auto"/>
              </w:rPr>
            </w:pPr>
            <w:r>
              <w:rPr>
                <w:rFonts w:ascii="Arial" w:cs="Arial" w:eastAsia="Arial" w:hAnsi="Arial"/>
                <w:sz w:val="18"/>
                <w:szCs w:val="18"/>
                <w:color w:val="51555C"/>
              </w:rPr>
              <w:t>517</w:t>
            </w:r>
          </w:p>
        </w:tc>
        <w:tc>
          <w:tcPr>
            <w:tcW w:w="220" w:type="dxa"/>
            <w:vAlign w:val="bottom"/>
          </w:tcPr>
          <w:p>
            <w:pPr>
              <w:jc w:val="right"/>
              <w:ind w:right="16"/>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239</w:t>
            </w:r>
          </w:p>
        </w:tc>
        <w:tc>
          <w:tcPr>
            <w:tcW w:w="10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51555C"/>
              </w:rPr>
              <w:t>liabilities $</w:t>
            </w:r>
          </w:p>
        </w:tc>
        <w:tc>
          <w:tcPr>
            <w:tcW w:w="1060" w:type="dxa"/>
            <w:vAlign w:val="bottom"/>
          </w:tcPr>
          <w:p>
            <w:pPr>
              <w:jc w:val="right"/>
              <w:spacing w:after="0"/>
              <w:rPr>
                <w:sz w:val="20"/>
                <w:szCs w:val="20"/>
                <w:color w:val="auto"/>
              </w:rPr>
            </w:pPr>
            <w:r>
              <w:rPr>
                <w:rFonts w:ascii="Arial" w:cs="Arial" w:eastAsia="Arial" w:hAnsi="Arial"/>
                <w:sz w:val="18"/>
                <w:szCs w:val="18"/>
                <w:color w:val="51555C"/>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0"/>
                <w:szCs w:val="20"/>
                <w:color w:val="auto"/>
              </w:rPr>
            </w:pPr>
          </w:p>
        </w:tc>
      </w:tr>
      <w:tr>
        <w:trPr>
          <w:trHeight w:val="23"/>
        </w:trPr>
        <w:tc>
          <w:tcPr>
            <w:tcW w:w="278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2780" w:type="dxa"/>
            <w:vAlign w:val="bottom"/>
            <w:gridSpan w:val="2"/>
            <w:shd w:val="clear" w:color="auto" w:fill="EBFBFF"/>
          </w:tcPr>
          <w:p>
            <w:pPr>
              <w:ind w:left="140"/>
              <w:spacing w:after="0"/>
              <w:rPr>
                <w:sz w:val="20"/>
                <w:szCs w:val="20"/>
                <w:color w:val="auto"/>
              </w:rPr>
            </w:pPr>
            <w:r>
              <w:rPr>
                <w:rFonts w:ascii="Arial" w:cs="Arial" w:eastAsia="Arial" w:hAnsi="Arial"/>
                <w:sz w:val="18"/>
                <w:szCs w:val="18"/>
                <w:color w:val="51555C"/>
              </w:rPr>
              <w:t>Foreign currency forward</w:t>
            </w:r>
          </w:p>
        </w:tc>
        <w:tc>
          <w:tcPr>
            <w:tcW w:w="1860" w:type="dxa"/>
            <w:vAlign w:val="bottom"/>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Prepaid expenses</w:t>
            </w:r>
          </w:p>
        </w:tc>
        <w:tc>
          <w:tcPr>
            <w:tcW w:w="1060" w:type="dxa"/>
            <w:vAlign w:val="bottom"/>
            <w:shd w:val="clear" w:color="auto" w:fill="EBFBFF"/>
          </w:tcPr>
          <w:p>
            <w:pPr>
              <w:spacing w:after="0"/>
              <w:rPr>
                <w:sz w:val="24"/>
                <w:szCs w:val="24"/>
                <w:color w:val="auto"/>
              </w:rPr>
            </w:pPr>
          </w:p>
        </w:tc>
        <w:tc>
          <w:tcPr>
            <w:tcW w:w="22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1860" w:type="dxa"/>
            <w:vAlign w:val="bottom"/>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Accrued expenses</w:t>
            </w:r>
          </w:p>
        </w:tc>
        <w:tc>
          <w:tcPr>
            <w:tcW w:w="1060" w:type="dxa"/>
            <w:vAlign w:val="bottom"/>
            <w:shd w:val="clear" w:color="auto" w:fill="EBFBFF"/>
          </w:tcPr>
          <w:p>
            <w:pPr>
              <w:spacing w:after="0"/>
              <w:rPr>
                <w:sz w:val="24"/>
                <w:szCs w:val="24"/>
                <w:color w:val="auto"/>
              </w:rPr>
            </w:pPr>
          </w:p>
        </w:tc>
        <w:tc>
          <w:tcPr>
            <w:tcW w:w="22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2780" w:type="dxa"/>
            <w:vAlign w:val="bottom"/>
            <w:gridSpan w:val="2"/>
            <w:shd w:val="clear" w:color="auto" w:fill="EBFBFF"/>
          </w:tcPr>
          <w:p>
            <w:pPr>
              <w:ind w:left="140"/>
              <w:spacing w:after="0"/>
              <w:rPr>
                <w:sz w:val="20"/>
                <w:szCs w:val="20"/>
                <w:color w:val="auto"/>
              </w:rPr>
            </w:pPr>
            <w:r>
              <w:rPr>
                <w:rFonts w:ascii="Arial" w:cs="Arial" w:eastAsia="Arial" w:hAnsi="Arial"/>
                <w:sz w:val="18"/>
                <w:szCs w:val="18"/>
                <w:color w:val="51555C"/>
              </w:rPr>
              <w:t>contracts, current portion</w:t>
            </w:r>
          </w:p>
        </w:tc>
        <w:tc>
          <w:tcPr>
            <w:tcW w:w="1860" w:type="dxa"/>
            <w:vAlign w:val="bottom"/>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and other current</w:t>
            </w:r>
          </w:p>
        </w:tc>
        <w:tc>
          <w:tcPr>
            <w:tcW w:w="1060" w:type="dxa"/>
            <w:vAlign w:val="bottom"/>
            <w:shd w:val="clear" w:color="auto" w:fill="EBFBFF"/>
          </w:tcPr>
          <w:p>
            <w:pPr>
              <w:spacing w:after="0"/>
              <w:rPr>
                <w:sz w:val="21"/>
                <w:szCs w:val="21"/>
                <w:color w:val="auto"/>
              </w:rPr>
            </w:pPr>
          </w:p>
        </w:tc>
        <w:tc>
          <w:tcPr>
            <w:tcW w:w="220" w:type="dxa"/>
            <w:vAlign w:val="bottom"/>
            <w:shd w:val="clear" w:color="auto" w:fill="EBFBFF"/>
          </w:tcPr>
          <w:p>
            <w:pPr>
              <w:spacing w:after="0"/>
              <w:rPr>
                <w:sz w:val="21"/>
                <w:szCs w:val="21"/>
                <w:color w:val="auto"/>
              </w:rPr>
            </w:pPr>
          </w:p>
        </w:tc>
        <w:tc>
          <w:tcPr>
            <w:tcW w:w="1040" w:type="dxa"/>
            <w:vAlign w:val="bottom"/>
            <w:tcBorders>
              <w:right w:val="single" w:sz="8" w:color="EBFBFF"/>
            </w:tcBorders>
            <w:shd w:val="clear" w:color="auto" w:fill="EBFBFF"/>
          </w:tcPr>
          <w:p>
            <w:pPr>
              <w:spacing w:after="0"/>
              <w:rPr>
                <w:sz w:val="21"/>
                <w:szCs w:val="21"/>
                <w:color w:val="auto"/>
              </w:rPr>
            </w:pPr>
          </w:p>
        </w:tc>
        <w:tc>
          <w:tcPr>
            <w:tcW w:w="100" w:type="dxa"/>
            <w:vAlign w:val="bottom"/>
            <w:shd w:val="clear" w:color="auto" w:fill="EBFBFF"/>
          </w:tcPr>
          <w:p>
            <w:pPr>
              <w:spacing w:after="0"/>
              <w:rPr>
                <w:sz w:val="21"/>
                <w:szCs w:val="21"/>
                <w:color w:val="auto"/>
              </w:rPr>
            </w:pPr>
          </w:p>
        </w:tc>
        <w:tc>
          <w:tcPr>
            <w:tcW w:w="1860" w:type="dxa"/>
            <w:vAlign w:val="bottom"/>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and other</w:t>
            </w:r>
          </w:p>
        </w:tc>
        <w:tc>
          <w:tcPr>
            <w:tcW w:w="1060" w:type="dxa"/>
            <w:vAlign w:val="bottom"/>
            <w:shd w:val="clear" w:color="auto" w:fill="EBFBFF"/>
          </w:tcPr>
          <w:p>
            <w:pPr>
              <w:spacing w:after="0"/>
              <w:rPr>
                <w:sz w:val="21"/>
                <w:szCs w:val="21"/>
                <w:color w:val="auto"/>
              </w:rPr>
            </w:pPr>
          </w:p>
        </w:tc>
        <w:tc>
          <w:tcPr>
            <w:tcW w:w="22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160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1860" w:type="dxa"/>
            <w:vAlign w:val="bottom"/>
            <w:tcBorders>
              <w:bottom w:val="single" w:sz="8" w:color="EBFBFF"/>
            </w:tcBorders>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assets</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487</w:t>
            </w:r>
          </w:p>
        </w:tc>
        <w:tc>
          <w:tcPr>
            <w:tcW w:w="22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w:t>
            </w:r>
          </w:p>
        </w:tc>
        <w:tc>
          <w:tcPr>
            <w:tcW w:w="100" w:type="dxa"/>
            <w:vAlign w:val="bottom"/>
            <w:tcBorders>
              <w:bottom w:val="single" w:sz="8" w:color="EBFBFF"/>
            </w:tcBorders>
            <w:shd w:val="clear" w:color="auto" w:fill="EBFBFF"/>
          </w:tcPr>
          <w:p>
            <w:pPr>
              <w:spacing w:after="0"/>
              <w:rPr>
                <w:sz w:val="21"/>
                <w:szCs w:val="21"/>
                <w:color w:val="auto"/>
              </w:rPr>
            </w:pPr>
          </w:p>
        </w:tc>
        <w:tc>
          <w:tcPr>
            <w:tcW w:w="1860" w:type="dxa"/>
            <w:vAlign w:val="bottom"/>
            <w:tcBorders>
              <w:bottom w:val="single" w:sz="8" w:color="EBFBFF"/>
            </w:tcBorders>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current liabilities</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73</w:t>
            </w:r>
          </w:p>
        </w:tc>
        <w:tc>
          <w:tcPr>
            <w:tcW w:w="22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265</w:t>
            </w:r>
          </w:p>
        </w:tc>
        <w:tc>
          <w:tcPr>
            <w:tcW w:w="20" w:type="dxa"/>
            <w:vAlign w:val="bottom"/>
          </w:tcPr>
          <w:p>
            <w:pPr>
              <w:spacing w:after="0"/>
              <w:rPr>
                <w:sz w:val="21"/>
                <w:szCs w:val="21"/>
                <w:color w:val="auto"/>
              </w:rPr>
            </w:pPr>
          </w:p>
        </w:tc>
      </w:tr>
      <w:tr>
        <w:trPr>
          <w:trHeight w:val="301"/>
        </w:trPr>
        <w:tc>
          <w:tcPr>
            <w:tcW w:w="2780" w:type="dxa"/>
            <w:vAlign w:val="bottom"/>
            <w:gridSpan w:val="2"/>
          </w:tcPr>
          <w:p>
            <w:pPr>
              <w:ind w:left="140"/>
              <w:spacing w:after="0"/>
              <w:rPr>
                <w:sz w:val="20"/>
                <w:szCs w:val="20"/>
                <w:color w:val="auto"/>
              </w:rPr>
            </w:pPr>
            <w:r>
              <w:rPr>
                <w:rFonts w:ascii="Arial" w:cs="Arial" w:eastAsia="Arial" w:hAnsi="Arial"/>
                <w:sz w:val="18"/>
                <w:szCs w:val="18"/>
                <w:color w:val="51555C"/>
              </w:rPr>
              <w:t>Interest rate swaps, long-term</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51555C"/>
              </w:rPr>
              <w:t>Other assets</w:t>
            </w:r>
          </w:p>
        </w:tc>
        <w:tc>
          <w:tcPr>
            <w:tcW w:w="1060" w:type="dxa"/>
            <w:vAlign w:val="bottom"/>
          </w:tcPr>
          <w:p>
            <w:pPr>
              <w:jc w:val="right"/>
              <w:spacing w:after="0"/>
              <w:rPr>
                <w:sz w:val="20"/>
                <w:szCs w:val="20"/>
                <w:color w:val="auto"/>
              </w:rPr>
            </w:pPr>
            <w:r>
              <w:rPr>
                <w:rFonts w:ascii="Arial" w:cs="Arial" w:eastAsia="Arial" w:hAnsi="Arial"/>
                <w:sz w:val="18"/>
                <w:szCs w:val="18"/>
                <w:color w:val="51555C"/>
              </w:rPr>
              <w:t>10,686</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262</w:t>
            </w:r>
          </w:p>
        </w:tc>
        <w:tc>
          <w:tcPr>
            <w:tcW w:w="100" w:type="dxa"/>
            <w:vAlign w:val="bottom"/>
          </w:tcPr>
          <w:p>
            <w:pPr>
              <w:spacing w:after="0"/>
              <w:rPr>
                <w:sz w:val="24"/>
                <w:szCs w:val="24"/>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51555C"/>
              </w:rPr>
              <w:t>Other liabilities</w:t>
            </w:r>
          </w:p>
        </w:tc>
        <w:tc>
          <w:tcPr>
            <w:tcW w:w="1060" w:type="dxa"/>
            <w:vAlign w:val="bottom"/>
          </w:tcPr>
          <w:p>
            <w:pPr>
              <w:jc w:val="right"/>
              <w:spacing w:after="0"/>
              <w:rPr>
                <w:sz w:val="20"/>
                <w:szCs w:val="20"/>
                <w:color w:val="auto"/>
              </w:rPr>
            </w:pPr>
            <w:r>
              <w:rPr>
                <w:rFonts w:ascii="Arial" w:cs="Arial" w:eastAsia="Arial" w:hAnsi="Arial"/>
                <w:sz w:val="18"/>
                <w:szCs w:val="18"/>
                <w:color w:val="51555C"/>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3,257</w:t>
            </w:r>
          </w:p>
        </w:tc>
        <w:tc>
          <w:tcPr>
            <w:tcW w:w="20" w:type="dxa"/>
            <w:vAlign w:val="bottom"/>
          </w:tcPr>
          <w:p>
            <w:pPr>
              <w:spacing w:after="0"/>
              <w:rPr>
                <w:sz w:val="24"/>
                <w:szCs w:val="24"/>
                <w:color w:val="auto"/>
              </w:rPr>
            </w:pPr>
          </w:p>
        </w:tc>
      </w:tr>
      <w:tr>
        <w:trPr>
          <w:trHeight w:val="23"/>
        </w:trPr>
        <w:tc>
          <w:tcPr>
            <w:tcW w:w="2780" w:type="dxa"/>
            <w:vAlign w:val="bottom"/>
            <w:tcBorders>
              <w:bottom w:val="single" w:sz="8" w:color="EBFBFF"/>
            </w:tcBorders>
            <w:gridSpan w:val="2"/>
          </w:tcPr>
          <w:p>
            <w:pPr>
              <w:spacing w:after="0"/>
              <w:rPr>
                <w:sz w:val="2"/>
                <w:szCs w:val="2"/>
                <w:color w:val="auto"/>
              </w:rPr>
            </w:pPr>
          </w:p>
        </w:tc>
        <w:tc>
          <w:tcPr>
            <w:tcW w:w="168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660" w:type="dxa"/>
            <w:vAlign w:val="bottom"/>
            <w:tcBorders>
              <w:bottom w:val="single" w:sz="8" w:color="EBFBFF"/>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66"/>
        </w:trPr>
        <w:tc>
          <w:tcPr>
            <w:tcW w:w="27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Total derivative instruments</w:t>
            </w:r>
          </w:p>
        </w:tc>
        <w:tc>
          <w:tcPr>
            <w:tcW w:w="1680" w:type="dxa"/>
            <w:vAlign w:val="bottom"/>
            <w:shd w:val="clear" w:color="auto" w:fill="EBFBFF"/>
          </w:tcPr>
          <w:p>
            <w:pPr>
              <w:spacing w:after="0"/>
              <w:rPr>
                <w:sz w:val="24"/>
                <w:szCs w:val="24"/>
                <w:color w:val="auto"/>
              </w:rPr>
            </w:pPr>
          </w:p>
        </w:tc>
        <w:tc>
          <w:tcPr>
            <w:tcW w:w="18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2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200" w:type="dxa"/>
            <w:vAlign w:val="bottom"/>
            <w:shd w:val="clear" w:color="auto" w:fill="EBFBFF"/>
          </w:tcPr>
          <w:p>
            <w:pPr>
              <w:spacing w:after="0"/>
              <w:rPr>
                <w:sz w:val="24"/>
                <w:szCs w:val="24"/>
                <w:color w:val="auto"/>
              </w:rPr>
            </w:pPr>
          </w:p>
        </w:tc>
        <w:tc>
          <w:tcPr>
            <w:tcW w:w="1060" w:type="dxa"/>
            <w:vAlign w:val="bottom"/>
            <w:shd w:val="clear" w:color="auto" w:fill="EBFBFF"/>
          </w:tcPr>
          <w:p>
            <w:pPr>
              <w:spacing w:after="0"/>
              <w:rPr>
                <w:sz w:val="24"/>
                <w:szCs w:val="24"/>
                <w:color w:val="auto"/>
              </w:rPr>
            </w:pPr>
          </w:p>
        </w:tc>
        <w:tc>
          <w:tcPr>
            <w:tcW w:w="22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80" w:type="dxa"/>
            <w:vAlign w:val="bottom"/>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designated as hedging</w:t>
            </w:r>
          </w:p>
        </w:tc>
        <w:tc>
          <w:tcPr>
            <w:tcW w:w="168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1040" w:type="dxa"/>
            <w:vAlign w:val="bottom"/>
            <w:tcBorders>
              <w:right w:val="single" w:sz="8" w:color="EBFBFF"/>
            </w:tcBorders>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166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106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160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instruments</w:t>
            </w:r>
          </w:p>
        </w:tc>
        <w:tc>
          <w:tcPr>
            <w:tcW w:w="1180" w:type="dxa"/>
            <w:vAlign w:val="bottom"/>
            <w:tcBorders>
              <w:bottom w:val="single" w:sz="8" w:color="0CD973"/>
            </w:tcBorders>
            <w:shd w:val="clear" w:color="auto" w:fill="EBFBFF"/>
          </w:tcPr>
          <w:p>
            <w:pPr>
              <w:spacing w:after="0"/>
              <w:rPr>
                <w:sz w:val="22"/>
                <w:szCs w:val="22"/>
                <w:color w:val="auto"/>
              </w:rPr>
            </w:pPr>
          </w:p>
        </w:tc>
        <w:tc>
          <w:tcPr>
            <w:tcW w:w="1860" w:type="dxa"/>
            <w:vAlign w:val="bottom"/>
            <w:tcBorders>
              <w:bottom w:val="single" w:sz="8" w:color="0CD973"/>
            </w:tcBorders>
            <w:gridSpan w:val="2"/>
            <w:shd w:val="clear" w:color="auto" w:fill="EBFBFF"/>
          </w:tcPr>
          <w:p>
            <w:pPr>
              <w:jc w:val="right"/>
              <w:ind w:right="60"/>
              <w:spacing w:after="0"/>
              <w:rPr>
                <w:sz w:val="20"/>
                <w:szCs w:val="20"/>
                <w:color w:val="auto"/>
              </w:rPr>
            </w:pPr>
            <w:r>
              <w:rPr>
                <w:rFonts w:ascii="Arial" w:cs="Arial" w:eastAsia="Arial" w:hAnsi="Arial"/>
                <w:sz w:val="18"/>
                <w:szCs w:val="18"/>
                <w:color w:val="51555C"/>
              </w:rPr>
              <w:t>$</w:t>
            </w: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11,690</w:t>
            </w:r>
          </w:p>
        </w:tc>
        <w:tc>
          <w:tcPr>
            <w:tcW w:w="220" w:type="dxa"/>
            <w:vAlign w:val="bottom"/>
            <w:tcBorders>
              <w:bottom w:val="single" w:sz="8" w:color="0CD973"/>
            </w:tcBorders>
            <w:shd w:val="clear" w:color="auto" w:fill="EBFBFF"/>
          </w:tcPr>
          <w:p>
            <w:pPr>
              <w:jc w:val="right"/>
              <w:ind w:right="16"/>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0CD973"/>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578</w:t>
            </w:r>
          </w:p>
        </w:tc>
        <w:tc>
          <w:tcPr>
            <w:tcW w:w="1960" w:type="dxa"/>
            <w:vAlign w:val="bottom"/>
            <w:tcBorders>
              <w:bottom w:val="single" w:sz="8" w:color="0CD973"/>
            </w:tcBorders>
            <w:gridSpan w:val="3"/>
            <w:shd w:val="clear" w:color="auto" w:fill="EBFBFF"/>
          </w:tcPr>
          <w:p>
            <w:pPr>
              <w:jc w:val="right"/>
              <w:ind w:right="60"/>
              <w:spacing w:after="0"/>
              <w:rPr>
                <w:sz w:val="20"/>
                <w:szCs w:val="20"/>
                <w:color w:val="auto"/>
              </w:rPr>
            </w:pPr>
            <w:r>
              <w:rPr>
                <w:rFonts w:ascii="Arial" w:cs="Arial" w:eastAsia="Arial" w:hAnsi="Arial"/>
                <w:sz w:val="18"/>
                <w:szCs w:val="18"/>
                <w:color w:val="51555C"/>
              </w:rPr>
              <w:t>$</w:t>
            </w: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73</w:t>
            </w:r>
          </w:p>
        </w:tc>
        <w:tc>
          <w:tcPr>
            <w:tcW w:w="220" w:type="dxa"/>
            <w:vAlign w:val="bottom"/>
            <w:tcBorders>
              <w:bottom w:val="single" w:sz="8" w:color="0CD973"/>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3,522</w:t>
            </w:r>
          </w:p>
        </w:tc>
        <w:tc>
          <w:tcPr>
            <w:tcW w:w="20" w:type="dxa"/>
            <w:vAlign w:val="bottom"/>
          </w:tcPr>
          <w:p>
            <w:pPr>
              <w:spacing w:after="0"/>
              <w:rPr>
                <w:sz w:val="22"/>
                <w:szCs w:val="22"/>
                <w:color w:val="auto"/>
              </w:rPr>
            </w:pPr>
          </w:p>
        </w:tc>
      </w:tr>
      <w:tr>
        <w:trPr>
          <w:trHeight w:val="694"/>
        </w:trPr>
        <w:tc>
          <w:tcPr>
            <w:tcW w:w="1600" w:type="dxa"/>
            <w:vAlign w:val="bottom"/>
          </w:tcPr>
          <w:p>
            <w:pPr>
              <w:ind w:left="20"/>
              <w:spacing w:after="0"/>
              <w:rPr>
                <w:sz w:val="20"/>
                <w:szCs w:val="20"/>
                <w:color w:val="auto"/>
              </w:rPr>
            </w:pPr>
            <w:r>
              <w:rPr>
                <w:rFonts w:ascii="Arial" w:cs="Arial" w:eastAsia="Arial" w:hAnsi="Arial"/>
                <w:sz w:val="14"/>
                <w:szCs w:val="14"/>
                <w:color w:val="51555C"/>
              </w:rPr>
              <w:t>14</w:t>
            </w:r>
          </w:p>
        </w:tc>
        <w:tc>
          <w:tcPr>
            <w:tcW w:w="3040" w:type="dxa"/>
            <w:vAlign w:val="bottom"/>
            <w:gridSpan w:val="3"/>
          </w:tcPr>
          <w:p>
            <w:pPr>
              <w:jc w:val="right"/>
              <w:ind w:right="1040"/>
              <w:spacing w:after="0"/>
              <w:rPr>
                <w:sz w:val="20"/>
                <w:szCs w:val="20"/>
                <w:color w:val="auto"/>
              </w:rPr>
            </w:pPr>
            <w:r>
              <w:rPr>
                <w:rFonts w:ascii="Arial" w:cs="Arial" w:eastAsia="Arial" w:hAnsi="Arial"/>
                <w:sz w:val="14"/>
                <w:szCs w:val="14"/>
                <w:color w:val="51555C"/>
              </w:rPr>
              <w:t>Third Quarter 2026 Form 10-Q</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1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-3265170</wp:posOffset>
            </wp:positionV>
            <wp:extent cx="1602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-3265170</wp:posOffset>
            </wp:positionV>
            <wp:extent cx="1585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65151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51555C"/>
        </w:rPr>
        <w:t>The effects of derivative instruments in cash flow and net investment hedging relationships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20" w:type="dxa"/>
            <w:vAlign w:val="bottom"/>
            <w:shd w:val="clear" w:color="auto" w:fill="004054"/>
          </w:tcPr>
          <w:p>
            <w:pPr>
              <w:spacing w:after="0"/>
              <w:rPr>
                <w:sz w:val="22"/>
                <w:szCs w:val="22"/>
                <w:color w:val="auto"/>
              </w:rPr>
            </w:pPr>
          </w:p>
        </w:tc>
        <w:tc>
          <w:tcPr>
            <w:tcW w:w="160" w:type="dxa"/>
            <w:vAlign w:val="bottom"/>
            <w:shd w:val="clear" w:color="auto" w:fill="004054"/>
          </w:tcPr>
          <w:p>
            <w:pPr>
              <w:spacing w:after="0"/>
              <w:rPr>
                <w:sz w:val="22"/>
                <w:szCs w:val="22"/>
                <w:color w:val="auto"/>
              </w:rPr>
            </w:pPr>
          </w:p>
        </w:tc>
        <w:tc>
          <w:tcPr>
            <w:tcW w:w="1620" w:type="dxa"/>
            <w:vAlign w:val="bottom"/>
            <w:tcBorders>
              <w:right w:val="single" w:sz="8" w:color="004054"/>
            </w:tcBorders>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1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Location</w:t>
            </w:r>
          </w:p>
        </w:tc>
        <w:tc>
          <w:tcPr>
            <w:tcW w:w="320" w:type="dxa"/>
            <w:vAlign w:val="bottom"/>
            <w:shd w:val="clear" w:color="auto" w:fill="004054"/>
          </w:tcPr>
          <w:p>
            <w:pPr>
              <w:spacing w:after="0"/>
              <w:rPr>
                <w:sz w:val="22"/>
                <w:szCs w:val="22"/>
                <w:color w:val="auto"/>
              </w:rPr>
            </w:pPr>
          </w:p>
        </w:tc>
        <w:tc>
          <w:tcPr>
            <w:tcW w:w="1660" w:type="dxa"/>
            <w:vAlign w:val="bottom"/>
            <w:shd w:val="clear" w:color="auto" w:fill="004054"/>
          </w:tcPr>
          <w:p>
            <w:pPr>
              <w:spacing w:after="0"/>
              <w:rPr>
                <w:sz w:val="22"/>
                <w:szCs w:val="22"/>
                <w:color w:val="auto"/>
              </w:rPr>
            </w:pPr>
          </w:p>
        </w:tc>
        <w:tc>
          <w:tcPr>
            <w:tcW w:w="100" w:type="dxa"/>
            <w:vAlign w:val="bottom"/>
            <w:shd w:val="clear" w:color="auto" w:fill="004054"/>
          </w:tcPr>
          <w:p>
            <w:pPr>
              <w:spacing w:after="0"/>
              <w:rPr>
                <w:sz w:val="22"/>
                <w:szCs w:val="22"/>
                <w:color w:val="auto"/>
              </w:rPr>
            </w:pPr>
          </w:p>
        </w:tc>
        <w:tc>
          <w:tcPr>
            <w:tcW w:w="360" w:type="dxa"/>
            <w:vAlign w:val="bottom"/>
            <w:shd w:val="clear" w:color="auto" w:fill="004054"/>
          </w:tcPr>
          <w:p>
            <w:pPr>
              <w:spacing w:after="0"/>
              <w:rPr>
                <w:sz w:val="22"/>
                <w:szCs w:val="22"/>
                <w:color w:val="auto"/>
              </w:rPr>
            </w:pPr>
          </w:p>
        </w:tc>
        <w:tc>
          <w:tcPr>
            <w:tcW w:w="1620" w:type="dxa"/>
            <w:vAlign w:val="bottom"/>
            <w:shd w:val="clear" w:color="auto" w:fill="004054"/>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1620" w:type="dxa"/>
            <w:vAlign w:val="bottom"/>
            <w:tcBorders>
              <w:right w:val="single" w:sz="8" w:color="004054"/>
            </w:tcBorders>
            <w:vMerge w:val="continue"/>
            <w:shd w:val="clear" w:color="auto" w:fill="004054"/>
          </w:tcPr>
          <w:p>
            <w:pPr>
              <w:spacing w:after="0"/>
              <w:rPr>
                <w:sz w:val="9"/>
                <w:szCs w:val="9"/>
                <w:color w:val="auto"/>
              </w:rPr>
            </w:pPr>
          </w:p>
        </w:tc>
        <w:tc>
          <w:tcPr>
            <w:tcW w:w="17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of gain (loss)</w:t>
            </w:r>
          </w:p>
        </w:tc>
        <w:tc>
          <w:tcPr>
            <w:tcW w:w="320" w:type="dxa"/>
            <w:vAlign w:val="bottom"/>
            <w:shd w:val="clear" w:color="auto" w:fill="004054"/>
          </w:tcPr>
          <w:p>
            <w:pPr>
              <w:spacing w:after="0"/>
              <w:rPr>
                <w:sz w:val="9"/>
                <w:szCs w:val="9"/>
                <w:color w:val="auto"/>
              </w:rPr>
            </w:pPr>
          </w:p>
        </w:tc>
        <w:tc>
          <w:tcPr>
            <w:tcW w:w="1660" w:type="dxa"/>
            <w:vAlign w:val="bottom"/>
            <w:shd w:val="clear" w:color="auto" w:fill="004054"/>
          </w:tcPr>
          <w:p>
            <w:pPr>
              <w:spacing w:after="0"/>
              <w:rPr>
                <w:sz w:val="9"/>
                <w:szCs w:val="9"/>
                <w:color w:val="auto"/>
              </w:rPr>
            </w:pPr>
          </w:p>
        </w:tc>
        <w:tc>
          <w:tcPr>
            <w:tcW w:w="100" w:type="dxa"/>
            <w:vAlign w:val="bottom"/>
            <w:shd w:val="clear" w:color="auto" w:fill="004054"/>
          </w:tcPr>
          <w:p>
            <w:pPr>
              <w:spacing w:after="0"/>
              <w:rPr>
                <w:sz w:val="9"/>
                <w:szCs w:val="9"/>
                <w:color w:val="auto"/>
              </w:rPr>
            </w:pPr>
          </w:p>
        </w:tc>
        <w:tc>
          <w:tcPr>
            <w:tcW w:w="360" w:type="dxa"/>
            <w:vAlign w:val="bottom"/>
            <w:shd w:val="clear" w:color="auto" w:fill="004054"/>
          </w:tcPr>
          <w:p>
            <w:pPr>
              <w:spacing w:after="0"/>
              <w:rPr>
                <w:sz w:val="9"/>
                <w:szCs w:val="9"/>
                <w:color w:val="auto"/>
              </w:rPr>
            </w:pPr>
          </w:p>
        </w:tc>
        <w:tc>
          <w:tcPr>
            <w:tcW w:w="1620" w:type="dxa"/>
            <w:vAlign w:val="bottom"/>
            <w:shd w:val="clear" w:color="auto" w:fill="004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20" w:type="dxa"/>
            <w:vAlign w:val="bottom"/>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1620" w:type="dxa"/>
            <w:vAlign w:val="bottom"/>
            <w:tcBorders>
              <w:right w:val="single" w:sz="8" w:color="004054"/>
            </w:tcBorders>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1780" w:type="dxa"/>
            <w:vAlign w:val="bottom"/>
            <w:vMerge w:val="continue"/>
            <w:shd w:val="clear" w:color="auto" w:fill="004054"/>
          </w:tcPr>
          <w:p>
            <w:pPr>
              <w:spacing w:after="0"/>
              <w:rPr>
                <w:sz w:val="4"/>
                <w:szCs w:val="4"/>
                <w:color w:val="auto"/>
              </w:rPr>
            </w:pPr>
          </w:p>
        </w:tc>
        <w:tc>
          <w:tcPr>
            <w:tcW w:w="320" w:type="dxa"/>
            <w:vAlign w:val="bottom"/>
            <w:shd w:val="clear" w:color="auto" w:fill="004054"/>
          </w:tcPr>
          <w:p>
            <w:pPr>
              <w:spacing w:after="0"/>
              <w:rPr>
                <w:sz w:val="4"/>
                <w:szCs w:val="4"/>
                <w:color w:val="auto"/>
              </w:rPr>
            </w:pPr>
          </w:p>
        </w:tc>
        <w:tc>
          <w:tcPr>
            <w:tcW w:w="1660" w:type="dxa"/>
            <w:vAlign w:val="bottom"/>
            <w:shd w:val="clear" w:color="auto" w:fill="004054"/>
          </w:tcPr>
          <w:p>
            <w:pPr>
              <w:spacing w:after="0"/>
              <w:rPr>
                <w:sz w:val="4"/>
                <w:szCs w:val="4"/>
                <w:color w:val="auto"/>
              </w:rPr>
            </w:pPr>
          </w:p>
        </w:tc>
        <w:tc>
          <w:tcPr>
            <w:tcW w:w="100" w:type="dxa"/>
            <w:vAlign w:val="bottom"/>
            <w:shd w:val="clear" w:color="auto" w:fill="004054"/>
          </w:tcPr>
          <w:p>
            <w:pPr>
              <w:spacing w:after="0"/>
              <w:rPr>
                <w:sz w:val="4"/>
                <w:szCs w:val="4"/>
                <w:color w:val="auto"/>
              </w:rPr>
            </w:pPr>
          </w:p>
        </w:tc>
        <w:tc>
          <w:tcPr>
            <w:tcW w:w="360" w:type="dxa"/>
            <w:vAlign w:val="bottom"/>
            <w:shd w:val="clear" w:color="auto" w:fill="004054"/>
          </w:tcPr>
          <w:p>
            <w:pPr>
              <w:spacing w:after="0"/>
              <w:rPr>
                <w:sz w:val="4"/>
                <w:szCs w:val="4"/>
                <w:color w:val="auto"/>
              </w:rPr>
            </w:pPr>
          </w:p>
        </w:tc>
        <w:tc>
          <w:tcPr>
            <w:tcW w:w="1620" w:type="dxa"/>
            <w:vAlign w:val="bottom"/>
            <w:shd w:val="clear" w:color="auto" w:fill="00405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1620" w:type="dxa"/>
            <w:vAlign w:val="bottom"/>
            <w:tcBorders>
              <w:right w:val="single" w:sz="8" w:color="004054"/>
            </w:tcBorders>
            <w:vMerge w:val="continue"/>
            <w:shd w:val="clear" w:color="auto" w:fill="004054"/>
          </w:tcPr>
          <w:p>
            <w:pPr>
              <w:spacing w:after="0"/>
              <w:rPr>
                <w:sz w:val="9"/>
                <w:szCs w:val="9"/>
                <w:color w:val="auto"/>
              </w:rPr>
            </w:pPr>
          </w:p>
        </w:tc>
        <w:tc>
          <w:tcPr>
            <w:tcW w:w="17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320" w:type="dxa"/>
            <w:vAlign w:val="bottom"/>
            <w:shd w:val="clear" w:color="auto" w:fill="004054"/>
          </w:tcPr>
          <w:p>
            <w:pPr>
              <w:spacing w:after="0"/>
              <w:rPr>
                <w:sz w:val="9"/>
                <w:szCs w:val="9"/>
                <w:color w:val="auto"/>
              </w:rPr>
            </w:pPr>
          </w:p>
        </w:tc>
        <w:tc>
          <w:tcPr>
            <w:tcW w:w="1660" w:type="dxa"/>
            <w:vAlign w:val="bottom"/>
            <w:shd w:val="clear" w:color="auto" w:fill="004054"/>
          </w:tcPr>
          <w:p>
            <w:pPr>
              <w:spacing w:after="0"/>
              <w:rPr>
                <w:sz w:val="9"/>
                <w:szCs w:val="9"/>
                <w:color w:val="auto"/>
              </w:rPr>
            </w:pPr>
          </w:p>
        </w:tc>
        <w:tc>
          <w:tcPr>
            <w:tcW w:w="100" w:type="dxa"/>
            <w:vAlign w:val="bottom"/>
            <w:shd w:val="clear" w:color="auto" w:fill="004054"/>
          </w:tcPr>
          <w:p>
            <w:pPr>
              <w:spacing w:after="0"/>
              <w:rPr>
                <w:sz w:val="9"/>
                <w:szCs w:val="9"/>
                <w:color w:val="auto"/>
              </w:rPr>
            </w:pPr>
          </w:p>
        </w:tc>
        <w:tc>
          <w:tcPr>
            <w:tcW w:w="360" w:type="dxa"/>
            <w:vAlign w:val="bottom"/>
            <w:shd w:val="clear" w:color="auto" w:fill="004054"/>
          </w:tcPr>
          <w:p>
            <w:pPr>
              <w:spacing w:after="0"/>
              <w:rPr>
                <w:sz w:val="9"/>
                <w:szCs w:val="9"/>
                <w:color w:val="auto"/>
              </w:rPr>
            </w:pPr>
          </w:p>
        </w:tc>
        <w:tc>
          <w:tcPr>
            <w:tcW w:w="1620" w:type="dxa"/>
            <w:vAlign w:val="bottom"/>
            <w:shd w:val="clear" w:color="auto" w:fill="004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62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620" w:type="dxa"/>
            <w:vAlign w:val="bottom"/>
            <w:tcBorders>
              <w:right w:val="single" w:sz="8" w:color="004054"/>
            </w:tcBorders>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780" w:type="dxa"/>
            <w:vAlign w:val="bottom"/>
            <w:vMerge w:val="continue"/>
            <w:shd w:val="clear" w:color="auto" w:fill="004054"/>
          </w:tcPr>
          <w:p>
            <w:pPr>
              <w:spacing w:after="0"/>
              <w:rPr>
                <w:sz w:val="5"/>
                <w:szCs w:val="5"/>
                <w:color w:val="auto"/>
              </w:rPr>
            </w:pPr>
          </w:p>
        </w:tc>
        <w:tc>
          <w:tcPr>
            <w:tcW w:w="320" w:type="dxa"/>
            <w:vAlign w:val="bottom"/>
            <w:shd w:val="clear" w:color="auto" w:fill="004054"/>
          </w:tcPr>
          <w:p>
            <w:pPr>
              <w:spacing w:after="0"/>
              <w:rPr>
                <w:sz w:val="5"/>
                <w:szCs w:val="5"/>
                <w:color w:val="auto"/>
              </w:rPr>
            </w:pPr>
          </w:p>
        </w:tc>
        <w:tc>
          <w:tcPr>
            <w:tcW w:w="3740" w:type="dxa"/>
            <w:vAlign w:val="bottom"/>
            <w:gridSpan w:val="4"/>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reclassified from accumulated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1620" w:type="dxa"/>
            <w:vAlign w:val="bottom"/>
            <w:tcBorders>
              <w:right w:val="single" w:sz="8" w:color="004054"/>
            </w:tcBorders>
            <w:vMerge w:val="continue"/>
            <w:shd w:val="clear" w:color="auto" w:fill="004054"/>
          </w:tcPr>
          <w:p>
            <w:pPr>
              <w:spacing w:after="0"/>
              <w:rPr>
                <w:sz w:val="9"/>
                <w:szCs w:val="9"/>
                <w:color w:val="auto"/>
              </w:rPr>
            </w:pPr>
          </w:p>
        </w:tc>
        <w:tc>
          <w:tcPr>
            <w:tcW w:w="17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320" w:type="dxa"/>
            <w:vAlign w:val="bottom"/>
            <w:shd w:val="clear" w:color="auto" w:fill="004054"/>
          </w:tcPr>
          <w:p>
            <w:pPr>
              <w:spacing w:after="0"/>
              <w:rPr>
                <w:sz w:val="9"/>
                <w:szCs w:val="9"/>
                <w:color w:val="auto"/>
              </w:rPr>
            </w:pPr>
          </w:p>
        </w:tc>
        <w:tc>
          <w:tcPr>
            <w:tcW w:w="3740" w:type="dxa"/>
            <w:vAlign w:val="bottom"/>
            <w:gridSpan w:val="4"/>
            <w:vMerge w:val="continue"/>
            <w:shd w:val="clear" w:color="auto" w:fill="00405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62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620" w:type="dxa"/>
            <w:vAlign w:val="bottom"/>
            <w:tcBorders>
              <w:right w:val="single" w:sz="8" w:color="004054"/>
            </w:tcBorders>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income (loss) as of</w:t>
            </w:r>
          </w:p>
        </w:tc>
        <w:tc>
          <w:tcPr>
            <w:tcW w:w="1780" w:type="dxa"/>
            <w:vAlign w:val="bottom"/>
            <w:vMerge w:val="continue"/>
            <w:shd w:val="clear" w:color="auto" w:fill="004054"/>
          </w:tcPr>
          <w:p>
            <w:pPr>
              <w:spacing w:after="0"/>
              <w:rPr>
                <w:sz w:val="5"/>
                <w:szCs w:val="5"/>
                <w:color w:val="auto"/>
              </w:rPr>
            </w:pPr>
          </w:p>
        </w:tc>
        <w:tc>
          <w:tcPr>
            <w:tcW w:w="320" w:type="dxa"/>
            <w:vAlign w:val="bottom"/>
            <w:shd w:val="clear" w:color="auto" w:fill="004054"/>
          </w:tcPr>
          <w:p>
            <w:pPr>
              <w:spacing w:after="0"/>
              <w:rPr>
                <w:sz w:val="5"/>
                <w:szCs w:val="5"/>
                <w:color w:val="auto"/>
              </w:rPr>
            </w:pPr>
          </w:p>
        </w:tc>
        <w:tc>
          <w:tcPr>
            <w:tcW w:w="3740" w:type="dxa"/>
            <w:vAlign w:val="bottom"/>
            <w:gridSpan w:val="4"/>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other comprehensive income (loss) into income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004054"/>
          </w:tcPr>
          <w:p>
            <w:pPr>
              <w:spacing w:after="0"/>
              <w:rPr>
                <w:sz w:val="12"/>
                <w:szCs w:val="12"/>
                <w:color w:val="auto"/>
              </w:rPr>
            </w:pPr>
          </w:p>
        </w:tc>
        <w:tc>
          <w:tcPr>
            <w:tcW w:w="160" w:type="dxa"/>
            <w:vAlign w:val="bottom"/>
            <w:shd w:val="clear" w:color="auto" w:fill="004054"/>
          </w:tcPr>
          <w:p>
            <w:pPr>
              <w:spacing w:after="0"/>
              <w:rPr>
                <w:sz w:val="12"/>
                <w:szCs w:val="12"/>
                <w:color w:val="auto"/>
              </w:rPr>
            </w:pPr>
          </w:p>
        </w:tc>
        <w:tc>
          <w:tcPr>
            <w:tcW w:w="1620" w:type="dxa"/>
            <w:vAlign w:val="bottom"/>
            <w:tcBorders>
              <w:right w:val="single" w:sz="8" w:color="004054"/>
            </w:tcBorders>
            <w:vMerge w:val="continue"/>
            <w:shd w:val="clear" w:color="auto" w:fill="004054"/>
          </w:tcPr>
          <w:p>
            <w:pPr>
              <w:spacing w:after="0"/>
              <w:rPr>
                <w:sz w:val="12"/>
                <w:szCs w:val="12"/>
                <w:color w:val="auto"/>
              </w:rPr>
            </w:pPr>
          </w:p>
        </w:tc>
        <w:tc>
          <w:tcPr>
            <w:tcW w:w="1780" w:type="dxa"/>
            <w:vAlign w:val="bottom"/>
            <w:shd w:val="clear" w:color="auto" w:fill="004054"/>
          </w:tcPr>
          <w:p>
            <w:pPr>
              <w:jc w:val="right"/>
              <w:spacing w:after="0" w:line="125" w:lineRule="exact"/>
              <w:rPr>
                <w:sz w:val="20"/>
                <w:szCs w:val="20"/>
                <w:color w:val="auto"/>
              </w:rPr>
            </w:pPr>
            <w:r>
              <w:rPr>
                <w:rFonts w:ascii="Arial" w:cs="Arial" w:eastAsia="Arial" w:hAnsi="Arial"/>
                <w:sz w:val="14"/>
                <w:szCs w:val="14"/>
                <w:b w:val="1"/>
                <w:bCs w:val="1"/>
                <w:color w:val="FFFFFF"/>
              </w:rPr>
              <w:t>comprehensive</w:t>
            </w:r>
          </w:p>
        </w:tc>
        <w:tc>
          <w:tcPr>
            <w:tcW w:w="320" w:type="dxa"/>
            <w:vAlign w:val="bottom"/>
            <w:shd w:val="clear" w:color="auto" w:fill="004054"/>
          </w:tcPr>
          <w:p>
            <w:pPr>
              <w:spacing w:after="0"/>
              <w:rPr>
                <w:sz w:val="12"/>
                <w:szCs w:val="12"/>
                <w:color w:val="auto"/>
              </w:rPr>
            </w:pPr>
          </w:p>
        </w:tc>
        <w:tc>
          <w:tcPr>
            <w:tcW w:w="3740" w:type="dxa"/>
            <w:vAlign w:val="bottom"/>
            <w:gridSpan w:val="4"/>
            <w:vMerge w:val="continue"/>
            <w:shd w:val="clear" w:color="auto" w:fill="00405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6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income (loss) into</w:t>
            </w:r>
          </w:p>
        </w:tc>
        <w:tc>
          <w:tcPr>
            <w:tcW w:w="32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360" w:type="dxa"/>
            <w:vAlign w:val="bottom"/>
            <w:shd w:val="clear" w:color="auto" w:fill="004054"/>
          </w:tcPr>
          <w:p>
            <w:pPr>
              <w:spacing w:after="0"/>
              <w:rPr>
                <w:sz w:val="17"/>
                <w:szCs w:val="17"/>
                <w:color w:val="auto"/>
              </w:rPr>
            </w:pPr>
          </w:p>
        </w:tc>
        <w:tc>
          <w:tcPr>
            <w:tcW w:w="16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60" w:type="dxa"/>
            <w:vAlign w:val="bottom"/>
            <w:shd w:val="clear" w:color="auto" w:fill="004054"/>
          </w:tcPr>
          <w:p>
            <w:pPr>
              <w:spacing w:after="0"/>
              <w:rPr>
                <w:sz w:val="18"/>
                <w:szCs w:val="18"/>
                <w:color w:val="auto"/>
              </w:rPr>
            </w:pPr>
          </w:p>
        </w:tc>
        <w:tc>
          <w:tcPr>
            <w:tcW w:w="16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income</w:t>
            </w:r>
          </w:p>
        </w:tc>
        <w:tc>
          <w:tcPr>
            <w:tcW w:w="320" w:type="dxa"/>
            <w:vAlign w:val="bottom"/>
            <w:shd w:val="clear" w:color="auto" w:fill="004054"/>
          </w:tcPr>
          <w:p>
            <w:pPr>
              <w:spacing w:after="0"/>
              <w:rPr>
                <w:sz w:val="18"/>
                <w:szCs w:val="18"/>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2026</w:t>
            </w:r>
          </w:p>
        </w:tc>
        <w:tc>
          <w:tcPr>
            <w:tcW w:w="100" w:type="dxa"/>
            <w:vAlign w:val="bottom"/>
          </w:tcPr>
          <w:p>
            <w:pPr>
              <w:spacing w:after="0"/>
              <w:rPr>
                <w:sz w:val="18"/>
                <w:szCs w:val="18"/>
                <w:color w:val="auto"/>
              </w:rPr>
            </w:pPr>
          </w:p>
        </w:tc>
        <w:tc>
          <w:tcPr>
            <w:tcW w:w="360" w:type="dxa"/>
            <w:vAlign w:val="bottom"/>
            <w:shd w:val="clear" w:color="auto" w:fill="004054"/>
          </w:tcPr>
          <w:p>
            <w:pPr>
              <w:spacing w:after="0"/>
              <w:rPr>
                <w:sz w:val="18"/>
                <w:szCs w:val="18"/>
                <w:color w:val="auto"/>
              </w:rPr>
            </w:pPr>
          </w:p>
        </w:tc>
        <w:tc>
          <w:tcPr>
            <w:tcW w:w="16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2026</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160" w:type="dxa"/>
            <w:vAlign w:val="bottom"/>
            <w:shd w:val="clear" w:color="auto" w:fill="EBFBFF"/>
          </w:tcPr>
          <w:p>
            <w:pPr>
              <w:spacing w:after="0"/>
              <w:rPr>
                <w:sz w:val="24"/>
                <w:szCs w:val="24"/>
                <w:color w:val="auto"/>
              </w:rPr>
            </w:pPr>
          </w:p>
        </w:tc>
        <w:tc>
          <w:tcPr>
            <w:tcW w:w="1620" w:type="dxa"/>
            <w:vAlign w:val="bottom"/>
            <w:tcBorders>
              <w:right w:val="single" w:sz="8" w:color="EBFBFF"/>
            </w:tcBorders>
            <w:shd w:val="clear" w:color="auto" w:fill="EBFBFF"/>
          </w:tcPr>
          <w:p>
            <w:pPr>
              <w:spacing w:after="0"/>
              <w:rPr>
                <w:sz w:val="24"/>
                <w:szCs w:val="24"/>
                <w:color w:val="auto"/>
              </w:rPr>
            </w:pPr>
          </w:p>
        </w:tc>
        <w:tc>
          <w:tcPr>
            <w:tcW w:w="1780" w:type="dxa"/>
            <w:vAlign w:val="bottom"/>
            <w:shd w:val="clear" w:color="auto" w:fill="EBFBFF"/>
          </w:tcPr>
          <w:p>
            <w:pPr>
              <w:spacing w:after="0"/>
              <w:rPr>
                <w:sz w:val="24"/>
                <w:szCs w:val="24"/>
                <w:color w:val="auto"/>
              </w:rPr>
            </w:pPr>
          </w:p>
        </w:tc>
        <w:tc>
          <w:tcPr>
            <w:tcW w:w="32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360" w:type="dxa"/>
            <w:vAlign w:val="bottom"/>
            <w:shd w:val="clear" w:color="auto" w:fill="EBFBFF"/>
          </w:tcPr>
          <w:p>
            <w:pPr>
              <w:spacing w:after="0"/>
              <w:rPr>
                <w:sz w:val="24"/>
                <w:szCs w:val="24"/>
                <w:color w:val="auto"/>
              </w:rPr>
            </w:pPr>
          </w:p>
        </w:tc>
        <w:tc>
          <w:tcPr>
            <w:tcW w:w="16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620" w:type="dxa"/>
            <w:vAlign w:val="bottom"/>
          </w:tcPr>
          <w:p>
            <w:pPr>
              <w:ind w:left="140"/>
              <w:spacing w:after="0"/>
              <w:rPr>
                <w:sz w:val="20"/>
                <w:szCs w:val="20"/>
                <w:color w:val="auto"/>
              </w:rPr>
            </w:pPr>
            <w:r>
              <w:rPr>
                <w:rFonts w:ascii="Arial" w:cs="Arial" w:eastAsia="Arial" w:hAnsi="Arial"/>
                <w:sz w:val="18"/>
                <w:szCs w:val="18"/>
                <w:color w:val="51555C"/>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620" w:type="dxa"/>
            <w:vAlign w:val="bottom"/>
          </w:tcPr>
          <w:p>
            <w:pPr>
              <w:jc w:val="right"/>
              <w:ind w:right="20"/>
              <w:spacing w:after="0"/>
              <w:rPr>
                <w:sz w:val="20"/>
                <w:szCs w:val="20"/>
                <w:color w:val="auto"/>
              </w:rPr>
            </w:pPr>
            <w:r>
              <w:rPr>
                <w:rFonts w:ascii="Arial" w:cs="Arial" w:eastAsia="Arial" w:hAnsi="Arial"/>
                <w:sz w:val="18"/>
                <w:szCs w:val="18"/>
                <w:color w:val="51555C"/>
              </w:rPr>
              <w:t>11,203</w:t>
            </w: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51555C"/>
              </w:rPr>
              <w:t>Interest expense $</w:t>
            </w:r>
          </w:p>
        </w:tc>
        <w:tc>
          <w:tcPr>
            <w:tcW w:w="1660" w:type="dxa"/>
            <w:vAlign w:val="bottom"/>
          </w:tcPr>
          <w:p>
            <w:pPr>
              <w:jc w:val="right"/>
              <w:spacing w:after="0"/>
              <w:rPr>
                <w:sz w:val="20"/>
                <w:szCs w:val="20"/>
                <w:color w:val="auto"/>
              </w:rPr>
            </w:pPr>
            <w:r>
              <w:rPr>
                <w:rFonts w:ascii="Arial" w:cs="Arial" w:eastAsia="Arial" w:hAnsi="Arial"/>
                <w:sz w:val="18"/>
                <w:szCs w:val="18"/>
                <w:color w:val="51555C"/>
              </w:rPr>
              <w:t>439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51555C"/>
              </w:rPr>
              <w:t>1,143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right w:val="single" w:sz="8" w:color="EBFBFF"/>
            </w:tcBorders>
            <w:shd w:val="clear" w:color="auto" w:fill="EBFBFF"/>
          </w:tcPr>
          <w:p>
            <w:pPr>
              <w:jc w:val="right"/>
              <w:ind w:right="20"/>
              <w:spacing w:after="0"/>
              <w:rPr>
                <w:sz w:val="20"/>
                <w:szCs w:val="20"/>
                <w:color w:val="auto"/>
              </w:rPr>
            </w:pPr>
            <w:r>
              <w:rPr>
                <w:rFonts w:ascii="Arial" w:cs="Arial" w:eastAsia="Arial" w:hAnsi="Arial"/>
                <w:sz w:val="18"/>
                <w:szCs w:val="18"/>
                <w:color w:val="51555C"/>
              </w:rPr>
              <w:t>444</w:t>
            </w:r>
          </w:p>
        </w:tc>
        <w:tc>
          <w:tcPr>
            <w:tcW w:w="2100" w:type="dxa"/>
            <w:vAlign w:val="bottom"/>
            <w:tcBorders>
              <w:bottom w:val="single" w:sz="8" w:color="EBFBFF"/>
            </w:tcBorders>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Revenue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w:t>
            </w:r>
          </w:p>
        </w:tc>
        <w:tc>
          <w:tcPr>
            <w:tcW w:w="100" w:type="dxa"/>
            <w:vAlign w:val="bottom"/>
            <w:tcBorders>
              <w:bottom w:val="single" w:sz="8" w:color="EBFBFF"/>
            </w:tcBorders>
            <w:shd w:val="clear" w:color="auto" w:fill="EBFBFF"/>
          </w:tcPr>
          <w:p>
            <w:pPr>
              <w:spacing w:after="0"/>
              <w:rPr>
                <w:sz w:val="24"/>
                <w:szCs w:val="24"/>
                <w:color w:val="auto"/>
              </w:rPr>
            </w:pP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620" w:type="dxa"/>
            <w:vAlign w:val="bottom"/>
          </w:tcPr>
          <w:p>
            <w:pPr>
              <w:ind w:left="20"/>
              <w:spacing w:after="0"/>
              <w:rPr>
                <w:sz w:val="20"/>
                <w:szCs w:val="20"/>
                <w:color w:val="auto"/>
              </w:rPr>
            </w:pPr>
            <w:r>
              <w:rPr>
                <w:rFonts w:ascii="Arial" w:cs="Arial" w:eastAsia="Arial" w:hAnsi="Arial"/>
                <w:sz w:val="18"/>
                <w:szCs w:val="18"/>
                <w:b w:val="1"/>
                <w:bCs w:val="1"/>
                <w:color w:val="51555C"/>
              </w:rPr>
              <w:t>Net Investment Hedges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w:t>
            </w:r>
          </w:p>
        </w:tc>
        <w:tc>
          <w:tcPr>
            <w:tcW w:w="2100" w:type="dxa"/>
            <w:vAlign w:val="bottom"/>
            <w:tcBorders>
              <w:bottom w:val="single" w:sz="8" w:color="EBFBFF"/>
            </w:tcBorders>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w:t>
            </w:r>
          </w:p>
        </w:tc>
        <w:tc>
          <w:tcPr>
            <w:tcW w:w="17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6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780" w:type="dxa"/>
            <w:vAlign w:val="bottom"/>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360" w:type="dxa"/>
            <w:vAlign w:val="bottom"/>
            <w:shd w:val="clear" w:color="auto" w:fill="004054"/>
          </w:tcPr>
          <w:p>
            <w:pPr>
              <w:spacing w:after="0"/>
              <w:rPr>
                <w:sz w:val="17"/>
                <w:szCs w:val="17"/>
                <w:color w:val="auto"/>
              </w:rPr>
            </w:pPr>
          </w:p>
        </w:tc>
        <w:tc>
          <w:tcPr>
            <w:tcW w:w="16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16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780" w:type="dxa"/>
            <w:vAlign w:val="bottom"/>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2025</w:t>
            </w:r>
          </w:p>
        </w:tc>
        <w:tc>
          <w:tcPr>
            <w:tcW w:w="100" w:type="dxa"/>
            <w:vAlign w:val="bottom"/>
          </w:tcPr>
          <w:p>
            <w:pPr>
              <w:spacing w:after="0"/>
              <w:rPr>
                <w:sz w:val="18"/>
                <w:szCs w:val="18"/>
                <w:color w:val="auto"/>
              </w:rPr>
            </w:pPr>
          </w:p>
        </w:tc>
        <w:tc>
          <w:tcPr>
            <w:tcW w:w="360" w:type="dxa"/>
            <w:vAlign w:val="bottom"/>
            <w:shd w:val="clear" w:color="auto" w:fill="004054"/>
          </w:tcPr>
          <w:p>
            <w:pPr>
              <w:spacing w:after="0"/>
              <w:rPr>
                <w:sz w:val="18"/>
                <w:szCs w:val="18"/>
                <w:color w:val="auto"/>
              </w:rPr>
            </w:pPr>
          </w:p>
        </w:tc>
        <w:tc>
          <w:tcPr>
            <w:tcW w:w="16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2025</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2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160" w:type="dxa"/>
            <w:vAlign w:val="bottom"/>
            <w:shd w:val="clear" w:color="auto" w:fill="EBFBFF"/>
          </w:tcPr>
          <w:p>
            <w:pPr>
              <w:spacing w:after="0"/>
              <w:rPr>
                <w:sz w:val="24"/>
                <w:szCs w:val="24"/>
                <w:color w:val="auto"/>
              </w:rPr>
            </w:pPr>
          </w:p>
        </w:tc>
        <w:tc>
          <w:tcPr>
            <w:tcW w:w="1620" w:type="dxa"/>
            <w:vAlign w:val="bottom"/>
            <w:tcBorders>
              <w:right w:val="single" w:sz="8" w:color="EBFBFF"/>
            </w:tcBorders>
            <w:shd w:val="clear" w:color="auto" w:fill="EBFBFF"/>
          </w:tcPr>
          <w:p>
            <w:pPr>
              <w:spacing w:after="0"/>
              <w:rPr>
                <w:sz w:val="24"/>
                <w:szCs w:val="24"/>
                <w:color w:val="auto"/>
              </w:rPr>
            </w:pPr>
          </w:p>
        </w:tc>
        <w:tc>
          <w:tcPr>
            <w:tcW w:w="1780" w:type="dxa"/>
            <w:vAlign w:val="bottom"/>
            <w:shd w:val="clear" w:color="auto" w:fill="EBFBFF"/>
          </w:tcPr>
          <w:p>
            <w:pPr>
              <w:spacing w:after="0"/>
              <w:rPr>
                <w:sz w:val="24"/>
                <w:szCs w:val="24"/>
                <w:color w:val="auto"/>
              </w:rPr>
            </w:pPr>
          </w:p>
        </w:tc>
        <w:tc>
          <w:tcPr>
            <w:tcW w:w="32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100" w:type="dxa"/>
            <w:vAlign w:val="bottom"/>
            <w:shd w:val="clear" w:color="auto" w:fill="EBFBFF"/>
          </w:tcPr>
          <w:p>
            <w:pPr>
              <w:spacing w:after="0"/>
              <w:rPr>
                <w:sz w:val="24"/>
                <w:szCs w:val="24"/>
                <w:color w:val="auto"/>
              </w:rPr>
            </w:pPr>
          </w:p>
        </w:tc>
        <w:tc>
          <w:tcPr>
            <w:tcW w:w="360" w:type="dxa"/>
            <w:vAlign w:val="bottom"/>
            <w:shd w:val="clear" w:color="auto" w:fill="EBFBFF"/>
          </w:tcPr>
          <w:p>
            <w:pPr>
              <w:spacing w:after="0"/>
              <w:rPr>
                <w:sz w:val="24"/>
                <w:szCs w:val="24"/>
                <w:color w:val="auto"/>
              </w:rPr>
            </w:pPr>
          </w:p>
        </w:tc>
        <w:tc>
          <w:tcPr>
            <w:tcW w:w="16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620" w:type="dxa"/>
            <w:vAlign w:val="bottom"/>
          </w:tcPr>
          <w:p>
            <w:pPr>
              <w:ind w:left="140"/>
              <w:spacing w:after="0"/>
              <w:rPr>
                <w:sz w:val="20"/>
                <w:szCs w:val="20"/>
                <w:color w:val="auto"/>
              </w:rPr>
            </w:pPr>
            <w:r>
              <w:rPr>
                <w:rFonts w:ascii="Arial" w:cs="Arial" w:eastAsia="Arial" w:hAnsi="Arial"/>
                <w:sz w:val="18"/>
                <w:szCs w:val="18"/>
                <w:color w:val="51555C"/>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51555C"/>
              </w:rPr>
              <w:t>(2,230)</w:t>
            </w: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51555C"/>
              </w:rPr>
              <w:t>Interest expense $</w:t>
            </w:r>
          </w:p>
        </w:tc>
        <w:tc>
          <w:tcPr>
            <w:tcW w:w="1660" w:type="dxa"/>
            <w:vAlign w:val="bottom"/>
          </w:tcPr>
          <w:p>
            <w:pPr>
              <w:jc w:val="right"/>
              <w:spacing w:after="0"/>
              <w:rPr>
                <w:sz w:val="20"/>
                <w:szCs w:val="20"/>
                <w:color w:val="auto"/>
              </w:rPr>
            </w:pPr>
            <w:r>
              <w:rPr>
                <w:rFonts w:ascii="Arial" w:cs="Arial" w:eastAsia="Arial" w:hAnsi="Arial"/>
                <w:sz w:val="18"/>
                <w:szCs w:val="18"/>
                <w:color w:val="51555C"/>
              </w:rPr>
              <w:t>1,549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51555C"/>
              </w:rPr>
              <w:t>3,986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(63)</w:t>
            </w:r>
          </w:p>
        </w:tc>
        <w:tc>
          <w:tcPr>
            <w:tcW w:w="2100" w:type="dxa"/>
            <w:vAlign w:val="bottom"/>
            <w:tcBorders>
              <w:bottom w:val="single" w:sz="8" w:color="EBFBFF"/>
            </w:tcBorders>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Revenue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186</w:t>
            </w:r>
          </w:p>
        </w:tc>
        <w:tc>
          <w:tcPr>
            <w:tcW w:w="100" w:type="dxa"/>
            <w:vAlign w:val="bottom"/>
            <w:tcBorders>
              <w:bottom w:val="single" w:sz="8" w:color="EBFBFF"/>
            </w:tcBorders>
            <w:shd w:val="clear" w:color="auto" w:fill="EBFBFF"/>
          </w:tcPr>
          <w:p>
            <w:pPr>
              <w:spacing w:after="0"/>
              <w:rPr>
                <w:sz w:val="24"/>
                <w:szCs w:val="24"/>
                <w:color w:val="auto"/>
              </w:rPr>
            </w:pP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20" w:type="dxa"/>
            <w:vAlign w:val="bottom"/>
          </w:tcPr>
          <w:p>
            <w:pPr>
              <w:ind w:left="20"/>
              <w:spacing w:after="0"/>
              <w:rPr>
                <w:sz w:val="20"/>
                <w:szCs w:val="20"/>
                <w:color w:val="auto"/>
              </w:rPr>
            </w:pPr>
            <w:r>
              <w:rPr>
                <w:rFonts w:ascii="Arial" w:cs="Arial" w:eastAsia="Arial" w:hAnsi="Arial"/>
                <w:sz w:val="18"/>
                <w:szCs w:val="18"/>
                <w:b w:val="1"/>
                <w:bCs w:val="1"/>
                <w:color w:val="51555C"/>
              </w:rPr>
              <w:t>Net Investment Hedges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w:t>
            </w:r>
          </w:p>
        </w:tc>
        <w:tc>
          <w:tcPr>
            <w:tcW w:w="2100" w:type="dxa"/>
            <w:vAlign w:val="bottom"/>
            <w:tcBorders>
              <w:bottom w:val="single" w:sz="8" w:color="EBFBFF"/>
            </w:tcBorders>
            <w:gridSpan w:val="2"/>
            <w:shd w:val="clear" w:color="auto" w:fill="EBFBFF"/>
          </w:tcPr>
          <w:p>
            <w:pPr>
              <w:jc w:val="right"/>
              <w:ind w:right="200"/>
              <w:spacing w:after="0"/>
              <w:rPr>
                <w:sz w:val="20"/>
                <w:szCs w:val="20"/>
                <w:color w:val="auto"/>
              </w:rPr>
            </w:pPr>
            <w:r>
              <w:rPr>
                <w:rFonts w:ascii="Arial" w:cs="Arial" w:eastAsia="Arial" w:hAnsi="Arial"/>
                <w:sz w:val="18"/>
                <w:szCs w:val="18"/>
                <w:color w:val="51555C"/>
              </w:rPr>
              <w:t>$</w:t>
            </w:r>
          </w:p>
        </w:tc>
        <w:tc>
          <w:tcPr>
            <w:tcW w:w="17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620" w:type="dxa"/>
            <w:vAlign w:val="bottom"/>
            <w:tcBorders>
              <w:right w:val="single" w:sz="8" w:color="0CD973"/>
            </w:tcBorders>
            <w:shd w:val="clear" w:color="auto" w:fill="0CD973"/>
          </w:tcPr>
          <w:p>
            <w:pPr>
              <w:spacing w:after="0" w:line="20" w:lineRule="exact"/>
              <w:rPr>
                <w:sz w:val="1"/>
                <w:szCs w:val="1"/>
                <w:color w:val="auto"/>
              </w:rPr>
            </w:pPr>
          </w:p>
        </w:tc>
        <w:tc>
          <w:tcPr>
            <w:tcW w:w="178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-1302385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-2631440</wp:posOffset>
            </wp:positionV>
            <wp:extent cx="4852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2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September 30, 2026 that is expected to be reclassified into earnings within the next twelve months is $6.5 million. There were no ineffective portions of our interest rate swap or foreign currency forward derivatives during the nine months ended September 30, 2026 and 2025. See Note 10 to these unaudited, condensed consolidated financial statements for a summary of the changes in accumulated other comprehensive income (loss) by component. We classify cash flows related to derivative instruments as operating activities in the unaudited,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224155</wp:posOffset>
            </wp:positionV>
            <wp:extent cx="65976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15</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Leases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have operating leases for corporate offices and subleased offices. As of September 30, 2026, we did not have any operating leases that had not yet commenced.</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Lease costs for the three and nine months ended September 30, 2026 and 2025 were insignificant. As a result, we have not presented a tabular summary of the components of lease costs for the period.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"Operating lease right-of-use assets" are included within "other assets" in our unaudited, condensed consolidated balance sheets. "Operating lease liabilities, current portion" are included in "accrued expenses and other current liabilities," while "operating lease liabilities, net of current portion" are included in "other liabilities" in our unaudited, condensed consolidated balance sheets. See Note 5 to these unaudited, condensed consolidated financial statements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commitments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have contractual obligations for third-party technology used in our solutions and for other services we purchase as part of our normal operations. In certain cases, these arrangements require a minimum annual purchase commitment by us. As of September 30, 2026, the remaining aggregate minimum purchase commitment under these arrangements was approximately $89.9 million through 2031.</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have a multi-year arrangement for third-party technology and related services, financed through a third-party installment arrangement, that requires fixed payments through April 2030. See discussion of "Other debt" at Note 6 to these unaudited, condensed consolidated financial statements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Solution and service indemnifications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Legal proceedings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are subject to legal proceedings and claims that arise in the ordinary course of business, as well as certain other non-ordinary course proceedings, claims and investigations.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 We have determined as of September 30, 2026, that no provision for liability nor disclosure is required related to any pending or anticipated legal proceeding or claim against us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adversely affected in any particular period by an unfavorable resolution of one or more of such legal proceedings.</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16</w:t>
      </w:r>
      <w:r>
        <w:rPr>
          <w:sz w:val="20"/>
          <w:szCs w:val="20"/>
          <w:color w:val="auto"/>
        </w:rPr>
        <w:tab/>
      </w:r>
      <w:r>
        <w:rPr>
          <w:sz w:val="1"/>
          <w:szCs w:val="1"/>
          <w:color w:val="auto"/>
        </w:rPr>
        <w:drawing>
          <wp:inline distT="0" distB="0" distL="0" distR="0">
            <wp:extent cx="651510" cy="1714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UK VAT audit</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Certain of our UK subsidiaries are under audit by His Majesty's Revenue and Customs ("HMRC") regarding the value-added tax ("VAT") treatment of certain services provided by those subsidiaries. HMRC has issued an assessment in an immaterial amount for one fiscal quarter (Q3 2022), which we are contesting. We dispute HMRC's position and are pursuing available administrative and legal remedies. We have not recorded a liability related to this audit because we do not believe a loss is probable. A loss is reasonably possible; however, this matter is in its early stages, and therefore, we are unable to provide a reasonable estimate of any possible loss or range of loss relating to this matter at this time or regarding the materiality of such possible loss. Depending on the scope and ultimate resolution of the audit, this matter could have a material adverse impact on our results of operations, cash flows, or financial position in the period in which it is resolved.</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9.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51555C"/>
        </w:rPr>
        <w:t>Our income tax provision (benefit) and effective income tax rates, including the effects of period-specific events,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shd w:val="clear" w:color="auto" w:fill="004054"/>
          </w:tcPr>
          <w:p>
            <w:pPr>
              <w:spacing w:after="0"/>
              <w:rPr>
                <w:sz w:val="17"/>
                <w:szCs w:val="17"/>
                <w:color w:val="auto"/>
              </w:rPr>
            </w:pPr>
          </w:p>
        </w:tc>
        <w:tc>
          <w:tcPr>
            <w:tcW w:w="540" w:type="dxa"/>
            <w:vAlign w:val="bottom"/>
            <w:shd w:val="clear" w:color="auto" w:fill="004054"/>
          </w:tcPr>
          <w:p>
            <w:pPr>
              <w:spacing w:after="0"/>
              <w:rPr>
                <w:sz w:val="17"/>
                <w:szCs w:val="17"/>
                <w:color w:val="auto"/>
              </w:rPr>
            </w:pPr>
          </w:p>
        </w:tc>
        <w:tc>
          <w:tcPr>
            <w:tcW w:w="940" w:type="dxa"/>
            <w:vAlign w:val="bottom"/>
            <w:shd w:val="clear" w:color="auto" w:fill="004054"/>
          </w:tcPr>
          <w:p>
            <w:pPr>
              <w:spacing w:after="0"/>
              <w:rPr>
                <w:sz w:val="17"/>
                <w:szCs w:val="17"/>
                <w:color w:val="auto"/>
              </w:rPr>
            </w:pPr>
          </w:p>
        </w:tc>
        <w:tc>
          <w:tcPr>
            <w:tcW w:w="15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108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6"/>
        </w:trPr>
        <w:tc>
          <w:tcPr>
            <w:tcW w:w="5100" w:type="dxa"/>
            <w:vAlign w:val="bottom"/>
            <w:shd w:val="clear" w:color="auto" w:fill="004054"/>
          </w:tcPr>
          <w:p>
            <w:pPr>
              <w:spacing w:after="0"/>
              <w:rPr>
                <w:sz w:val="17"/>
                <w:szCs w:val="17"/>
                <w:color w:val="auto"/>
              </w:rPr>
            </w:pPr>
          </w:p>
        </w:tc>
        <w:tc>
          <w:tcPr>
            <w:tcW w:w="540" w:type="dxa"/>
            <w:vAlign w:val="bottom"/>
            <w:shd w:val="clear" w:color="auto" w:fill="004054"/>
          </w:tcPr>
          <w:p>
            <w:pPr>
              <w:spacing w:after="0"/>
              <w:rPr>
                <w:sz w:val="17"/>
                <w:szCs w:val="17"/>
                <w:color w:val="auto"/>
              </w:rPr>
            </w:pPr>
          </w:p>
        </w:tc>
        <w:tc>
          <w:tcPr>
            <w:tcW w:w="94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108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252"/>
        </w:trPr>
        <w:tc>
          <w:tcPr>
            <w:tcW w:w="51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tcBorders>
              <w:bottom w:val="single" w:sz="8" w:color="004054"/>
            </w:tcBorders>
            <w:shd w:val="clear" w:color="auto" w:fill="004054"/>
          </w:tcPr>
          <w:p>
            <w:pPr>
              <w:spacing w:after="0"/>
              <w:rPr>
                <w:sz w:val="21"/>
                <w:szCs w:val="21"/>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20" w:type="dxa"/>
            <w:vAlign w:val="bottom"/>
            <w:tcBorders>
              <w:bottom w:val="single" w:sz="8" w:color="004054"/>
            </w:tcBorders>
            <w:shd w:val="clear" w:color="auto" w:fill="004054"/>
          </w:tcPr>
          <w:p>
            <w:pPr>
              <w:spacing w:after="0"/>
              <w:rPr>
                <w:sz w:val="21"/>
                <w:szCs w:val="21"/>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1"/>
                <w:szCs w:val="21"/>
                <w:color w:val="auto"/>
              </w:rPr>
            </w:pPr>
          </w:p>
        </w:tc>
        <w:tc>
          <w:tcPr>
            <w:tcW w:w="440" w:type="dxa"/>
            <w:vAlign w:val="bottom"/>
            <w:tcBorders>
              <w:bottom w:val="single" w:sz="8" w:color="004054"/>
            </w:tcBorders>
            <w:shd w:val="clear" w:color="auto" w:fill="004054"/>
          </w:tcPr>
          <w:p>
            <w:pPr>
              <w:spacing w:after="0"/>
              <w:rPr>
                <w:sz w:val="21"/>
                <w:szCs w:val="21"/>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40" w:type="dxa"/>
            <w:vAlign w:val="bottom"/>
            <w:tcBorders>
              <w:bottom w:val="single" w:sz="8" w:color="004054"/>
            </w:tcBorders>
            <w:shd w:val="clear" w:color="auto" w:fill="004054"/>
          </w:tcPr>
          <w:p>
            <w:pPr>
              <w:spacing w:after="0"/>
              <w:rPr>
                <w:sz w:val="21"/>
                <w:szCs w:val="21"/>
                <w:color w:val="auto"/>
              </w:rPr>
            </w:pP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1"/>
                <w:szCs w:val="21"/>
                <w:color w:val="auto"/>
              </w:rPr>
            </w:pPr>
          </w:p>
        </w:tc>
      </w:tr>
      <w:tr>
        <w:trPr>
          <w:trHeight w:val="304"/>
        </w:trPr>
        <w:tc>
          <w:tcPr>
            <w:tcW w:w="5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Income tax provision (benefit)</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ind w:right="156"/>
              <w:spacing w:after="0"/>
              <w:rPr>
                <w:sz w:val="20"/>
                <w:szCs w:val="20"/>
                <w:color w:val="auto"/>
              </w:rPr>
            </w:pPr>
            <w:r>
              <w:rPr>
                <w:rFonts w:ascii="Arial" w:cs="Arial" w:eastAsia="Arial" w:hAnsi="Arial"/>
                <w:sz w:val="18"/>
                <w:szCs w:val="18"/>
                <w:color w:val="51555C"/>
              </w:rPr>
              <w:t>371</w:t>
            </w:r>
          </w:p>
        </w:tc>
        <w:tc>
          <w:tcPr>
            <w:tcW w:w="320" w:type="dxa"/>
            <w:vAlign w:val="bottom"/>
            <w:tcBorders>
              <w:bottom w:val="single" w:sz="8" w:color="EBFBFF"/>
            </w:tcBorders>
            <w:shd w:val="clear" w:color="auto" w:fill="EBFBFF"/>
          </w:tcPr>
          <w:p>
            <w:pPr>
              <w:jc w:val="right"/>
              <w:ind w:right="119"/>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ind w:right="119"/>
              <w:spacing w:after="0"/>
              <w:rPr>
                <w:sz w:val="20"/>
                <w:szCs w:val="20"/>
                <w:color w:val="auto"/>
              </w:rPr>
            </w:pPr>
            <w:r>
              <w:rPr>
                <w:rFonts w:ascii="Arial" w:cs="Arial" w:eastAsia="Arial" w:hAnsi="Arial"/>
                <w:sz w:val="18"/>
                <w:szCs w:val="18"/>
                <w:color w:val="51555C"/>
              </w:rPr>
              <w:t>(6,448)</w:t>
            </w:r>
          </w:p>
        </w:tc>
        <w:tc>
          <w:tcPr>
            <w:tcW w:w="540" w:type="dxa"/>
            <w:vAlign w:val="bottom"/>
            <w:tcBorders>
              <w:bottom w:val="single" w:sz="8" w:color="EBFBFF"/>
            </w:tcBorders>
            <w:gridSpan w:val="2"/>
            <w:shd w:val="clear" w:color="auto" w:fill="EBFBFF"/>
          </w:tcPr>
          <w:p>
            <w:pPr>
              <w:jc w:val="right"/>
              <w:ind w:right="320"/>
              <w:spacing w:after="0"/>
              <w:rPr>
                <w:sz w:val="20"/>
                <w:szCs w:val="20"/>
                <w:color w:val="auto"/>
              </w:rPr>
            </w:pPr>
            <w:r>
              <w:rPr>
                <w:rFonts w:ascii="Arial" w:cs="Arial" w:eastAsia="Arial" w:hAnsi="Arial"/>
                <w:sz w:val="18"/>
                <w:szCs w:val="18"/>
                <w:color w:val="51555C"/>
              </w:rPr>
              <w:t>$</w:t>
            </w:r>
          </w:p>
        </w:tc>
        <w:tc>
          <w:tcPr>
            <w:tcW w:w="1080" w:type="dxa"/>
            <w:vAlign w:val="bottom"/>
            <w:tcBorders>
              <w:bottom w:val="single" w:sz="8" w:color="EBFBFF"/>
            </w:tcBorders>
            <w:shd w:val="clear" w:color="auto" w:fill="EBFBFF"/>
          </w:tcPr>
          <w:p>
            <w:pPr>
              <w:jc w:val="right"/>
              <w:ind w:right="156"/>
              <w:spacing w:after="0"/>
              <w:rPr>
                <w:sz w:val="20"/>
                <w:szCs w:val="20"/>
                <w:color w:val="auto"/>
              </w:rPr>
            </w:pPr>
            <w:r>
              <w:rPr>
                <w:rFonts w:ascii="Arial" w:cs="Arial" w:eastAsia="Arial" w:hAnsi="Arial"/>
                <w:sz w:val="18"/>
                <w:szCs w:val="18"/>
                <w:color w:val="51555C"/>
              </w:rPr>
              <w:t>18,100</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80" w:type="dxa"/>
            <w:vAlign w:val="bottom"/>
            <w:tcBorders>
              <w:bottom w:val="single" w:sz="8" w:color="EBFBFF"/>
            </w:tcBorders>
            <w:shd w:val="clear" w:color="auto" w:fill="EBFBFF"/>
          </w:tcPr>
          <w:p>
            <w:pPr>
              <w:jc w:val="right"/>
              <w:ind w:right="161"/>
              <w:spacing w:after="0"/>
              <w:rPr>
                <w:sz w:val="20"/>
                <w:szCs w:val="20"/>
                <w:color w:val="auto"/>
              </w:rPr>
            </w:pPr>
            <w:r>
              <w:rPr>
                <w:rFonts w:ascii="Arial" w:cs="Arial" w:eastAsia="Arial" w:hAnsi="Arial"/>
                <w:sz w:val="18"/>
                <w:szCs w:val="18"/>
                <w:color w:val="51555C"/>
              </w:rPr>
              <w:t>7,669</w:t>
            </w:r>
          </w:p>
        </w:tc>
        <w:tc>
          <w:tcPr>
            <w:tcW w:w="20" w:type="dxa"/>
            <w:vAlign w:val="bottom"/>
          </w:tcPr>
          <w:p>
            <w:pPr>
              <w:spacing w:after="0"/>
              <w:rPr>
                <w:sz w:val="24"/>
                <w:szCs w:val="24"/>
                <w:color w:val="auto"/>
              </w:rPr>
            </w:pPr>
          </w:p>
        </w:tc>
      </w:tr>
      <w:tr>
        <w:trPr>
          <w:trHeight w:val="301"/>
        </w:trPr>
        <w:tc>
          <w:tcPr>
            <w:tcW w:w="5100" w:type="dxa"/>
            <w:vAlign w:val="bottom"/>
          </w:tcPr>
          <w:p>
            <w:pPr>
              <w:ind w:left="20"/>
              <w:spacing w:after="0"/>
              <w:rPr>
                <w:sz w:val="20"/>
                <w:szCs w:val="20"/>
                <w:color w:val="auto"/>
              </w:rPr>
            </w:pPr>
            <w:r>
              <w:rPr>
                <w:rFonts w:ascii="Arial" w:cs="Arial" w:eastAsia="Arial" w:hAnsi="Arial"/>
                <w:sz w:val="18"/>
                <w:szCs w:val="18"/>
                <w:color w:val="51555C"/>
              </w:rPr>
              <w:t>Effective income tax rate</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0.8 %</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(15.7)%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13.9 %</w:t>
            </w: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8.9 %</w:t>
            </w:r>
          </w:p>
        </w:tc>
        <w:tc>
          <w:tcPr>
            <w:tcW w:w="20" w:type="dxa"/>
            <w:vAlign w:val="bottom"/>
          </w:tcPr>
          <w:p>
            <w:pPr>
              <w:spacing w:after="0"/>
              <w:rPr>
                <w:sz w:val="24"/>
                <w:szCs w:val="24"/>
                <w:color w:val="auto"/>
              </w:rPr>
            </w:pPr>
          </w:p>
        </w:tc>
      </w:tr>
      <w:tr>
        <w:trPr>
          <w:trHeight w:val="23"/>
        </w:trPr>
        <w:tc>
          <w:tcPr>
            <w:tcW w:w="5100" w:type="dxa"/>
            <w:vAlign w:val="bottom"/>
            <w:tcBorders>
              <w:bottom w:val="single" w:sz="8" w:color="0CD973"/>
            </w:tcBorders>
          </w:tcPr>
          <w:p>
            <w:pPr>
              <w:spacing w:after="0"/>
              <w:rPr>
                <w:sz w:val="2"/>
                <w:szCs w:val="2"/>
                <w:color w:val="auto"/>
              </w:rPr>
            </w:pPr>
          </w:p>
        </w:tc>
        <w:tc>
          <w:tcPr>
            <w:tcW w:w="540" w:type="dxa"/>
            <w:vAlign w:val="bottom"/>
            <w:tcBorders>
              <w:bottom w:val="single" w:sz="8" w:color="0CD973"/>
            </w:tcBorders>
          </w:tcPr>
          <w:p>
            <w:pPr>
              <w:spacing w:after="0"/>
              <w:rPr>
                <w:sz w:val="2"/>
                <w:szCs w:val="2"/>
                <w:color w:val="auto"/>
              </w:rPr>
            </w:pPr>
          </w:p>
        </w:tc>
        <w:tc>
          <w:tcPr>
            <w:tcW w:w="940" w:type="dxa"/>
            <w:vAlign w:val="bottom"/>
            <w:tcBorders>
              <w:bottom w:val="single" w:sz="8" w:color="0CD973"/>
            </w:tcBorders>
          </w:tcPr>
          <w:p>
            <w:pPr>
              <w:spacing w:after="0"/>
              <w:rPr>
                <w:sz w:val="2"/>
                <w:szCs w:val="2"/>
                <w:color w:val="auto"/>
              </w:rPr>
            </w:pPr>
          </w:p>
        </w:tc>
        <w:tc>
          <w:tcPr>
            <w:tcW w:w="32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3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-582295</wp:posOffset>
            </wp:positionV>
            <wp:extent cx="39090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2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The increases in our effective income tax rate for the three and nine months ended September 30, 2026 when compared to the same periods in 2025 were primarily due to state income taxes and the limitation on deductible executive compensation under Section 162(m). These increases were partially offset by a reduction in our valuation allowance, increasing the effects of the changes in the realizability of certain deferred tax assets. Our effective tax rate and income tax provision increased in both the three months and the nine months ended September 30, 2026, reflecting the change in pre-tax book income between periods and the tax benefits described above.</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On July 4, 2025, the One Big Beautiful Bill Act (“OBBBA”) was signed into law. The legislation makes permanent certain provisions of the 2017 Tax Cuts and Jobs Act, and also modifies the U.S. taxation of foreign earnings along with changes to the calculation of foreign tax credits and net operating loss. Under ASC 740, we continue to recognize its impacts in 2026.</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continue to maintain a valuation allowance against a portion of our deferred tax assets primarily due to our cumulative loss measured over the most recent three -year period. The reduction in our valuation allowance recognized in 2026 reflects the changes in realizability of certain deferred tax assets based on our assessment of all the positive and negative evidence.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10.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Stock repurchase program</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restrictions on our ability to repurchase shares of our common stock, which are summarized on page 37 in this report.</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account for purchases of treasury stock under the cost method. On December 1, 2025, our Board of Directors reauthorized, expanded and replenished our stock repurchase program by expanding the total capacity under the program to $1.0 billion available for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194945</wp:posOffset>
            </wp:positionV>
            <wp:extent cx="65976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17</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During the three months ended September 30, 2026, we repurchased an aggregate of 448,000 shares for $18.3 million. During the nine months ended September 30, 2026, we repurchased an aggregate of 2,846,852 shares for $128.4 million. The remaining amount available to purchase stock under the approved stock repurchase program was $832.1 million as of September 30,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Changes in accumulated other comprehensive (loss) income by component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accumulated other comprehensive (loss) income by component,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98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9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6"/>
        </w:trPr>
        <w:tc>
          <w:tcPr>
            <w:tcW w:w="654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80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04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84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252"/>
        </w:trPr>
        <w:tc>
          <w:tcPr>
            <w:tcW w:w="65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340" w:type="dxa"/>
            <w:vAlign w:val="bottom"/>
            <w:tcBorders>
              <w:bottom w:val="single" w:sz="8" w:color="004054"/>
            </w:tcBorders>
            <w:shd w:val="clear" w:color="auto" w:fill="004054"/>
          </w:tcPr>
          <w:p>
            <w:pPr>
              <w:spacing w:after="0"/>
              <w:rPr>
                <w:sz w:val="21"/>
                <w:szCs w:val="21"/>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40" w:type="dxa"/>
            <w:vAlign w:val="bottom"/>
            <w:tcBorders>
              <w:bottom w:val="single" w:sz="8" w:color="004054"/>
            </w:tcBorders>
            <w:shd w:val="clear" w:color="auto" w:fill="004054"/>
          </w:tcPr>
          <w:p>
            <w:pPr>
              <w:spacing w:after="0"/>
              <w:rPr>
                <w:sz w:val="21"/>
                <w:szCs w:val="21"/>
                <w:color w:val="auto"/>
              </w:rPr>
            </w:pPr>
          </w:p>
        </w:tc>
        <w:tc>
          <w:tcPr>
            <w:tcW w:w="104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tcBorders>
              <w:bottom w:val="single" w:sz="8" w:color="EBFBFF"/>
            </w:tcBorders>
          </w:tcPr>
          <w:p>
            <w:pPr>
              <w:spacing w:after="0"/>
              <w:rPr>
                <w:sz w:val="21"/>
                <w:szCs w:val="21"/>
                <w:color w:val="auto"/>
              </w:rPr>
            </w:pPr>
          </w:p>
        </w:tc>
        <w:tc>
          <w:tcPr>
            <w:tcW w:w="320" w:type="dxa"/>
            <w:vAlign w:val="bottom"/>
            <w:tcBorders>
              <w:bottom w:val="single" w:sz="8" w:color="004054"/>
            </w:tcBorders>
            <w:shd w:val="clear" w:color="auto" w:fill="004054"/>
          </w:tcPr>
          <w:p>
            <w:pPr>
              <w:spacing w:after="0"/>
              <w:rPr>
                <w:sz w:val="21"/>
                <w:szCs w:val="21"/>
                <w:color w:val="auto"/>
              </w:rPr>
            </w:pPr>
          </w:p>
        </w:tc>
        <w:tc>
          <w:tcPr>
            <w:tcW w:w="8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20" w:type="dxa"/>
            <w:vAlign w:val="bottom"/>
            <w:tcBorders>
              <w:bottom w:val="single" w:sz="8" w:color="004054"/>
            </w:tcBorders>
            <w:shd w:val="clear" w:color="auto" w:fill="004054"/>
          </w:tcPr>
          <w:p>
            <w:pPr>
              <w:spacing w:after="0"/>
              <w:rPr>
                <w:sz w:val="21"/>
                <w:szCs w:val="21"/>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1"/>
                <w:szCs w:val="21"/>
                <w:color w:val="auto"/>
              </w:rPr>
            </w:pPr>
          </w:p>
        </w:tc>
      </w:tr>
      <w:tr>
        <w:trPr>
          <w:trHeight w:val="324"/>
        </w:trPr>
        <w:tc>
          <w:tcPr>
            <w:tcW w:w="65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loss, beginning of period</w:t>
            </w:r>
          </w:p>
        </w:tc>
        <w:tc>
          <w:tcPr>
            <w:tcW w:w="340" w:type="dxa"/>
            <w:vAlign w:val="bottom"/>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(925)</w:t>
            </w:r>
          </w:p>
        </w:tc>
        <w:tc>
          <w:tcPr>
            <w:tcW w:w="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04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(6,292)</w:t>
            </w:r>
          </w:p>
        </w:tc>
        <w:tc>
          <w:tcPr>
            <w:tcW w:w="400" w:type="dxa"/>
            <w:vAlign w:val="bottom"/>
            <w:gridSpan w:val="2"/>
            <w:shd w:val="clear" w:color="auto" w:fill="EBFBFF"/>
          </w:tcPr>
          <w:p>
            <w:pPr>
              <w:jc w:val="right"/>
              <w:ind w:right="110"/>
              <w:spacing w:after="0"/>
              <w:rPr>
                <w:sz w:val="20"/>
                <w:szCs w:val="20"/>
                <w:color w:val="auto"/>
              </w:rPr>
            </w:pPr>
            <w:r>
              <w:rPr>
                <w:rFonts w:ascii="Arial" w:cs="Arial" w:eastAsia="Arial" w:hAnsi="Arial"/>
                <w:sz w:val="18"/>
                <w:szCs w:val="18"/>
                <w:color w:val="51555C"/>
              </w:rPr>
              <w:t>$</w:t>
            </w:r>
          </w:p>
        </w:tc>
        <w:tc>
          <w:tcPr>
            <w:tcW w:w="8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(5,948)</w:t>
            </w:r>
          </w:p>
        </w:tc>
        <w:tc>
          <w:tcPr>
            <w:tcW w:w="120" w:type="dxa"/>
            <w:vAlign w:val="bottom"/>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(4,869)</w:t>
            </w:r>
          </w:p>
        </w:tc>
        <w:tc>
          <w:tcPr>
            <w:tcW w:w="20" w:type="dxa"/>
            <w:vAlign w:val="bottom"/>
          </w:tcPr>
          <w:p>
            <w:pPr>
              <w:spacing w:after="0"/>
              <w:rPr>
                <w:sz w:val="24"/>
                <w:szCs w:val="24"/>
                <w:color w:val="auto"/>
              </w:rPr>
            </w:pPr>
          </w:p>
        </w:tc>
      </w:tr>
      <w:tr>
        <w:trPr>
          <w:trHeight w:val="317"/>
        </w:trPr>
        <w:tc>
          <w:tcPr>
            <w:tcW w:w="6540" w:type="dxa"/>
            <w:vAlign w:val="bottom"/>
          </w:tcPr>
          <w:p>
            <w:pPr>
              <w:ind w:left="20"/>
              <w:spacing w:after="0"/>
              <w:rPr>
                <w:sz w:val="20"/>
                <w:szCs w:val="20"/>
                <w:color w:val="auto"/>
              </w:rPr>
            </w:pPr>
            <w:r>
              <w:rPr>
                <w:rFonts w:ascii="Arial" w:cs="Arial" w:eastAsia="Arial" w:hAnsi="Arial"/>
                <w:sz w:val="18"/>
                <w:szCs w:val="18"/>
                <w:b w:val="1"/>
                <w:bCs w:val="1"/>
                <w:color w:val="51555C"/>
              </w:rPr>
              <w:t>By component:</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6540" w:type="dxa"/>
            <w:vAlign w:val="bottom"/>
            <w:shd w:val="clear" w:color="auto" w:fill="EBFBFF"/>
          </w:tcPr>
          <w:p>
            <w:pPr>
              <w:ind w:left="140"/>
              <w:spacing w:after="0"/>
              <w:rPr>
                <w:sz w:val="20"/>
                <w:szCs w:val="20"/>
                <w:color w:val="auto"/>
              </w:rPr>
            </w:pPr>
            <w:r>
              <w:rPr>
                <w:rFonts w:ascii="Arial" w:cs="Arial" w:eastAsia="Arial" w:hAnsi="Arial"/>
                <w:sz w:val="18"/>
                <w:szCs w:val="18"/>
                <w:b w:val="1"/>
                <w:bCs w:val="1"/>
                <w:color w:val="51555C"/>
              </w:rPr>
              <w:t>Gains and losses on cash flow hedges:</w:t>
            </w:r>
          </w:p>
        </w:tc>
        <w:tc>
          <w:tcPr>
            <w:tcW w:w="340" w:type="dxa"/>
            <w:vAlign w:val="bottom"/>
            <w:shd w:val="clear" w:color="auto" w:fill="EBFBFF"/>
          </w:tcPr>
          <w:p>
            <w:pPr>
              <w:spacing w:after="0"/>
              <w:rPr>
                <w:sz w:val="24"/>
                <w:szCs w:val="24"/>
                <w:color w:val="auto"/>
              </w:rPr>
            </w:pPr>
          </w:p>
        </w:tc>
        <w:tc>
          <w:tcPr>
            <w:tcW w:w="800" w:type="dxa"/>
            <w:vAlign w:val="bottom"/>
            <w:shd w:val="clear" w:color="auto" w:fill="EBFBFF"/>
          </w:tcPr>
          <w:p>
            <w:pPr>
              <w:spacing w:after="0"/>
              <w:rPr>
                <w:sz w:val="24"/>
                <w:szCs w:val="24"/>
                <w:color w:val="auto"/>
              </w:rPr>
            </w:pPr>
          </w:p>
        </w:tc>
        <w:tc>
          <w:tcPr>
            <w:tcW w:w="14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80" w:type="dxa"/>
            <w:vAlign w:val="bottom"/>
            <w:shd w:val="clear" w:color="auto" w:fill="EBFBFF"/>
          </w:tcPr>
          <w:p>
            <w:pPr>
              <w:spacing w:after="0"/>
              <w:rPr>
                <w:sz w:val="24"/>
                <w:szCs w:val="24"/>
                <w:color w:val="auto"/>
              </w:rPr>
            </w:pPr>
          </w:p>
        </w:tc>
        <w:tc>
          <w:tcPr>
            <w:tcW w:w="320" w:type="dxa"/>
            <w:vAlign w:val="bottom"/>
            <w:shd w:val="clear" w:color="auto" w:fill="EBFBFF"/>
          </w:tcPr>
          <w:p>
            <w:pPr>
              <w:spacing w:after="0"/>
              <w:rPr>
                <w:sz w:val="24"/>
                <w:szCs w:val="24"/>
                <w:color w:val="auto"/>
              </w:rPr>
            </w:pPr>
          </w:p>
        </w:tc>
        <w:tc>
          <w:tcPr>
            <w:tcW w:w="840" w:type="dxa"/>
            <w:vAlign w:val="bottom"/>
            <w:shd w:val="clear" w:color="auto" w:fill="EBFBFF"/>
          </w:tcPr>
          <w:p>
            <w:pPr>
              <w:spacing w:after="0"/>
              <w:rPr>
                <w:sz w:val="24"/>
                <w:szCs w:val="24"/>
                <w:color w:val="auto"/>
              </w:rPr>
            </w:pPr>
          </w:p>
        </w:tc>
        <w:tc>
          <w:tcPr>
            <w:tcW w:w="120" w:type="dxa"/>
            <w:vAlign w:val="bottom"/>
            <w:shd w:val="clear" w:color="auto" w:fill="EBFBFF"/>
          </w:tcPr>
          <w:p>
            <w:pPr>
              <w:spacing w:after="0"/>
              <w:rPr>
                <w:sz w:val="24"/>
                <w:szCs w:val="24"/>
                <w:color w:val="auto"/>
              </w:rPr>
            </w:pPr>
          </w:p>
        </w:tc>
        <w:tc>
          <w:tcPr>
            <w:tcW w:w="10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(loss) 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51555C"/>
                <w:w w:val="99"/>
              </w:rPr>
              <w:t>$</w:t>
            </w:r>
          </w:p>
        </w:tc>
        <w:tc>
          <w:tcPr>
            <w:tcW w:w="800" w:type="dxa"/>
            <w:vAlign w:val="bottom"/>
          </w:tcPr>
          <w:p>
            <w:pPr>
              <w:jc w:val="right"/>
              <w:spacing w:after="0"/>
              <w:rPr>
                <w:sz w:val="20"/>
                <w:szCs w:val="20"/>
                <w:color w:val="auto"/>
              </w:rPr>
            </w:pPr>
            <w:r>
              <w:rPr>
                <w:rFonts w:ascii="Arial" w:cs="Arial" w:eastAsia="Arial" w:hAnsi="Arial"/>
                <w:sz w:val="18"/>
                <w:szCs w:val="18"/>
                <w:color w:val="51555C"/>
              </w:rPr>
              <w:t>4,473</w:t>
            </w:r>
          </w:p>
        </w:tc>
        <w:tc>
          <w:tcPr>
            <w:tcW w:w="140" w:type="dxa"/>
            <w:vAlign w:val="bottom"/>
          </w:tcPr>
          <w:p>
            <w:pPr>
              <w:jc w:val="right"/>
              <w:spacing w:after="0"/>
              <w:rPr>
                <w:sz w:val="20"/>
                <w:szCs w:val="20"/>
                <w:color w:val="auto"/>
              </w:rPr>
            </w:pPr>
            <w:r>
              <w:rPr>
                <w:rFonts w:ascii="Arial" w:cs="Arial" w:eastAsia="Arial" w:hAnsi="Arial"/>
                <w:sz w:val="18"/>
                <w:szCs w:val="18"/>
                <w:color w:val="51555C"/>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(4,207)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51555C"/>
              </w:rPr>
              <w:t>$</w:t>
            </w:r>
          </w:p>
        </w:tc>
        <w:tc>
          <w:tcPr>
            <w:tcW w:w="840" w:type="dxa"/>
            <w:vAlign w:val="bottom"/>
          </w:tcPr>
          <w:p>
            <w:pPr>
              <w:jc w:val="right"/>
              <w:spacing w:after="0"/>
              <w:rPr>
                <w:sz w:val="20"/>
                <w:szCs w:val="20"/>
                <w:color w:val="auto"/>
              </w:rPr>
            </w:pPr>
            <w:r>
              <w:rPr>
                <w:rFonts w:ascii="Arial" w:cs="Arial" w:eastAsia="Arial" w:hAnsi="Arial"/>
                <w:sz w:val="18"/>
                <w:szCs w:val="18"/>
                <w:color w:val="51555C"/>
              </w:rPr>
              <w:t>(2,147)</w:t>
            </w:r>
          </w:p>
        </w:tc>
        <w:tc>
          <w:tcPr>
            <w:tcW w:w="12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7,799</w:t>
            </w:r>
          </w:p>
        </w:tc>
        <w:tc>
          <w:tcPr>
            <w:tcW w:w="20" w:type="dxa"/>
            <w:vAlign w:val="bottom"/>
          </w:tcPr>
          <w:p>
            <w:pPr>
              <w:spacing w:after="0"/>
              <w:rPr>
                <w:sz w:val="24"/>
                <w:szCs w:val="24"/>
                <w:color w:val="auto"/>
              </w:rPr>
            </w:pPr>
          </w:p>
        </w:tc>
      </w:tr>
      <w:tr>
        <w:trPr>
          <w:trHeight w:val="2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8"/>
        </w:trPr>
        <w:tc>
          <w:tcPr>
            <w:tcW w:w="6540" w:type="dxa"/>
            <w:vAlign w:val="bottom"/>
            <w:shd w:val="clear" w:color="auto" w:fill="EBFBFF"/>
          </w:tcPr>
          <w:p>
            <w:pPr>
              <w:ind w:left="360"/>
              <w:spacing w:after="0"/>
              <w:rPr>
                <w:sz w:val="20"/>
                <w:szCs w:val="20"/>
                <w:color w:val="auto"/>
              </w:rPr>
            </w:pPr>
            <w:r>
              <w:rPr>
                <w:rFonts w:ascii="Arial" w:cs="Arial" w:eastAsia="Arial" w:hAnsi="Arial"/>
                <w:sz w:val="18"/>
                <w:szCs w:val="18"/>
                <w:color w:val="51555C"/>
              </w:rPr>
              <w:t>Other comprehensive income (loss) before reclassifications, net of tax effects</w:t>
            </w:r>
          </w:p>
        </w:tc>
        <w:tc>
          <w:tcPr>
            <w:tcW w:w="340" w:type="dxa"/>
            <w:vAlign w:val="bottom"/>
            <w:shd w:val="clear" w:color="auto" w:fill="EBFBFF"/>
          </w:tcPr>
          <w:p>
            <w:pPr>
              <w:spacing w:after="0"/>
              <w:rPr>
                <w:sz w:val="24"/>
                <w:szCs w:val="24"/>
                <w:color w:val="auto"/>
              </w:rPr>
            </w:pPr>
          </w:p>
        </w:tc>
        <w:tc>
          <w:tcPr>
            <w:tcW w:w="800" w:type="dxa"/>
            <w:vAlign w:val="bottom"/>
            <w:shd w:val="clear" w:color="auto" w:fill="EBFBFF"/>
          </w:tcPr>
          <w:p>
            <w:pPr>
              <w:spacing w:after="0"/>
              <w:rPr>
                <w:sz w:val="24"/>
                <w:szCs w:val="24"/>
                <w:color w:val="auto"/>
              </w:rPr>
            </w:pPr>
          </w:p>
        </w:tc>
        <w:tc>
          <w:tcPr>
            <w:tcW w:w="14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80" w:type="dxa"/>
            <w:vAlign w:val="bottom"/>
            <w:shd w:val="clear" w:color="auto" w:fill="EBFBFF"/>
          </w:tcPr>
          <w:p>
            <w:pPr>
              <w:spacing w:after="0"/>
              <w:rPr>
                <w:sz w:val="24"/>
                <w:szCs w:val="24"/>
                <w:color w:val="auto"/>
              </w:rPr>
            </w:pPr>
          </w:p>
        </w:tc>
        <w:tc>
          <w:tcPr>
            <w:tcW w:w="320" w:type="dxa"/>
            <w:vAlign w:val="bottom"/>
            <w:shd w:val="clear" w:color="auto" w:fill="EBFBFF"/>
          </w:tcPr>
          <w:p>
            <w:pPr>
              <w:spacing w:after="0"/>
              <w:rPr>
                <w:sz w:val="24"/>
                <w:szCs w:val="24"/>
                <w:color w:val="auto"/>
              </w:rPr>
            </w:pPr>
          </w:p>
        </w:tc>
        <w:tc>
          <w:tcPr>
            <w:tcW w:w="840" w:type="dxa"/>
            <w:vAlign w:val="bottom"/>
            <w:shd w:val="clear" w:color="auto" w:fill="EBFBFF"/>
          </w:tcPr>
          <w:p>
            <w:pPr>
              <w:spacing w:after="0"/>
              <w:rPr>
                <w:sz w:val="24"/>
                <w:szCs w:val="24"/>
                <w:color w:val="auto"/>
              </w:rPr>
            </w:pPr>
          </w:p>
        </w:tc>
        <w:tc>
          <w:tcPr>
            <w:tcW w:w="120" w:type="dxa"/>
            <w:vAlign w:val="bottom"/>
            <w:shd w:val="clear" w:color="auto" w:fill="EBFBFF"/>
          </w:tcPr>
          <w:p>
            <w:pPr>
              <w:spacing w:after="0"/>
              <w:rPr>
                <w:sz w:val="24"/>
                <w:szCs w:val="24"/>
                <w:color w:val="auto"/>
              </w:rPr>
            </w:pPr>
          </w:p>
        </w:tc>
        <w:tc>
          <w:tcPr>
            <w:tcW w:w="10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654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8"/>
                <w:szCs w:val="18"/>
                <w:color w:val="51555C"/>
              </w:rPr>
              <w:t>of $(1,613), $—, $(3,418) and $2,763</w:t>
            </w:r>
          </w:p>
        </w:tc>
        <w:tc>
          <w:tcPr>
            <w:tcW w:w="34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4,619</w:t>
            </w:r>
          </w:p>
        </w:tc>
        <w:tc>
          <w:tcPr>
            <w:tcW w:w="1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right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1,113</w:t>
            </w:r>
          </w:p>
        </w:tc>
        <w:tc>
          <w:tcPr>
            <w:tcW w:w="8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12,520</w:t>
            </w:r>
          </w:p>
        </w:tc>
        <w:tc>
          <w:tcPr>
            <w:tcW w:w="1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(5,259)</w:t>
            </w:r>
          </w:p>
        </w:tc>
        <w:tc>
          <w:tcPr>
            <w:tcW w:w="20" w:type="dxa"/>
            <w:vAlign w:val="bottom"/>
          </w:tcPr>
          <w:p>
            <w:pPr>
              <w:spacing w:after="0"/>
              <w:rPr>
                <w:sz w:val="21"/>
                <w:szCs w:val="21"/>
                <w:color w:val="auto"/>
              </w:rPr>
            </w:pPr>
          </w:p>
        </w:tc>
      </w:tr>
      <w:tr>
        <w:trPr>
          <w:trHeight w:val="301"/>
        </w:trPr>
        <w:tc>
          <w:tcPr>
            <w:tcW w:w="6540" w:type="dxa"/>
            <w:vAlign w:val="bottom"/>
          </w:tcPr>
          <w:p>
            <w:pPr>
              <w:ind w:left="460"/>
              <w:spacing w:after="0"/>
              <w:rPr>
                <w:sz w:val="20"/>
                <w:szCs w:val="20"/>
                <w:color w:val="auto"/>
              </w:rPr>
            </w:pPr>
            <w:r>
              <w:rPr>
                <w:rFonts w:ascii="Arial" w:cs="Arial" w:eastAsia="Arial" w:hAnsi="Arial"/>
                <w:sz w:val="18"/>
                <w:szCs w:val="18"/>
                <w:color w:val="51555C"/>
              </w:rPr>
              <w:t>Amounts reclassified from accumulated other comprehensive income (loss)</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1555C"/>
              </w:rPr>
              <w:t>(508)</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(1,735)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51555C"/>
              </w:rPr>
              <w:t>(1,239)</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(4,606)</w:t>
            </w:r>
          </w:p>
        </w:tc>
        <w:tc>
          <w:tcPr>
            <w:tcW w:w="20" w:type="dxa"/>
            <w:vAlign w:val="bottom"/>
          </w:tcPr>
          <w:p>
            <w:pPr>
              <w:spacing w:after="0"/>
              <w:rPr>
                <w:sz w:val="24"/>
                <w:szCs w:val="24"/>
                <w:color w:val="auto"/>
              </w:rPr>
            </w:pPr>
          </w:p>
        </w:tc>
      </w:tr>
      <w:tr>
        <w:trPr>
          <w:trHeight w:val="2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654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8"/>
                <w:szCs w:val="18"/>
                <w:color w:val="51555C"/>
              </w:rPr>
              <w:t>Tax expense (benefit) included in provision for income taxes</w:t>
            </w:r>
          </w:p>
        </w:tc>
        <w:tc>
          <w:tcPr>
            <w:tcW w:w="340" w:type="dxa"/>
            <w:vAlign w:val="bottom"/>
            <w:tcBorders>
              <w:bottom w:val="single" w:sz="8" w:color="EBFBFF"/>
            </w:tcBorders>
            <w:shd w:val="clear" w:color="auto" w:fill="EBFBFF"/>
          </w:tcPr>
          <w:p>
            <w:pPr>
              <w:spacing w:after="0"/>
              <w:rPr>
                <w:sz w:val="24"/>
                <w:szCs w:val="24"/>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130</w:t>
            </w:r>
          </w:p>
        </w:tc>
        <w:tc>
          <w:tcPr>
            <w:tcW w:w="14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right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w:t>
            </w:r>
          </w:p>
        </w:tc>
        <w:tc>
          <w:tcPr>
            <w:tcW w:w="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(420)</w:t>
            </w:r>
          </w:p>
        </w:tc>
        <w:tc>
          <w:tcPr>
            <w:tcW w:w="120" w:type="dxa"/>
            <w:vAlign w:val="bottom"/>
            <w:tcBorders>
              <w:bottom w:val="single" w:sz="8" w:color="EBFBFF"/>
            </w:tcBorders>
            <w:shd w:val="clear" w:color="auto" w:fill="EBFBFF"/>
          </w:tcPr>
          <w:p>
            <w:pPr>
              <w:spacing w:after="0"/>
              <w:rPr>
                <w:sz w:val="24"/>
                <w:szCs w:val="24"/>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(2,763)</w:t>
            </w:r>
          </w:p>
        </w:tc>
        <w:tc>
          <w:tcPr>
            <w:tcW w:w="20" w:type="dxa"/>
            <w:vAlign w:val="bottom"/>
          </w:tcPr>
          <w:p>
            <w:pPr>
              <w:spacing w:after="0"/>
              <w:rPr>
                <w:sz w:val="24"/>
                <w:szCs w:val="24"/>
                <w:color w:val="auto"/>
              </w:rPr>
            </w:pPr>
          </w:p>
        </w:tc>
      </w:tr>
      <w:tr>
        <w:trPr>
          <w:trHeight w:val="258"/>
        </w:trPr>
        <w:tc>
          <w:tcPr>
            <w:tcW w:w="6540" w:type="dxa"/>
            <w:vAlign w:val="bottom"/>
          </w:tcPr>
          <w:p>
            <w:pPr>
              <w:ind w:left="360"/>
              <w:spacing w:after="0"/>
              <w:rPr>
                <w:sz w:val="20"/>
                <w:szCs w:val="20"/>
                <w:color w:val="auto"/>
              </w:rPr>
            </w:pPr>
            <w:r>
              <w:rPr>
                <w:rFonts w:ascii="Arial" w:cs="Arial" w:eastAsia="Arial" w:hAnsi="Arial"/>
                <w:sz w:val="18"/>
                <w:szCs w:val="18"/>
                <w:color w:val="51555C"/>
              </w:rPr>
              <w:t>Total amounts reclassified from accumulated other comprehensive income</w:t>
            </w:r>
          </w:p>
        </w:tc>
        <w:tc>
          <w:tcPr>
            <w:tcW w:w="340" w:type="dxa"/>
            <w:vAlign w:val="bottom"/>
            <w:tcBorders>
              <w:top w:val="single" w:sz="8" w:color="51555C"/>
            </w:tcBorders>
          </w:tcPr>
          <w:p>
            <w:pPr>
              <w:spacing w:after="0"/>
              <w:rPr>
                <w:sz w:val="22"/>
                <w:szCs w:val="22"/>
                <w:color w:val="auto"/>
              </w:rPr>
            </w:pPr>
          </w:p>
        </w:tc>
        <w:tc>
          <w:tcPr>
            <w:tcW w:w="800" w:type="dxa"/>
            <w:vAlign w:val="bottom"/>
            <w:tcBorders>
              <w:top w:val="single" w:sz="8" w:color="51555C"/>
            </w:tcBorders>
          </w:tcPr>
          <w:p>
            <w:pPr>
              <w:spacing w:after="0"/>
              <w:rPr>
                <w:sz w:val="22"/>
                <w:szCs w:val="22"/>
                <w:color w:val="auto"/>
              </w:rPr>
            </w:pPr>
          </w:p>
        </w:tc>
        <w:tc>
          <w:tcPr>
            <w:tcW w:w="140" w:type="dxa"/>
            <w:vAlign w:val="bottom"/>
            <w:tcBorders>
              <w:top w:val="single" w:sz="8" w:color="51555C"/>
            </w:tcBorders>
          </w:tcPr>
          <w:p>
            <w:pPr>
              <w:spacing w:after="0"/>
              <w:rPr>
                <w:sz w:val="22"/>
                <w:szCs w:val="22"/>
                <w:color w:val="auto"/>
              </w:rPr>
            </w:pPr>
          </w:p>
        </w:tc>
        <w:tc>
          <w:tcPr>
            <w:tcW w:w="1040" w:type="dxa"/>
            <w:vAlign w:val="bottom"/>
            <w:tcBorders>
              <w:top w:val="single" w:sz="8" w:color="51555C"/>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51555C"/>
            </w:tcBorders>
          </w:tcPr>
          <w:p>
            <w:pPr>
              <w:spacing w:after="0"/>
              <w:rPr>
                <w:sz w:val="22"/>
                <w:szCs w:val="22"/>
                <w:color w:val="auto"/>
              </w:rPr>
            </w:pPr>
          </w:p>
        </w:tc>
        <w:tc>
          <w:tcPr>
            <w:tcW w:w="840" w:type="dxa"/>
            <w:vAlign w:val="bottom"/>
            <w:tcBorders>
              <w:top w:val="single" w:sz="8" w:color="51555C"/>
            </w:tcBorders>
          </w:tcPr>
          <w:p>
            <w:pPr>
              <w:spacing w:after="0"/>
              <w:rPr>
                <w:sz w:val="22"/>
                <w:szCs w:val="22"/>
                <w:color w:val="auto"/>
              </w:rPr>
            </w:pPr>
          </w:p>
        </w:tc>
        <w:tc>
          <w:tcPr>
            <w:tcW w:w="120" w:type="dxa"/>
            <w:vAlign w:val="bottom"/>
            <w:tcBorders>
              <w:top w:val="single" w:sz="8" w:color="51555C"/>
            </w:tcBorders>
          </w:tcPr>
          <w:p>
            <w:pPr>
              <w:spacing w:after="0"/>
              <w:rPr>
                <w:sz w:val="22"/>
                <w:szCs w:val="22"/>
                <w:color w:val="auto"/>
              </w:rPr>
            </w:pPr>
          </w:p>
        </w:tc>
        <w:tc>
          <w:tcPr>
            <w:tcW w:w="1020" w:type="dxa"/>
            <w:vAlign w:val="bottom"/>
            <w:tcBorders>
              <w:top w:val="single" w:sz="8" w:color="51555C"/>
            </w:tcBorders>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6540" w:type="dxa"/>
            <w:vAlign w:val="bottom"/>
          </w:tcPr>
          <w:p>
            <w:pPr>
              <w:ind w:left="360"/>
              <w:spacing w:after="0"/>
              <w:rPr>
                <w:sz w:val="20"/>
                <w:szCs w:val="20"/>
                <w:color w:val="auto"/>
              </w:rPr>
            </w:pPr>
            <w:r>
              <w:rPr>
                <w:rFonts w:ascii="Arial" w:cs="Arial" w:eastAsia="Arial" w:hAnsi="Arial"/>
                <w:sz w:val="18"/>
                <w:szCs w:val="18"/>
                <w:color w:val="51555C"/>
              </w:rPr>
              <w:t>(loss)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1555C"/>
              </w:rPr>
              <w:t>(378)</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(1,735)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51555C"/>
              </w:rPr>
              <w:t>(1,659)</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(7,369)</w:t>
            </w:r>
          </w:p>
        </w:tc>
        <w:tc>
          <w:tcPr>
            <w:tcW w:w="20" w:type="dxa"/>
            <w:vAlign w:val="bottom"/>
          </w:tcPr>
          <w:p>
            <w:pPr>
              <w:spacing w:after="0"/>
              <w:rPr>
                <w:sz w:val="20"/>
                <w:szCs w:val="20"/>
                <w:color w:val="auto"/>
              </w:rPr>
            </w:pPr>
          </w:p>
        </w:tc>
      </w:tr>
      <w:tr>
        <w:trPr>
          <w:trHeight w:val="23"/>
        </w:trPr>
        <w:tc>
          <w:tcPr>
            <w:tcW w:w="654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800" w:type="dxa"/>
            <w:vAlign w:val="bottom"/>
            <w:tcBorders>
              <w:bottom w:val="single" w:sz="8" w:color="51555C"/>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840" w:type="dxa"/>
            <w:vAlign w:val="bottom"/>
            <w:tcBorders>
              <w:bottom w:val="single" w:sz="8" w:color="51555C"/>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654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Net current-period other comprehensive income (loss)</w:t>
            </w:r>
          </w:p>
        </w:tc>
        <w:tc>
          <w:tcPr>
            <w:tcW w:w="340" w:type="dxa"/>
            <w:vAlign w:val="bottom"/>
            <w:tcBorders>
              <w:bottom w:val="single" w:sz="8" w:color="EBFBFF"/>
            </w:tcBorders>
            <w:shd w:val="clear" w:color="auto" w:fill="EBFBFF"/>
          </w:tcPr>
          <w:p>
            <w:pPr>
              <w:spacing w:after="0"/>
              <w:rPr>
                <w:sz w:val="24"/>
                <w:szCs w:val="24"/>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4,241</w:t>
            </w:r>
          </w:p>
        </w:tc>
        <w:tc>
          <w:tcPr>
            <w:tcW w:w="14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(622)</w:t>
            </w:r>
          </w:p>
        </w:tc>
        <w:tc>
          <w:tcPr>
            <w:tcW w:w="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10,861</w:t>
            </w:r>
          </w:p>
        </w:tc>
        <w:tc>
          <w:tcPr>
            <w:tcW w:w="120" w:type="dxa"/>
            <w:vAlign w:val="bottom"/>
            <w:tcBorders>
              <w:bottom w:val="single" w:sz="8" w:color="EBFBFF"/>
            </w:tcBorders>
            <w:shd w:val="clear" w:color="auto" w:fill="EBFBFF"/>
          </w:tcPr>
          <w:p>
            <w:pPr>
              <w:spacing w:after="0"/>
              <w:rPr>
                <w:sz w:val="24"/>
                <w:szCs w:val="24"/>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(12,628)</w:t>
            </w:r>
          </w:p>
        </w:tc>
        <w:tc>
          <w:tcPr>
            <w:tcW w:w="20" w:type="dxa"/>
            <w:vAlign w:val="bottom"/>
          </w:tcPr>
          <w:p>
            <w:pPr>
              <w:spacing w:after="0"/>
              <w:rPr>
                <w:sz w:val="24"/>
                <w:szCs w:val="24"/>
                <w:color w:val="auto"/>
              </w:rPr>
            </w:pPr>
          </w:p>
        </w:tc>
      </w:tr>
      <w:tr>
        <w:trPr>
          <w:trHeight w:val="294"/>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(loss) balance, end of period</w:t>
            </w:r>
          </w:p>
        </w:tc>
        <w:tc>
          <w:tcPr>
            <w:tcW w:w="340" w:type="dxa"/>
            <w:vAlign w:val="bottom"/>
            <w:tcBorders>
              <w:top w:val="single" w:sz="8" w:color="51555C"/>
            </w:tcBorders>
          </w:tcPr>
          <w:p>
            <w:pPr>
              <w:jc w:val="right"/>
              <w:ind w:right="130"/>
              <w:spacing w:after="0"/>
              <w:rPr>
                <w:sz w:val="20"/>
                <w:szCs w:val="20"/>
                <w:color w:val="auto"/>
              </w:rPr>
            </w:pPr>
            <w:r>
              <w:rPr>
                <w:rFonts w:ascii="Arial" w:cs="Arial" w:eastAsia="Arial" w:hAnsi="Arial"/>
                <w:sz w:val="18"/>
                <w:szCs w:val="18"/>
                <w:color w:val="51555C"/>
                <w:w w:val="99"/>
              </w:rPr>
              <w:t>$</w:t>
            </w:r>
          </w:p>
        </w:tc>
        <w:tc>
          <w:tcPr>
            <w:tcW w:w="8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8,714</w:t>
            </w: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(4,829)</w:t>
            </w:r>
          </w:p>
        </w:tc>
        <w:tc>
          <w:tcPr>
            <w:tcW w:w="80" w:type="dxa"/>
            <w:vAlign w:val="bottom"/>
          </w:tcPr>
          <w:p>
            <w:pPr>
              <w:spacing w:after="0"/>
              <w:rPr>
                <w:sz w:val="24"/>
                <w:szCs w:val="24"/>
                <w:color w:val="auto"/>
              </w:rPr>
            </w:pPr>
          </w:p>
        </w:tc>
        <w:tc>
          <w:tcPr>
            <w:tcW w:w="320" w:type="dxa"/>
            <w:vAlign w:val="bottom"/>
            <w:tcBorders>
              <w:top w:val="single" w:sz="8" w:color="51555C"/>
            </w:tcBorders>
          </w:tcPr>
          <w:p>
            <w:pPr>
              <w:jc w:val="right"/>
              <w:ind w:right="110"/>
              <w:spacing w:after="0"/>
              <w:rPr>
                <w:sz w:val="20"/>
                <w:szCs w:val="20"/>
                <w:color w:val="auto"/>
              </w:rPr>
            </w:pPr>
            <w:r>
              <w:rPr>
                <w:rFonts w:ascii="Arial" w:cs="Arial" w:eastAsia="Arial" w:hAnsi="Arial"/>
                <w:sz w:val="18"/>
                <w:szCs w:val="18"/>
                <w:color w:val="51555C"/>
                <w:w w:val="99"/>
              </w:rPr>
              <w:t>$</w:t>
            </w:r>
          </w:p>
        </w:tc>
        <w:tc>
          <w:tcPr>
            <w:tcW w:w="8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8,714</w:t>
            </w:r>
          </w:p>
        </w:tc>
        <w:tc>
          <w:tcPr>
            <w:tcW w:w="1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(4,829)</w:t>
            </w:r>
          </w:p>
        </w:tc>
        <w:tc>
          <w:tcPr>
            <w:tcW w:w="20" w:type="dxa"/>
            <w:vAlign w:val="bottom"/>
          </w:tcPr>
          <w:p>
            <w:pPr>
              <w:spacing w:after="0"/>
              <w:rPr>
                <w:sz w:val="24"/>
                <w:szCs w:val="24"/>
                <w:color w:val="auto"/>
              </w:rPr>
            </w:pPr>
          </w:p>
        </w:tc>
      </w:tr>
      <w:tr>
        <w:trPr>
          <w:trHeight w:val="23"/>
        </w:trPr>
        <w:tc>
          <w:tcPr>
            <w:tcW w:w="654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800" w:type="dxa"/>
            <w:vAlign w:val="bottom"/>
            <w:tcBorders>
              <w:bottom w:val="single" w:sz="8" w:color="51555C"/>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840" w:type="dxa"/>
            <w:vAlign w:val="bottom"/>
            <w:tcBorders>
              <w:bottom w:val="single" w:sz="8" w:color="51555C"/>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6540" w:type="dxa"/>
            <w:vAlign w:val="bottom"/>
            <w:shd w:val="clear" w:color="auto" w:fill="EBFBFF"/>
          </w:tcPr>
          <w:p>
            <w:pPr>
              <w:ind w:left="140"/>
              <w:spacing w:after="0"/>
              <w:rPr>
                <w:sz w:val="20"/>
                <w:szCs w:val="20"/>
                <w:color w:val="auto"/>
              </w:rPr>
            </w:pPr>
            <w:r>
              <w:rPr>
                <w:rFonts w:ascii="Arial" w:cs="Arial" w:eastAsia="Arial" w:hAnsi="Arial"/>
                <w:sz w:val="18"/>
                <w:szCs w:val="18"/>
                <w:b w:val="1"/>
                <w:bCs w:val="1"/>
                <w:color w:val="51555C"/>
              </w:rPr>
              <w:t>Foreign currency translation adjustment:</w:t>
            </w:r>
          </w:p>
        </w:tc>
        <w:tc>
          <w:tcPr>
            <w:tcW w:w="340" w:type="dxa"/>
            <w:vAlign w:val="bottom"/>
            <w:shd w:val="clear" w:color="auto" w:fill="EBFBFF"/>
          </w:tcPr>
          <w:p>
            <w:pPr>
              <w:spacing w:after="0"/>
              <w:rPr>
                <w:sz w:val="24"/>
                <w:szCs w:val="24"/>
                <w:color w:val="auto"/>
              </w:rPr>
            </w:pPr>
          </w:p>
        </w:tc>
        <w:tc>
          <w:tcPr>
            <w:tcW w:w="800" w:type="dxa"/>
            <w:vAlign w:val="bottom"/>
            <w:shd w:val="clear" w:color="auto" w:fill="EBFBFF"/>
          </w:tcPr>
          <w:p>
            <w:pPr>
              <w:spacing w:after="0"/>
              <w:rPr>
                <w:sz w:val="24"/>
                <w:szCs w:val="24"/>
                <w:color w:val="auto"/>
              </w:rPr>
            </w:pPr>
          </w:p>
        </w:tc>
        <w:tc>
          <w:tcPr>
            <w:tcW w:w="14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80" w:type="dxa"/>
            <w:vAlign w:val="bottom"/>
            <w:shd w:val="clear" w:color="auto" w:fill="EBFBFF"/>
          </w:tcPr>
          <w:p>
            <w:pPr>
              <w:spacing w:after="0"/>
              <w:rPr>
                <w:sz w:val="24"/>
                <w:szCs w:val="24"/>
                <w:color w:val="auto"/>
              </w:rPr>
            </w:pPr>
          </w:p>
        </w:tc>
        <w:tc>
          <w:tcPr>
            <w:tcW w:w="320" w:type="dxa"/>
            <w:vAlign w:val="bottom"/>
            <w:shd w:val="clear" w:color="auto" w:fill="EBFBFF"/>
          </w:tcPr>
          <w:p>
            <w:pPr>
              <w:spacing w:after="0"/>
              <w:rPr>
                <w:sz w:val="24"/>
                <w:szCs w:val="24"/>
                <w:color w:val="auto"/>
              </w:rPr>
            </w:pPr>
          </w:p>
        </w:tc>
        <w:tc>
          <w:tcPr>
            <w:tcW w:w="840" w:type="dxa"/>
            <w:vAlign w:val="bottom"/>
            <w:shd w:val="clear" w:color="auto" w:fill="EBFBFF"/>
          </w:tcPr>
          <w:p>
            <w:pPr>
              <w:spacing w:after="0"/>
              <w:rPr>
                <w:sz w:val="24"/>
                <w:szCs w:val="24"/>
                <w:color w:val="auto"/>
              </w:rPr>
            </w:pPr>
          </w:p>
        </w:tc>
        <w:tc>
          <w:tcPr>
            <w:tcW w:w="120" w:type="dxa"/>
            <w:vAlign w:val="bottom"/>
            <w:shd w:val="clear" w:color="auto" w:fill="EBFBFF"/>
          </w:tcPr>
          <w:p>
            <w:pPr>
              <w:spacing w:after="0"/>
              <w:rPr>
                <w:sz w:val="24"/>
                <w:szCs w:val="24"/>
                <w:color w:val="auto"/>
              </w:rPr>
            </w:pPr>
          </w:p>
        </w:tc>
        <w:tc>
          <w:tcPr>
            <w:tcW w:w="10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51555C"/>
                <w:w w:val="99"/>
              </w:rPr>
              <w:t>$</w:t>
            </w:r>
          </w:p>
        </w:tc>
        <w:tc>
          <w:tcPr>
            <w:tcW w:w="800" w:type="dxa"/>
            <w:vAlign w:val="bottom"/>
          </w:tcPr>
          <w:p>
            <w:pPr>
              <w:jc w:val="right"/>
              <w:spacing w:after="0"/>
              <w:rPr>
                <w:sz w:val="20"/>
                <w:szCs w:val="20"/>
                <w:color w:val="auto"/>
              </w:rPr>
            </w:pPr>
            <w:r>
              <w:rPr>
                <w:rFonts w:ascii="Arial" w:cs="Arial" w:eastAsia="Arial" w:hAnsi="Arial"/>
                <w:sz w:val="18"/>
                <w:szCs w:val="18"/>
                <w:color w:val="51555C"/>
              </w:rPr>
              <w:t>(5,398)</w:t>
            </w:r>
          </w:p>
        </w:tc>
        <w:tc>
          <w:tcPr>
            <w:tcW w:w="140" w:type="dxa"/>
            <w:vAlign w:val="bottom"/>
          </w:tcPr>
          <w:p>
            <w:pPr>
              <w:jc w:val="right"/>
              <w:spacing w:after="0"/>
              <w:rPr>
                <w:sz w:val="20"/>
                <w:szCs w:val="20"/>
                <w:color w:val="auto"/>
              </w:rPr>
            </w:pPr>
            <w:r>
              <w:rPr>
                <w:rFonts w:ascii="Arial" w:cs="Arial" w:eastAsia="Arial" w:hAnsi="Arial"/>
                <w:sz w:val="18"/>
                <w:szCs w:val="18"/>
                <w:color w:val="51555C"/>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(2,085)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51555C"/>
              </w:rPr>
              <w:t>$</w:t>
            </w:r>
          </w:p>
        </w:tc>
        <w:tc>
          <w:tcPr>
            <w:tcW w:w="840" w:type="dxa"/>
            <w:vAlign w:val="bottom"/>
          </w:tcPr>
          <w:p>
            <w:pPr>
              <w:jc w:val="right"/>
              <w:spacing w:after="0"/>
              <w:rPr>
                <w:sz w:val="20"/>
                <w:szCs w:val="20"/>
                <w:color w:val="auto"/>
              </w:rPr>
            </w:pPr>
            <w:r>
              <w:rPr>
                <w:rFonts w:ascii="Arial" w:cs="Arial" w:eastAsia="Arial" w:hAnsi="Arial"/>
                <w:sz w:val="18"/>
                <w:szCs w:val="18"/>
                <w:color w:val="51555C"/>
              </w:rPr>
              <w:t>(3,801)</w:t>
            </w:r>
          </w:p>
        </w:tc>
        <w:tc>
          <w:tcPr>
            <w:tcW w:w="12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(12,668)</w:t>
            </w:r>
          </w:p>
        </w:tc>
        <w:tc>
          <w:tcPr>
            <w:tcW w:w="20" w:type="dxa"/>
            <w:vAlign w:val="bottom"/>
          </w:tcPr>
          <w:p>
            <w:pPr>
              <w:spacing w:after="0"/>
              <w:rPr>
                <w:sz w:val="24"/>
                <w:szCs w:val="24"/>
                <w:color w:val="auto"/>
              </w:rPr>
            </w:pPr>
          </w:p>
        </w:tc>
      </w:tr>
      <w:tr>
        <w:trPr>
          <w:trHeight w:val="23"/>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654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8"/>
                <w:szCs w:val="18"/>
                <w:color w:val="51555C"/>
              </w:rPr>
              <w:t>Translation adjustment</w:t>
            </w:r>
          </w:p>
        </w:tc>
        <w:tc>
          <w:tcPr>
            <w:tcW w:w="340" w:type="dxa"/>
            <w:vAlign w:val="bottom"/>
            <w:tcBorders>
              <w:bottom w:val="single" w:sz="8" w:color="EBFBFF"/>
            </w:tcBorders>
            <w:shd w:val="clear" w:color="auto" w:fill="EBFBFF"/>
          </w:tcPr>
          <w:p>
            <w:pPr>
              <w:spacing w:after="0"/>
              <w:rPr>
                <w:sz w:val="24"/>
                <w:szCs w:val="24"/>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(106)</w:t>
            </w:r>
          </w:p>
        </w:tc>
        <w:tc>
          <w:tcPr>
            <w:tcW w:w="14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(2,284)</w:t>
            </w:r>
          </w:p>
        </w:tc>
        <w:tc>
          <w:tcPr>
            <w:tcW w:w="80" w:type="dxa"/>
            <w:vAlign w:val="bottom"/>
            <w:tcBorders>
              <w:bottom w:val="single" w:sz="8" w:color="EBFBFF"/>
            </w:tcBorders>
            <w:shd w:val="clear" w:color="auto" w:fill="EBFBFF"/>
          </w:tcPr>
          <w:p>
            <w:pPr>
              <w:spacing w:after="0"/>
              <w:rPr>
                <w:sz w:val="24"/>
                <w:szCs w:val="24"/>
                <w:color w:val="auto"/>
              </w:rPr>
            </w:pPr>
          </w:p>
        </w:tc>
        <w:tc>
          <w:tcPr>
            <w:tcW w:w="320" w:type="dxa"/>
            <w:vAlign w:val="bottom"/>
            <w:tcBorders>
              <w:bottom w:val="single" w:sz="8" w:color="EBFBFF"/>
            </w:tcBorders>
            <w:shd w:val="clear" w:color="auto" w:fill="EBFBFF"/>
          </w:tcPr>
          <w:p>
            <w:pPr>
              <w:spacing w:after="0"/>
              <w:rPr>
                <w:sz w:val="24"/>
                <w:szCs w:val="24"/>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(1,703)</w:t>
            </w:r>
          </w:p>
        </w:tc>
        <w:tc>
          <w:tcPr>
            <w:tcW w:w="120" w:type="dxa"/>
            <w:vAlign w:val="bottom"/>
            <w:tcBorders>
              <w:bottom w:val="single" w:sz="8" w:color="EBFBFF"/>
            </w:tcBorders>
            <w:shd w:val="clear" w:color="auto" w:fill="EBFBFF"/>
          </w:tcPr>
          <w:p>
            <w:pPr>
              <w:spacing w:after="0"/>
              <w:rPr>
                <w:sz w:val="24"/>
                <w:szCs w:val="24"/>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8,299</w:t>
            </w:r>
          </w:p>
        </w:tc>
        <w:tc>
          <w:tcPr>
            <w:tcW w:w="20" w:type="dxa"/>
            <w:vAlign w:val="bottom"/>
          </w:tcPr>
          <w:p>
            <w:pPr>
              <w:spacing w:after="0"/>
              <w:rPr>
                <w:sz w:val="24"/>
                <w:szCs w:val="24"/>
                <w:color w:val="auto"/>
              </w:rPr>
            </w:pPr>
          </w:p>
        </w:tc>
      </w:tr>
      <w:tr>
        <w:trPr>
          <w:trHeight w:val="295"/>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balance, end of period</w:t>
            </w:r>
          </w:p>
        </w:tc>
        <w:tc>
          <w:tcPr>
            <w:tcW w:w="340" w:type="dxa"/>
            <w:vAlign w:val="bottom"/>
            <w:tcBorders>
              <w:top w:val="single" w:sz="8" w:color="51555C"/>
            </w:tcBorders>
          </w:tcPr>
          <w:p>
            <w:pPr>
              <w:spacing w:after="0"/>
              <w:rPr>
                <w:sz w:val="24"/>
                <w:szCs w:val="24"/>
                <w:color w:val="auto"/>
              </w:rPr>
            </w:pPr>
          </w:p>
        </w:tc>
        <w:tc>
          <w:tcPr>
            <w:tcW w:w="8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(5,504)</w:t>
            </w:r>
          </w:p>
        </w:tc>
        <w:tc>
          <w:tcPr>
            <w:tcW w:w="140" w:type="dxa"/>
            <w:vAlign w:val="bottom"/>
            <w:tcBorders>
              <w:top w:val="single" w:sz="8" w:color="51555C"/>
            </w:tcBorders>
          </w:tcPr>
          <w:p>
            <w:pPr>
              <w:spacing w:after="0"/>
              <w:rPr>
                <w:sz w:val="24"/>
                <w:szCs w:val="24"/>
                <w:color w:val="auto"/>
              </w:rPr>
            </w:pP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(4,369)</w:t>
            </w:r>
          </w:p>
        </w:tc>
        <w:tc>
          <w:tcPr>
            <w:tcW w:w="80" w:type="dxa"/>
            <w:vAlign w:val="bottom"/>
          </w:tcPr>
          <w:p>
            <w:pPr>
              <w:spacing w:after="0"/>
              <w:rPr>
                <w:sz w:val="24"/>
                <w:szCs w:val="24"/>
                <w:color w:val="auto"/>
              </w:rPr>
            </w:pPr>
          </w:p>
        </w:tc>
        <w:tc>
          <w:tcPr>
            <w:tcW w:w="320" w:type="dxa"/>
            <w:vAlign w:val="bottom"/>
            <w:tcBorders>
              <w:top w:val="single" w:sz="8" w:color="51555C"/>
            </w:tcBorders>
          </w:tcPr>
          <w:p>
            <w:pPr>
              <w:spacing w:after="0"/>
              <w:rPr>
                <w:sz w:val="24"/>
                <w:szCs w:val="24"/>
                <w:color w:val="auto"/>
              </w:rPr>
            </w:pPr>
          </w:p>
        </w:tc>
        <w:tc>
          <w:tcPr>
            <w:tcW w:w="8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(5,504)</w:t>
            </w:r>
          </w:p>
        </w:tc>
        <w:tc>
          <w:tcPr>
            <w:tcW w:w="120" w:type="dxa"/>
            <w:vAlign w:val="bottom"/>
            <w:tcBorders>
              <w:top w:val="single" w:sz="8" w:color="51555C"/>
            </w:tcBorders>
          </w:tcPr>
          <w:p>
            <w:pPr>
              <w:spacing w:after="0"/>
              <w:rPr>
                <w:sz w:val="24"/>
                <w:szCs w:val="24"/>
                <w:color w:val="auto"/>
              </w:rPr>
            </w:pP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(4,369)</w:t>
            </w:r>
          </w:p>
        </w:tc>
        <w:tc>
          <w:tcPr>
            <w:tcW w:w="20" w:type="dxa"/>
            <w:vAlign w:val="bottom"/>
          </w:tcPr>
          <w:p>
            <w:pPr>
              <w:spacing w:after="0"/>
              <w:rPr>
                <w:sz w:val="24"/>
                <w:szCs w:val="24"/>
                <w:color w:val="auto"/>
              </w:rPr>
            </w:pPr>
          </w:p>
        </w:tc>
      </w:tr>
      <w:tr>
        <w:trPr>
          <w:trHeight w:val="23"/>
        </w:trPr>
        <w:tc>
          <w:tcPr>
            <w:tcW w:w="654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800" w:type="dxa"/>
            <w:vAlign w:val="bottom"/>
            <w:tcBorders>
              <w:bottom w:val="single" w:sz="8" w:color="51555C"/>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840" w:type="dxa"/>
            <w:vAlign w:val="bottom"/>
            <w:tcBorders>
              <w:bottom w:val="single" w:sz="8" w:color="51555C"/>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11"/>
        </w:trPr>
        <w:tc>
          <w:tcPr>
            <w:tcW w:w="65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(loss), end of period</w:t>
            </w:r>
          </w:p>
        </w:tc>
        <w:tc>
          <w:tcPr>
            <w:tcW w:w="340" w:type="dxa"/>
            <w:vAlign w:val="bottom"/>
            <w:tcBorders>
              <w:bottom w:val="single" w:sz="8" w:color="0CD973"/>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8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3,210</w:t>
            </w:r>
          </w:p>
        </w:tc>
        <w:tc>
          <w:tcPr>
            <w:tcW w:w="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040" w:type="dxa"/>
            <w:vAlign w:val="bottom"/>
            <w:tcBorders>
              <w:bottom w:val="single" w:sz="8" w:color="0CD973"/>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(9,198)</w:t>
            </w:r>
          </w:p>
        </w:tc>
        <w:tc>
          <w:tcPr>
            <w:tcW w:w="400" w:type="dxa"/>
            <w:vAlign w:val="bottom"/>
            <w:tcBorders>
              <w:bottom w:val="single" w:sz="8" w:color="0CD973"/>
            </w:tcBorders>
            <w:gridSpan w:val="2"/>
            <w:shd w:val="clear" w:color="auto" w:fill="EBFBFF"/>
          </w:tcPr>
          <w:p>
            <w:pPr>
              <w:jc w:val="right"/>
              <w:ind w:right="110"/>
              <w:spacing w:after="0"/>
              <w:rPr>
                <w:sz w:val="20"/>
                <w:szCs w:val="20"/>
                <w:color w:val="auto"/>
              </w:rPr>
            </w:pPr>
            <w:r>
              <w:rPr>
                <w:rFonts w:ascii="Arial" w:cs="Arial" w:eastAsia="Arial" w:hAnsi="Arial"/>
                <w:sz w:val="18"/>
                <w:szCs w:val="18"/>
                <w:color w:val="51555C"/>
              </w:rPr>
              <w:t>$</w:t>
            </w:r>
          </w:p>
        </w:tc>
        <w:tc>
          <w:tcPr>
            <w:tcW w:w="8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3,210</w:t>
            </w:r>
          </w:p>
        </w:tc>
        <w:tc>
          <w:tcPr>
            <w:tcW w:w="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(9,198)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-3565525</wp:posOffset>
            </wp:positionV>
            <wp:extent cx="29914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11.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as significant. Our CEO uses consolidated operating margin and net income as the primary measures of profit or loss. These financial metrics are used by our CEO to make key operating decisions, such as the allocation of budget between costs of revenues and our different operating expense categories.</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Our other segment items include amortization, interest expense, other income, net, and income tax provision (benefit) on our consolidated statements of comprehensive income.</w:t>
      </w:r>
    </w:p>
    <w:p>
      <w:pPr>
        <w:spacing w:after="0" w:line="27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18</w:t>
      </w:r>
      <w:r>
        <w:rPr>
          <w:sz w:val="20"/>
          <w:szCs w:val="20"/>
          <w:color w:val="auto"/>
        </w:rPr>
        <w:tab/>
      </w:r>
      <w:r>
        <w:rPr>
          <w:sz w:val="1"/>
          <w:szCs w:val="1"/>
          <w:color w:val="auto"/>
        </w:rPr>
        <w:drawing>
          <wp:inline distT="0" distB="0" distL="0" distR="0">
            <wp:extent cx="651510" cy="1714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12.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Remaining performance obligations ("RPO")</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September 30, 2026, approximately $ 1.5 billion of revenue under contract is expected to be recognized from RPO. We expect to recognize revenue on approximately 45% of RPO over the next 12 months, with the remainder recognized thereafter. RPO may fluctuate from period to period due to several factors, including the timing and size of customer renewal cohorts, the seasonality of our business and the duration of customer contracts. Accordingly, trends in RPO, including the portion expected to be recognized over the next 12 months, may not be indicative of trends in revenue growth.</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We applied the practical expedient in ASC 606-10-50-14 and have excluded the value of unsatisfied performance obligations for which we recognize revenue at the amount to which we have the right to invoice for services performed (transactional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Our closing balances of deferred revenue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2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5"/>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380" w:type="dxa"/>
            <w:vAlign w:val="bottom"/>
            <w:tcBorders>
              <w:bottom w:val="single" w:sz="8" w:color="004054"/>
            </w:tcBorders>
            <w:shd w:val="clear" w:color="auto" w:fill="004054"/>
          </w:tcPr>
          <w:p>
            <w:pPr>
              <w:spacing w:after="0"/>
              <w:rPr>
                <w:sz w:val="17"/>
                <w:szCs w:val="17"/>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420" w:type="dxa"/>
            <w:vAlign w:val="bottom"/>
            <w:tcBorders>
              <w:bottom w:val="single" w:sz="8" w:color="004054"/>
            </w:tcBorders>
            <w:shd w:val="clear" w:color="auto" w:fill="004054"/>
          </w:tcPr>
          <w:p>
            <w:pPr>
              <w:spacing w:after="0"/>
              <w:rPr>
                <w:sz w:val="17"/>
                <w:szCs w:val="17"/>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04"/>
        </w:trPr>
        <w:tc>
          <w:tcPr>
            <w:tcW w:w="79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Total deferred revenue</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384,663</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371,764</w:t>
            </w:r>
          </w:p>
        </w:tc>
        <w:tc>
          <w:tcPr>
            <w:tcW w:w="20" w:type="dxa"/>
            <w:vAlign w:val="bottom"/>
          </w:tcPr>
          <w:p>
            <w:pPr>
              <w:spacing w:after="0"/>
              <w:rPr>
                <w:sz w:val="24"/>
                <w:szCs w:val="24"/>
                <w:color w:val="auto"/>
              </w:rPr>
            </w:pPr>
          </w:p>
        </w:tc>
      </w:tr>
      <w:tr>
        <w:trPr>
          <w:trHeight w:val="20"/>
        </w:trPr>
        <w:tc>
          <w:tcPr>
            <w:tcW w:w="792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28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The increase in deferred revenue during the nine months ended September 30, 2026 was primarily due to a seasonal increase in customer contract billings. Historically, due to the timing of customer budget cycles, we have an increase in billings and customer contract renewals at or near the beginning of our third quarter. Generally, our lowest balance of deferred revenue during the year is at the end of our first quarter. The amount of revenue recognized during the nine months ended September 30, 2026 that was included in the deferred revenue balance at the beginning of the period was approximately $333 million. The amount of revenue recognized during the nine months ended September 30, 2026 from performance obligations satisfied in prior periods was insignificant.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Disaggregation of revenue</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6"/>
        </w:trPr>
        <w:tc>
          <w:tcPr>
            <w:tcW w:w="454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252"/>
        </w:trPr>
        <w:tc>
          <w:tcPr>
            <w:tcW w:w="45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004054"/>
            </w:tcBorders>
            <w:shd w:val="clear" w:color="auto" w:fill="004054"/>
          </w:tcPr>
          <w:p>
            <w:pPr>
              <w:spacing w:after="0"/>
              <w:rPr>
                <w:sz w:val="21"/>
                <w:szCs w:val="21"/>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1"/>
                <w:szCs w:val="21"/>
                <w:color w:val="auto"/>
              </w:rPr>
            </w:pPr>
          </w:p>
        </w:tc>
        <w:tc>
          <w:tcPr>
            <w:tcW w:w="15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1"/>
                <w:szCs w:val="21"/>
                <w:color w:val="auto"/>
              </w:rPr>
            </w:pPr>
          </w:p>
        </w:tc>
        <w:tc>
          <w:tcPr>
            <w:tcW w:w="520" w:type="dxa"/>
            <w:vAlign w:val="bottom"/>
            <w:tcBorders>
              <w:bottom w:val="single" w:sz="8" w:color="004054"/>
            </w:tcBorders>
            <w:shd w:val="clear" w:color="auto" w:fill="004054"/>
          </w:tcPr>
          <w:p>
            <w:pPr>
              <w:spacing w:after="0"/>
              <w:rPr>
                <w:sz w:val="21"/>
                <w:szCs w:val="21"/>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004054"/>
            </w:tcBorders>
            <w:shd w:val="clear" w:color="auto" w:fill="004054"/>
          </w:tcPr>
          <w:p>
            <w:pPr>
              <w:spacing w:after="0"/>
              <w:rPr>
                <w:sz w:val="21"/>
                <w:szCs w:val="21"/>
                <w:color w:val="auto"/>
              </w:rPr>
            </w:pPr>
          </w:p>
        </w:tc>
        <w:tc>
          <w:tcPr>
            <w:tcW w:w="14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1"/>
                <w:szCs w:val="21"/>
                <w:color w:val="auto"/>
              </w:rPr>
            </w:pPr>
          </w:p>
        </w:tc>
      </w:tr>
      <w:tr>
        <w:trPr>
          <w:trHeight w:val="304"/>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United States</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241,248</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237,678</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14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708,306</w:t>
            </w:r>
          </w:p>
        </w:tc>
        <w:tc>
          <w:tcPr>
            <w:tcW w:w="20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697,819</w:t>
            </w:r>
          </w:p>
        </w:tc>
        <w:tc>
          <w:tcPr>
            <w:tcW w:w="20" w:type="dxa"/>
            <w:vAlign w:val="bottom"/>
          </w:tcPr>
          <w:p>
            <w:pPr>
              <w:spacing w:after="0"/>
              <w:rPr>
                <w:sz w:val="24"/>
                <w:szCs w:val="24"/>
                <w:color w:val="auto"/>
              </w:rPr>
            </w:pPr>
          </w:p>
        </w:tc>
      </w:tr>
      <w:tr>
        <w:trPr>
          <w:trHeight w:val="301"/>
        </w:trPr>
        <w:tc>
          <w:tcPr>
            <w:tcW w:w="4540" w:type="dxa"/>
            <w:vAlign w:val="bottom"/>
          </w:tcPr>
          <w:p>
            <w:pPr>
              <w:ind w:left="20"/>
              <w:spacing w:after="0"/>
              <w:rPr>
                <w:sz w:val="20"/>
                <w:szCs w:val="20"/>
                <w:color w:val="auto"/>
              </w:rPr>
            </w:pPr>
            <w:r>
              <w:rPr>
                <w:rFonts w:ascii="Arial" w:cs="Arial" w:eastAsia="Arial" w:hAnsi="Arial"/>
                <w:sz w:val="18"/>
                <w:szCs w:val="18"/>
                <w:color w:val="51555C"/>
              </w:rPr>
              <w:t>United Kingdom</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32,447</w:t>
            </w:r>
          </w:p>
        </w:tc>
        <w:tc>
          <w:tcPr>
            <w:tcW w:w="160" w:type="dxa"/>
            <w:vAlign w:val="bottom"/>
          </w:tcPr>
          <w:p>
            <w:pPr>
              <w:spacing w:after="0"/>
              <w:rPr>
                <w:sz w:val="24"/>
                <w:szCs w:val="24"/>
                <w:color w:val="auto"/>
              </w:rPr>
            </w:pPr>
          </w:p>
        </w:tc>
        <w:tc>
          <w:tcPr>
            <w:tcW w:w="1500" w:type="dxa"/>
            <w:vAlign w:val="bottom"/>
          </w:tcPr>
          <w:p>
            <w:pPr>
              <w:jc w:val="right"/>
              <w:ind w:right="18"/>
              <w:spacing w:after="0"/>
              <w:rPr>
                <w:sz w:val="20"/>
                <w:szCs w:val="20"/>
                <w:color w:val="auto"/>
              </w:rPr>
            </w:pPr>
            <w:r>
              <w:rPr>
                <w:rFonts w:ascii="Arial" w:cs="Arial" w:eastAsia="Arial" w:hAnsi="Arial"/>
                <w:sz w:val="18"/>
                <w:szCs w:val="18"/>
                <w:color w:val="51555C"/>
              </w:rPr>
              <w:t>27,494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51555C"/>
              </w:rPr>
              <w:t>99,001</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87,324</w:t>
            </w:r>
          </w:p>
        </w:tc>
        <w:tc>
          <w:tcPr>
            <w:tcW w:w="20" w:type="dxa"/>
            <w:vAlign w:val="bottom"/>
          </w:tcPr>
          <w:p>
            <w:pPr>
              <w:spacing w:after="0"/>
              <w:rPr>
                <w:sz w:val="24"/>
                <w:szCs w:val="24"/>
                <w:color w:val="auto"/>
              </w:rPr>
            </w:pPr>
          </w:p>
        </w:tc>
      </w:tr>
      <w:tr>
        <w:trPr>
          <w:trHeight w:val="23"/>
        </w:trPr>
        <w:tc>
          <w:tcPr>
            <w:tcW w:w="4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countries</w:t>
            </w:r>
          </w:p>
        </w:tc>
        <w:tc>
          <w:tcPr>
            <w:tcW w:w="52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18,946</w:t>
            </w:r>
          </w:p>
        </w:tc>
        <w:tc>
          <w:tcPr>
            <w:tcW w:w="160" w:type="dxa"/>
            <w:vAlign w:val="bottom"/>
            <w:tcBorders>
              <w:bottom w:val="single" w:sz="8" w:color="EBFBFF"/>
            </w:tcBorders>
            <w:shd w:val="clear" w:color="auto" w:fill="EBFBFF"/>
          </w:tcPr>
          <w:p>
            <w:pPr>
              <w:spacing w:after="0"/>
              <w:rPr>
                <w:sz w:val="24"/>
                <w:szCs w:val="24"/>
                <w:color w:val="auto"/>
              </w:rPr>
            </w:pP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15,971</w:t>
            </w:r>
          </w:p>
        </w:tc>
        <w:tc>
          <w:tcPr>
            <w:tcW w:w="100" w:type="dxa"/>
            <w:vAlign w:val="bottom"/>
            <w:tcBorders>
              <w:bottom w:val="single" w:sz="8" w:color="EBFBFF"/>
            </w:tcBorders>
            <w:shd w:val="clear" w:color="auto" w:fill="EBFBFF"/>
          </w:tcPr>
          <w:p>
            <w:pPr>
              <w:spacing w:after="0"/>
              <w:rPr>
                <w:sz w:val="24"/>
                <w:szCs w:val="24"/>
                <w:color w:val="auto"/>
              </w:rPr>
            </w:pPr>
          </w:p>
        </w:tc>
        <w:tc>
          <w:tcPr>
            <w:tcW w:w="52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57,071</w:t>
            </w:r>
          </w:p>
        </w:tc>
        <w:tc>
          <w:tcPr>
            <w:tcW w:w="200" w:type="dxa"/>
            <w:vAlign w:val="bottom"/>
            <w:tcBorders>
              <w:bottom w:val="single" w:sz="8" w:color="EBFBFF"/>
            </w:tcBorders>
            <w:shd w:val="clear" w:color="auto" w:fill="EBFBFF"/>
          </w:tcPr>
          <w:p>
            <w:pPr>
              <w:spacing w:after="0"/>
              <w:rPr>
                <w:sz w:val="24"/>
                <w:szCs w:val="24"/>
                <w:color w:val="auto"/>
              </w:rPr>
            </w:pP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47,966</w:t>
            </w:r>
          </w:p>
        </w:tc>
        <w:tc>
          <w:tcPr>
            <w:tcW w:w="20" w:type="dxa"/>
            <w:vAlign w:val="bottom"/>
          </w:tcPr>
          <w:p>
            <w:pPr>
              <w:spacing w:after="0"/>
              <w:rPr>
                <w:sz w:val="24"/>
                <w:szCs w:val="24"/>
                <w:color w:val="auto"/>
              </w:rPr>
            </w:pPr>
          </w:p>
        </w:tc>
      </w:tr>
      <w:tr>
        <w:trPr>
          <w:trHeight w:val="295"/>
        </w:trPr>
        <w:tc>
          <w:tcPr>
            <w:tcW w:w="4540" w:type="dxa"/>
            <w:vAlign w:val="bottom"/>
          </w:tcPr>
          <w:p>
            <w:pPr>
              <w:ind w:left="140"/>
              <w:spacing w:after="0"/>
              <w:rPr>
                <w:sz w:val="20"/>
                <w:szCs w:val="20"/>
                <w:color w:val="auto"/>
              </w:rPr>
            </w:pPr>
            <w:r>
              <w:rPr>
                <w:rFonts w:ascii="Arial" w:cs="Arial" w:eastAsia="Arial" w:hAnsi="Arial"/>
                <w:sz w:val="18"/>
                <w:szCs w:val="18"/>
                <w:color w:val="51555C"/>
              </w:rPr>
              <w:t>Total revenue</w:t>
            </w:r>
          </w:p>
        </w:tc>
        <w:tc>
          <w:tcPr>
            <w:tcW w:w="52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99"/>
              </w:rPr>
              <w:t>$</w:t>
            </w: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292,641</w:t>
            </w:r>
          </w:p>
        </w:tc>
        <w:tc>
          <w:tcPr>
            <w:tcW w:w="1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top w:val="single" w:sz="8" w:color="51555C"/>
            </w:tcBorders>
          </w:tcPr>
          <w:p>
            <w:pPr>
              <w:jc w:val="right"/>
              <w:ind w:right="18"/>
              <w:spacing w:after="0"/>
              <w:rPr>
                <w:sz w:val="20"/>
                <w:szCs w:val="20"/>
                <w:color w:val="auto"/>
              </w:rPr>
            </w:pPr>
            <w:r>
              <w:rPr>
                <w:rFonts w:ascii="Arial" w:cs="Arial" w:eastAsia="Arial" w:hAnsi="Arial"/>
                <w:sz w:val="18"/>
                <w:szCs w:val="18"/>
                <w:color w:val="51555C"/>
              </w:rPr>
              <w:t>281,143</w:t>
            </w:r>
          </w:p>
        </w:tc>
        <w:tc>
          <w:tcPr>
            <w:tcW w:w="100" w:type="dxa"/>
            <w:vAlign w:val="bottom"/>
          </w:tcPr>
          <w:p>
            <w:pPr>
              <w:spacing w:after="0"/>
              <w:rPr>
                <w:sz w:val="24"/>
                <w:szCs w:val="24"/>
                <w:color w:val="auto"/>
              </w:rPr>
            </w:pPr>
          </w:p>
        </w:tc>
        <w:tc>
          <w:tcPr>
            <w:tcW w:w="52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ind w:right="13"/>
              <w:spacing w:after="0"/>
              <w:rPr>
                <w:sz w:val="20"/>
                <w:szCs w:val="20"/>
                <w:color w:val="auto"/>
              </w:rPr>
            </w:pPr>
            <w:r>
              <w:rPr>
                <w:rFonts w:ascii="Arial" w:cs="Arial" w:eastAsia="Arial" w:hAnsi="Arial"/>
                <w:sz w:val="18"/>
                <w:szCs w:val="18"/>
                <w:color w:val="51555C"/>
              </w:rPr>
              <w:t>864,378</w:t>
            </w:r>
          </w:p>
        </w:tc>
        <w:tc>
          <w:tcPr>
            <w:tcW w:w="200" w:type="dxa"/>
            <w:vAlign w:val="bottom"/>
            <w:tcBorders>
              <w:top w:val="single" w:sz="8" w:color="51555C"/>
            </w:tcBorders>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833,109</w:t>
            </w:r>
          </w:p>
        </w:tc>
        <w:tc>
          <w:tcPr>
            <w:tcW w:w="20" w:type="dxa"/>
            <w:vAlign w:val="bottom"/>
          </w:tcPr>
          <w:p>
            <w:pPr>
              <w:spacing w:after="0"/>
              <w:rPr>
                <w:sz w:val="24"/>
                <w:szCs w:val="24"/>
                <w:color w:val="auto"/>
              </w:rPr>
            </w:pPr>
          </w:p>
        </w:tc>
      </w:tr>
      <w:tr>
        <w:trPr>
          <w:trHeight w:val="23"/>
        </w:trPr>
        <w:tc>
          <w:tcPr>
            <w:tcW w:w="4540" w:type="dxa"/>
            <w:vAlign w:val="bottom"/>
            <w:tcBorders>
              <w:bottom w:val="single" w:sz="8" w:color="0CD973"/>
            </w:tcBorders>
          </w:tcPr>
          <w:p>
            <w:pPr>
              <w:spacing w:after="0"/>
              <w:rPr>
                <w:sz w:val="2"/>
                <w:szCs w:val="2"/>
                <w:color w:val="auto"/>
              </w:rPr>
            </w:pPr>
          </w:p>
        </w:tc>
        <w:tc>
          <w:tcPr>
            <w:tcW w:w="520" w:type="dxa"/>
            <w:vAlign w:val="bottom"/>
            <w:tcBorders>
              <w:bottom w:val="single" w:sz="8" w:color="0CD973"/>
            </w:tcBorders>
          </w:tcPr>
          <w:p>
            <w:pPr>
              <w:spacing w:after="0"/>
              <w:rPr>
                <w:sz w:val="2"/>
                <w:szCs w:val="2"/>
                <w:color w:val="auto"/>
              </w:rPr>
            </w:pPr>
          </w:p>
        </w:tc>
        <w:tc>
          <w:tcPr>
            <w:tcW w:w="1120" w:type="dxa"/>
            <w:vAlign w:val="bottom"/>
            <w:tcBorders>
              <w:bottom w:val="single" w:sz="8" w:color="0CD973"/>
            </w:tcBorders>
          </w:tcPr>
          <w:p>
            <w:pPr>
              <w:spacing w:after="0"/>
              <w:rPr>
                <w:sz w:val="2"/>
                <w:szCs w:val="2"/>
                <w:color w:val="auto"/>
              </w:rPr>
            </w:pPr>
          </w:p>
        </w:tc>
        <w:tc>
          <w:tcPr>
            <w:tcW w:w="160" w:type="dxa"/>
            <w:vAlign w:val="bottom"/>
            <w:tcBorders>
              <w:bottom w:val="single" w:sz="8" w:color="0CD973"/>
            </w:tcBorders>
          </w:tcPr>
          <w:p>
            <w:pPr>
              <w:spacing w:after="0"/>
              <w:rPr>
                <w:sz w:val="2"/>
                <w:szCs w:val="2"/>
                <w:color w:val="auto"/>
              </w:rPr>
            </w:pPr>
          </w:p>
        </w:tc>
        <w:tc>
          <w:tcPr>
            <w:tcW w:w="150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2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14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470"/>
        </w:trPr>
        <w:tc>
          <w:tcPr>
            <w:tcW w:w="4540" w:type="dxa"/>
            <w:vAlign w:val="bottom"/>
          </w:tcPr>
          <w:p>
            <w:pPr>
              <w:spacing w:after="0"/>
              <w:rPr>
                <w:sz w:val="20"/>
                <w:szCs w:val="20"/>
                <w:color w:val="auto"/>
              </w:rPr>
            </w:pPr>
            <w:r>
              <w:rPr>
                <w:rFonts w:ascii="Arial" w:cs="Arial" w:eastAsia="Arial" w:hAnsi="Arial"/>
                <w:sz w:val="18"/>
                <w:szCs w:val="18"/>
                <w:color w:val="51555C"/>
              </w:rPr>
              <w:t>The following table presents our revenue by type:</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4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7"/>
        </w:trPr>
        <w:tc>
          <w:tcPr>
            <w:tcW w:w="454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6"/>
        </w:trPr>
        <w:tc>
          <w:tcPr>
            <w:tcW w:w="4540" w:type="dxa"/>
            <w:vAlign w:val="bottom"/>
            <w:shd w:val="clear" w:color="auto" w:fill="004054"/>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252"/>
        </w:trPr>
        <w:tc>
          <w:tcPr>
            <w:tcW w:w="45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004054"/>
            </w:tcBorders>
            <w:shd w:val="clear" w:color="auto" w:fill="004054"/>
          </w:tcPr>
          <w:p>
            <w:pPr>
              <w:spacing w:after="0"/>
              <w:rPr>
                <w:sz w:val="21"/>
                <w:szCs w:val="21"/>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1"/>
                <w:szCs w:val="21"/>
                <w:color w:val="auto"/>
              </w:rPr>
            </w:pPr>
          </w:p>
        </w:tc>
        <w:tc>
          <w:tcPr>
            <w:tcW w:w="15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1"/>
                <w:szCs w:val="21"/>
                <w:color w:val="auto"/>
              </w:rPr>
            </w:pPr>
          </w:p>
        </w:tc>
        <w:tc>
          <w:tcPr>
            <w:tcW w:w="520" w:type="dxa"/>
            <w:vAlign w:val="bottom"/>
            <w:tcBorders>
              <w:bottom w:val="single" w:sz="8" w:color="004054"/>
            </w:tcBorders>
            <w:shd w:val="clear" w:color="auto" w:fill="004054"/>
          </w:tcPr>
          <w:p>
            <w:pPr>
              <w:spacing w:after="0"/>
              <w:rPr>
                <w:sz w:val="21"/>
                <w:szCs w:val="21"/>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004054"/>
            </w:tcBorders>
            <w:shd w:val="clear" w:color="auto" w:fill="004054"/>
          </w:tcPr>
          <w:p>
            <w:pPr>
              <w:spacing w:after="0"/>
              <w:rPr>
                <w:sz w:val="21"/>
                <w:szCs w:val="21"/>
                <w:color w:val="auto"/>
              </w:rPr>
            </w:pPr>
          </w:p>
        </w:tc>
        <w:tc>
          <w:tcPr>
            <w:tcW w:w="14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1"/>
                <w:szCs w:val="21"/>
                <w:color w:val="auto"/>
              </w:rPr>
            </w:pPr>
          </w:p>
        </w:tc>
      </w:tr>
      <w:tr>
        <w:trPr>
          <w:trHeight w:val="304"/>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Contractual recurring</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187,270</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182,984</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14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555,949</w:t>
            </w:r>
          </w:p>
        </w:tc>
        <w:tc>
          <w:tcPr>
            <w:tcW w:w="20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538,577</w:t>
            </w:r>
          </w:p>
        </w:tc>
        <w:tc>
          <w:tcPr>
            <w:tcW w:w="20" w:type="dxa"/>
            <w:vAlign w:val="bottom"/>
          </w:tcPr>
          <w:p>
            <w:pPr>
              <w:spacing w:after="0"/>
              <w:rPr>
                <w:sz w:val="24"/>
                <w:szCs w:val="24"/>
                <w:color w:val="auto"/>
              </w:rPr>
            </w:pPr>
          </w:p>
        </w:tc>
      </w:tr>
      <w:tr>
        <w:trPr>
          <w:trHeight w:val="301"/>
        </w:trPr>
        <w:tc>
          <w:tcPr>
            <w:tcW w:w="4540" w:type="dxa"/>
            <w:vAlign w:val="bottom"/>
          </w:tcPr>
          <w:p>
            <w:pPr>
              <w:ind w:left="20"/>
              <w:spacing w:after="0"/>
              <w:rPr>
                <w:sz w:val="20"/>
                <w:szCs w:val="20"/>
                <w:color w:val="auto"/>
              </w:rPr>
            </w:pPr>
            <w:r>
              <w:rPr>
                <w:rFonts w:ascii="Arial" w:cs="Arial" w:eastAsia="Arial" w:hAnsi="Arial"/>
                <w:sz w:val="18"/>
                <w:szCs w:val="18"/>
                <w:color w:val="51555C"/>
              </w:rPr>
              <w:t>Transactional recurring</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99,760</w:t>
            </w:r>
          </w:p>
        </w:tc>
        <w:tc>
          <w:tcPr>
            <w:tcW w:w="160" w:type="dxa"/>
            <w:vAlign w:val="bottom"/>
          </w:tcPr>
          <w:p>
            <w:pPr>
              <w:spacing w:after="0"/>
              <w:rPr>
                <w:sz w:val="24"/>
                <w:szCs w:val="24"/>
                <w:color w:val="auto"/>
              </w:rPr>
            </w:pPr>
          </w:p>
        </w:tc>
        <w:tc>
          <w:tcPr>
            <w:tcW w:w="1500" w:type="dxa"/>
            <w:vAlign w:val="bottom"/>
          </w:tcPr>
          <w:p>
            <w:pPr>
              <w:jc w:val="right"/>
              <w:ind w:right="18"/>
              <w:spacing w:after="0"/>
              <w:rPr>
                <w:sz w:val="20"/>
                <w:szCs w:val="20"/>
                <w:color w:val="auto"/>
              </w:rPr>
            </w:pPr>
            <w:r>
              <w:rPr>
                <w:rFonts w:ascii="Arial" w:cs="Arial" w:eastAsia="Arial" w:hAnsi="Arial"/>
                <w:sz w:val="18"/>
                <w:szCs w:val="18"/>
                <w:color w:val="51555C"/>
              </w:rPr>
              <w:t>92,818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51555C"/>
              </w:rPr>
              <w:t>292,857</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276,829</w:t>
            </w:r>
          </w:p>
        </w:tc>
        <w:tc>
          <w:tcPr>
            <w:tcW w:w="20" w:type="dxa"/>
            <w:vAlign w:val="bottom"/>
          </w:tcPr>
          <w:p>
            <w:pPr>
              <w:spacing w:after="0"/>
              <w:rPr>
                <w:sz w:val="24"/>
                <w:szCs w:val="24"/>
                <w:color w:val="auto"/>
              </w:rPr>
            </w:pPr>
          </w:p>
        </w:tc>
      </w:tr>
      <w:tr>
        <w:trPr>
          <w:trHeight w:val="23"/>
        </w:trPr>
        <w:tc>
          <w:tcPr>
            <w:tcW w:w="454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4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5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recurring revenue</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287,030</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275,802</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14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848,806</w:t>
            </w:r>
          </w:p>
        </w:tc>
        <w:tc>
          <w:tcPr>
            <w:tcW w:w="20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815,406</w:t>
            </w:r>
          </w:p>
        </w:tc>
        <w:tc>
          <w:tcPr>
            <w:tcW w:w="20" w:type="dxa"/>
            <w:vAlign w:val="bottom"/>
          </w:tcPr>
          <w:p>
            <w:pPr>
              <w:spacing w:after="0"/>
              <w:rPr>
                <w:sz w:val="24"/>
                <w:szCs w:val="24"/>
                <w:color w:val="auto"/>
              </w:rPr>
            </w:pPr>
          </w:p>
        </w:tc>
      </w:tr>
      <w:tr>
        <w:trPr>
          <w:trHeight w:val="301"/>
        </w:trPr>
        <w:tc>
          <w:tcPr>
            <w:tcW w:w="4540" w:type="dxa"/>
            <w:vAlign w:val="bottom"/>
          </w:tcPr>
          <w:p>
            <w:pPr>
              <w:ind w:left="140"/>
              <w:spacing w:after="0"/>
              <w:rPr>
                <w:sz w:val="20"/>
                <w:szCs w:val="20"/>
                <w:color w:val="auto"/>
              </w:rPr>
            </w:pPr>
            <w:r>
              <w:rPr>
                <w:rFonts w:ascii="Arial" w:cs="Arial" w:eastAsia="Arial" w:hAnsi="Arial"/>
                <w:sz w:val="18"/>
                <w:szCs w:val="18"/>
                <w:color w:val="51555C"/>
              </w:rPr>
              <w:t>One-time services and other</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5,611</w:t>
            </w:r>
          </w:p>
        </w:tc>
        <w:tc>
          <w:tcPr>
            <w:tcW w:w="160" w:type="dxa"/>
            <w:vAlign w:val="bottom"/>
          </w:tcPr>
          <w:p>
            <w:pPr>
              <w:spacing w:after="0"/>
              <w:rPr>
                <w:sz w:val="24"/>
                <w:szCs w:val="24"/>
                <w:color w:val="auto"/>
              </w:rPr>
            </w:pPr>
          </w:p>
        </w:tc>
        <w:tc>
          <w:tcPr>
            <w:tcW w:w="1500" w:type="dxa"/>
            <w:vAlign w:val="bottom"/>
          </w:tcPr>
          <w:p>
            <w:pPr>
              <w:jc w:val="right"/>
              <w:ind w:right="18"/>
              <w:spacing w:after="0"/>
              <w:rPr>
                <w:sz w:val="20"/>
                <w:szCs w:val="20"/>
                <w:color w:val="auto"/>
              </w:rPr>
            </w:pPr>
            <w:r>
              <w:rPr>
                <w:rFonts w:ascii="Arial" w:cs="Arial" w:eastAsia="Arial" w:hAnsi="Arial"/>
                <w:sz w:val="18"/>
                <w:szCs w:val="18"/>
                <w:color w:val="51555C"/>
              </w:rPr>
              <w:t>5,341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51555C"/>
              </w:rPr>
              <w:t>15,572</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17,703</w:t>
            </w:r>
          </w:p>
        </w:tc>
        <w:tc>
          <w:tcPr>
            <w:tcW w:w="20" w:type="dxa"/>
            <w:vAlign w:val="bottom"/>
          </w:tcPr>
          <w:p>
            <w:pPr>
              <w:spacing w:after="0"/>
              <w:rPr>
                <w:sz w:val="24"/>
                <w:szCs w:val="24"/>
                <w:color w:val="auto"/>
              </w:rPr>
            </w:pPr>
          </w:p>
        </w:tc>
      </w:tr>
      <w:tr>
        <w:trPr>
          <w:trHeight w:val="23"/>
        </w:trPr>
        <w:tc>
          <w:tcPr>
            <w:tcW w:w="454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4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323"/>
        </w:trPr>
        <w:tc>
          <w:tcPr>
            <w:tcW w:w="454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Total revenue</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292,641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281,143</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140" w:type="dxa"/>
            <w:vAlign w:val="bottom"/>
            <w:tcBorders>
              <w:bottom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864,378</w:t>
            </w:r>
          </w:p>
        </w:tc>
        <w:tc>
          <w:tcPr>
            <w:tcW w:w="20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833,109</w:t>
            </w:r>
          </w:p>
        </w:tc>
        <w:tc>
          <w:tcPr>
            <w:tcW w:w="20" w:type="dxa"/>
            <w:vAlign w:val="bottom"/>
          </w:tcPr>
          <w:p>
            <w:pPr>
              <w:spacing w:after="0"/>
              <w:rPr>
                <w:sz w:val="24"/>
                <w:szCs w:val="24"/>
                <w:color w:val="auto"/>
              </w:rPr>
            </w:pPr>
          </w:p>
        </w:tc>
      </w:tr>
      <w:tr>
        <w:trPr>
          <w:trHeight w:val="688"/>
        </w:trPr>
        <w:tc>
          <w:tcPr>
            <w:tcW w:w="4540" w:type="dxa"/>
            <w:vAlign w:val="bottom"/>
            <w:tcBorders>
              <w:top w:val="single" w:sz="8" w:color="0CD973"/>
            </w:tcBorders>
          </w:tcPr>
          <w:p>
            <w:pPr>
              <w:spacing w:after="0"/>
              <w:rPr>
                <w:sz w:val="24"/>
                <w:szCs w:val="24"/>
                <w:color w:val="auto"/>
              </w:rPr>
            </w:pPr>
          </w:p>
        </w:tc>
        <w:tc>
          <w:tcPr>
            <w:tcW w:w="520" w:type="dxa"/>
            <w:vAlign w:val="bottom"/>
            <w:tcBorders>
              <w:top w:val="single" w:sz="8" w:color="0CD973"/>
            </w:tcBorders>
          </w:tcPr>
          <w:p>
            <w:pPr>
              <w:spacing w:after="0"/>
              <w:rPr>
                <w:sz w:val="24"/>
                <w:szCs w:val="24"/>
                <w:color w:val="auto"/>
              </w:rPr>
            </w:pPr>
          </w:p>
        </w:tc>
        <w:tc>
          <w:tcPr>
            <w:tcW w:w="1120" w:type="dxa"/>
            <w:vAlign w:val="bottom"/>
            <w:tcBorders>
              <w:top w:val="single" w:sz="8" w:color="0CD973"/>
            </w:tcBorders>
          </w:tcPr>
          <w:p>
            <w:pPr>
              <w:spacing w:after="0"/>
              <w:rPr>
                <w:sz w:val="24"/>
                <w:szCs w:val="24"/>
                <w:color w:val="auto"/>
              </w:rPr>
            </w:pPr>
          </w:p>
        </w:tc>
        <w:tc>
          <w:tcPr>
            <w:tcW w:w="160" w:type="dxa"/>
            <w:vAlign w:val="bottom"/>
            <w:tcBorders>
              <w:top w:val="single" w:sz="8" w:color="0CD973"/>
            </w:tcBorders>
          </w:tcPr>
          <w:p>
            <w:pPr>
              <w:spacing w:after="0"/>
              <w:rPr>
                <w:sz w:val="24"/>
                <w:szCs w:val="24"/>
                <w:color w:val="auto"/>
              </w:rPr>
            </w:pPr>
          </w:p>
        </w:tc>
        <w:tc>
          <w:tcPr>
            <w:tcW w:w="3260" w:type="dxa"/>
            <w:vAlign w:val="bottom"/>
            <w:tcBorders>
              <w:top w:val="single" w:sz="8" w:color="0CD973"/>
            </w:tcBorders>
            <w:gridSpan w:val="4"/>
          </w:tcPr>
          <w:p>
            <w:pPr>
              <w:jc w:val="right"/>
              <w:spacing w:after="0"/>
              <w:rPr>
                <w:sz w:val="20"/>
                <w:szCs w:val="20"/>
                <w:color w:val="auto"/>
              </w:rPr>
            </w:pPr>
            <w:r>
              <w:rPr>
                <w:rFonts w:ascii="Arial" w:cs="Arial" w:eastAsia="Arial" w:hAnsi="Arial"/>
                <w:sz w:val="14"/>
                <w:szCs w:val="14"/>
                <w:color w:val="51555C"/>
              </w:rPr>
              <w:t>Third Quarter 2026 Form 10-Q</w:t>
            </w:r>
          </w:p>
        </w:tc>
        <w:tc>
          <w:tcPr>
            <w:tcW w:w="200" w:type="dxa"/>
            <w:vAlign w:val="bottom"/>
            <w:tcBorders>
              <w:top w:val="single" w:sz="8" w:color="0CD973"/>
            </w:tcBorders>
          </w:tcPr>
          <w:p>
            <w:pPr>
              <w:spacing w:after="0"/>
              <w:rPr>
                <w:sz w:val="24"/>
                <w:szCs w:val="24"/>
                <w:color w:val="auto"/>
              </w:rPr>
            </w:pPr>
          </w:p>
        </w:tc>
        <w:tc>
          <w:tcPr>
            <w:tcW w:w="1440" w:type="dxa"/>
            <w:vAlign w:val="bottom"/>
            <w:tcBorders>
              <w:top w:val="single" w:sz="8" w:color="0CD973"/>
            </w:tcBorders>
          </w:tcPr>
          <w:p>
            <w:pPr>
              <w:jc w:val="right"/>
              <w:spacing w:after="0"/>
              <w:rPr>
                <w:sz w:val="20"/>
                <w:szCs w:val="20"/>
                <w:color w:val="auto"/>
              </w:rPr>
            </w:pPr>
            <w:r>
              <w:rPr>
                <w:rFonts w:ascii="Arial" w:cs="Arial" w:eastAsia="Arial" w:hAnsi="Arial"/>
                <w:sz w:val="14"/>
                <w:szCs w:val="14"/>
                <w:color w:val="51555C"/>
              </w:rPr>
              <w:t>19</w:t>
            </w:r>
          </w:p>
        </w:tc>
        <w:tc>
          <w:tcPr>
            <w:tcW w:w="20" w:type="dxa"/>
            <w:vAlign w:val="bottom"/>
          </w:tcPr>
          <w:p>
            <w:pPr>
              <w:spacing w:after="0"/>
              <w:rPr>
                <w:sz w:val="24"/>
                <w:szCs w:val="24"/>
                <w:color w:val="auto"/>
              </w:rPr>
            </w:pPr>
          </w:p>
        </w:tc>
      </w:tr>
      <w:tr>
        <w:trPr>
          <w:trHeight w:val="312"/>
        </w:trPr>
        <w:tc>
          <w:tcPr>
            <w:tcW w:w="4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-3488055</wp:posOffset>
            </wp:positionV>
            <wp:extent cx="42691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-1868170</wp:posOffset>
            </wp:positionV>
            <wp:extent cx="42691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65976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0"/>
        <w:spacing w:after="0" w:line="298" w:lineRule="auto"/>
        <w:rPr>
          <w:sz w:val="20"/>
          <w:szCs w:val="20"/>
          <w:color w:val="auto"/>
        </w:rPr>
      </w:pPr>
      <w:r>
        <w:rPr>
          <w:rFonts w:ascii="Arial" w:cs="Arial" w:eastAsia="Arial" w:hAnsi="Arial"/>
          <w:sz w:val="29"/>
          <w:szCs w:val="29"/>
          <w:b w:val="1"/>
          <w:bCs w:val="1"/>
          <w:color w:val="004054"/>
        </w:rPr>
        <w:t>ITEM 2. MANAGEMENT'S DISCUSSION AND ANALYSIS OF FINANCIAL CONDITION AND RESULTS OF OPERATIONS</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51555C"/>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Our revenue is primarily generated from the following sources: (i) charging for the use of our software solutions in cloud and hosted environments; and (ii) providing payment and transaction services.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Business Update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delivered another quarter of solid execution against our operating plan, with continued focus on operational efficiency and product innovation. AI initiatives remain an important area of emphasis, both in the capabilities we are delivering to customers and in the way we operate the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During the third quarter, we announced Platform for Good™, our unified platform designed to connect our products, data, AI and expertise across the social impact sector. Platform for Good brings together our differentiated data assets, intelligence capabilities and AI-enabled assistants, agents and workflows, while allowing customers to continue working within the Blackbaud solutions and workflows they use today. We believe this approach provides a significant opportunity to deliver increasingly intelligent and connected capabilities across our portfolio while maintaining appropriate human oversight and control.</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also introduced Lantern™, a domain-specific language model purpose-built for fundraising and developed through a strategic collaboration with Databricks. Lantern combines leading open-weight models with more than 40 years of Blackbaud fundraising experience and is being developed under our Responsible AI principles. We expect Lantern to begin powering select Raiser’s Edge NXT® and Agents for Good™ capabilities in 2027, with broader availability across Platform for Good to follow.</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Our Agents for Good offerings also continued to expand during the quarter. The fundraising Development Agent, our first agentic AI offering, became generally available earlier in 2026 and is designed to help fundraising teams identify and engage prospective and dormant donors within existing workflows and under human supervision. During the third quarter, we announced additional advancements to the Development Agent and introduced the Data Health Agent, which is designed to identify and address data quality issues through review-and-approve workflows. We also previewed additional agentic capabilities for financial management and education.</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Alongside these AI initiatives, we continued to invest in and modernize our core products. During the third quarter, we announced significant enhancements to Raiser’s Edge NXT, including embedded intelligence, automation and connected data capabilities, as well as Blackbaud Marketing™. We also announced new capabilities across our financial management, payments and education solutions, including our next-generation Payment Assistant™, Deposit Connect™ and higher education Connected Campus solution. These investments reflect our strategy of continuing to enhance the products our customers rely on while integrating new intelligence and automation capabilities into existing solutions and workflows.</w:t>
      </w:r>
    </w:p>
    <w:p>
      <w:pPr>
        <w:spacing w:after="0" w:line="12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We also continued to apply AI internally to improve efficiency across engineering, sales and marketing, customer success and the back office. Our engineering teams continue to use approved generative AI tools to accelerate software development, reduce time to remediate software issues and increase throughput on new product delivery.</w:t>
      </w:r>
    </w:p>
    <w:p>
      <w:pPr>
        <w:spacing w:after="0" w:line="29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20</w:t>
      </w:r>
      <w:r>
        <w:rPr>
          <w:sz w:val="20"/>
          <w:szCs w:val="20"/>
          <w:color w:val="auto"/>
        </w:rPr>
        <w:tab/>
      </w:r>
      <w:r>
        <w:rPr>
          <w:sz w:val="1"/>
          <w:szCs w:val="1"/>
          <w:color w:val="auto"/>
        </w:rPr>
        <w:drawing>
          <wp:inline distT="0" distB="0" distL="0" distR="0">
            <wp:extent cx="651510" cy="1714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As part of our ongoing efforts to improve operating efficiency and optimize our global workforce and operating model, we currently expect to incur pre-tax global workforce transition costs of approximately $8 million to $10 million in 2026, consisting primarily of severance and other employee transition-related expenses. This estimate has increased from the $6 million to $8 million of workforce transition costs previously disclosed, reflecting additional workforce transition actions undertaken during 2026. Because planning for later phases of our multi-year global workforce strategy remains ongoing, our current estimate relates only to expected costs in 2026. We expect to provide updates as planning progresses.</w:t>
      </w:r>
    </w:p>
    <w:p>
      <w:pPr>
        <w:spacing w:after="0" w:line="12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51555C"/>
        </w:rPr>
        <w:t>In February 2026, we announced our intention to repurchase between 5% and 10% of our outstanding common stock as of December 31, 2025 during the course of 2026 under our stock repurchase program. During the three months ended September 30, 2026, we repurchased an aggregate of 448,000 shares for $ 18.3 million. During the nine months ended September 30, 2026, we repurchased an aggregate of 2,846,852 shares for $128.4 million. Including net share settlement of employee stock compensation, these repurchases represent approximately 7.2% of our outstanding common stock as of December 31, 2025. As of September 30, 2026, $832.1 million remained available under our stock repurchase program. Over the long term, we expect stock repurchases to remain an important component of our capital allocation strategy, subject to market conditions, business performance, leverage considerations, and other factors. We anticipate utilizing at least 50% of our free cash flow from 2026 to 2030 for stock repurchases. See discussion of our Non</w:t>
      </w:r>
      <w:r>
        <w:rPr>
          <w:rFonts w:ascii="MS PGothic" w:cs="MS PGothic" w:eastAsia="MS PGothic" w:hAnsi="MS PGothic"/>
          <w:sz w:val="18"/>
          <w:szCs w:val="18"/>
          <w:color w:val="51555C"/>
        </w:rPr>
        <w:t>‑</w:t>
      </w:r>
      <w:r>
        <w:rPr>
          <w:rFonts w:ascii="Arial" w:cs="Arial" w:eastAsia="Arial" w:hAnsi="Arial"/>
          <w:sz w:val="18"/>
          <w:szCs w:val="18"/>
          <w:color w:val="51555C"/>
        </w:rPr>
        <w:t>GAAP Financial Measures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Financial Summary</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51555C"/>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51555C"/>
                <w:w w:val="99"/>
              </w:rPr>
              <w:t>Income from operations ($M)</w:t>
            </w:r>
          </w:p>
        </w:tc>
      </w:tr>
      <w:tr>
        <w:trPr>
          <w:trHeight w:val="23"/>
        </w:trPr>
        <w:tc>
          <w:tcPr>
            <w:tcW w:w="4280" w:type="dxa"/>
            <w:vAlign w:val="bottom"/>
            <w:tcBorders>
              <w:bottom w:val="single" w:sz="8" w:color="51555C"/>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51555C"/>
            </w:tcBorders>
          </w:tcPr>
          <w:p>
            <w:pPr>
              <w:spacing w:after="0"/>
              <w:rPr>
                <w:sz w:val="2"/>
                <w:szCs w:val="2"/>
                <w:color w:val="auto"/>
              </w:rPr>
            </w:pPr>
          </w:p>
        </w:tc>
      </w:tr>
      <w:tr>
        <w:trPr>
          <w:trHeight w:val="223"/>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51555C"/>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180340</wp:posOffset>
            </wp:positionV>
            <wp:extent cx="5709285" cy="3008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9285" cy="30086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3583305</wp:posOffset>
            </wp:positionV>
            <wp:extent cx="65976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21</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Revenue increased by $11.5 million and $31.3 million, during the three and nine months ended September 30, 2026, respectively, when compared to the same periods in 2025, driven largely by the following:</w:t>
      </w:r>
    </w:p>
    <w:p>
      <w:pPr>
        <w:spacing w:after="0" w:line="99" w:lineRule="exact"/>
        <w:rPr>
          <w:sz w:val="20"/>
          <w:szCs w:val="20"/>
          <w:color w:val="auto"/>
        </w:rPr>
      </w:pPr>
    </w:p>
    <w:p>
      <w:pPr>
        <w:jc w:val="both"/>
        <w:ind w:left="700" w:right="20" w:hanging="373"/>
        <w:spacing w:after="0" w:line="262" w:lineRule="auto"/>
        <w:tabs>
          <w:tab w:leader="none" w:pos="700" w:val="left"/>
        </w:tabs>
        <w:numPr>
          <w:ilvl w:val="0"/>
          <w:numId w:val="10"/>
        </w:numPr>
        <w:rPr>
          <w:rFonts w:ascii="Arial" w:cs="Arial" w:eastAsia="Arial" w:hAnsi="Arial"/>
          <w:sz w:val="18"/>
          <w:szCs w:val="18"/>
          <w:color w:val="51555C"/>
        </w:rPr>
      </w:pPr>
      <w:r>
        <w:rPr>
          <w:rFonts w:ascii="Arial" w:cs="Arial" w:eastAsia="Arial" w:hAnsi="Arial"/>
          <w:sz w:val="18"/>
          <w:szCs w:val="18"/>
          <w:color w:val="51555C"/>
        </w:rPr>
        <w:t>Increases in transactional recurring revenue of $6.9 million and $16.0 million, respectively, primarily due to positive results related to pricing initiatives and, to a lesser extent, increases in volume for our Blackbaud Integrated Payments; also contributing to the increases in transactional recurring revenue during the nine months ended September 30, 2026 was an increase related to fluctuations in foreign currency exchange rates of $1.6 million</w:t>
      </w:r>
    </w:p>
    <w:p>
      <w:pPr>
        <w:spacing w:after="0" w:line="68" w:lineRule="exact"/>
        <w:rPr>
          <w:rFonts w:ascii="Arial" w:cs="Arial" w:eastAsia="Arial" w:hAnsi="Arial"/>
          <w:sz w:val="18"/>
          <w:szCs w:val="18"/>
          <w:color w:val="51555C"/>
        </w:rPr>
      </w:pPr>
    </w:p>
    <w:p>
      <w:pPr>
        <w:ind w:left="700" w:right="20" w:hanging="373"/>
        <w:spacing w:after="0" w:line="287" w:lineRule="auto"/>
        <w:tabs>
          <w:tab w:leader="none" w:pos="700" w:val="left"/>
        </w:tabs>
        <w:numPr>
          <w:ilvl w:val="0"/>
          <w:numId w:val="10"/>
        </w:numPr>
        <w:rPr>
          <w:rFonts w:ascii="Arial" w:cs="Arial" w:eastAsia="Arial" w:hAnsi="Arial"/>
          <w:sz w:val="18"/>
          <w:szCs w:val="18"/>
          <w:color w:val="51555C"/>
        </w:rPr>
      </w:pPr>
      <w:r>
        <w:rPr>
          <w:rFonts w:ascii="Arial" w:cs="Arial" w:eastAsia="Arial" w:hAnsi="Arial"/>
          <w:sz w:val="18"/>
          <w:szCs w:val="18"/>
          <w:color w:val="51555C"/>
        </w:rPr>
        <w:t>Increases in contractual recurring revenue of $4.3 million and $17.4 million, respectively, primarily related to the positive impact of our pricing initiatives and the demand of our cloud solutions</w:t>
      </w:r>
    </w:p>
    <w:p>
      <w:pPr>
        <w:spacing w:after="0" w:line="45" w:lineRule="exact"/>
        <w:rPr>
          <w:sz w:val="20"/>
          <w:szCs w:val="20"/>
          <w:color w:val="auto"/>
        </w:rPr>
      </w:pPr>
    </w:p>
    <w:p>
      <w:pPr>
        <w:ind w:left="700" w:right="20" w:hanging="351"/>
        <w:spacing w:after="0" w:line="287" w:lineRule="auto"/>
        <w:tabs>
          <w:tab w:leader="none" w:pos="70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Decrease in one-time consulting revenue of $2.1 million, for the nine months ended September 30, 2026, primarily due to fewer sales of implementation and customization services</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Income from operations increased by $ 5.4 million and $41.8 million, during the three and nine months ended September 30, 2026, respectively, when compared to the same periods in 2025, driven largely by the following:</w:t>
      </w:r>
    </w:p>
    <w:p>
      <w:pPr>
        <w:spacing w:after="0" w:line="207" w:lineRule="exact"/>
        <w:rPr>
          <w:sz w:val="20"/>
          <w:szCs w:val="20"/>
          <w:color w:val="auto"/>
        </w:rPr>
      </w:pPr>
    </w:p>
    <w:p>
      <w:pPr>
        <w:ind w:left="700" w:hanging="373"/>
        <w:spacing w:after="0"/>
        <w:tabs>
          <w:tab w:leader="none" w:pos="700" w:val="left"/>
        </w:tabs>
        <w:numPr>
          <w:ilvl w:val="1"/>
          <w:numId w:val="12"/>
        </w:numPr>
        <w:rPr>
          <w:rFonts w:ascii="Arial" w:cs="Arial" w:eastAsia="Arial" w:hAnsi="Arial"/>
          <w:sz w:val="18"/>
          <w:szCs w:val="18"/>
          <w:color w:val="51555C"/>
        </w:rPr>
      </w:pPr>
      <w:r>
        <w:rPr>
          <w:rFonts w:ascii="Arial" w:cs="Arial" w:eastAsia="Arial" w:hAnsi="Arial"/>
          <w:sz w:val="18"/>
          <w:szCs w:val="18"/>
          <w:color w:val="51555C"/>
        </w:rPr>
        <w:t>Increases in total revenue, as described above</w:t>
      </w:r>
    </w:p>
    <w:p>
      <w:pPr>
        <w:spacing w:after="0" w:line="117" w:lineRule="exact"/>
        <w:rPr>
          <w:rFonts w:ascii="Arial" w:cs="Arial" w:eastAsia="Arial" w:hAnsi="Arial"/>
          <w:sz w:val="18"/>
          <w:szCs w:val="18"/>
          <w:color w:val="51555C"/>
        </w:rPr>
      </w:pPr>
    </w:p>
    <w:p>
      <w:pPr>
        <w:jc w:val="both"/>
        <w:ind w:left="700" w:right="20" w:hanging="373"/>
        <w:spacing w:after="0" w:line="268" w:lineRule="auto"/>
        <w:tabs>
          <w:tab w:leader="none" w:pos="700" w:val="left"/>
        </w:tabs>
        <w:numPr>
          <w:ilvl w:val="1"/>
          <w:numId w:val="12"/>
        </w:numPr>
        <w:rPr>
          <w:rFonts w:ascii="Arial" w:cs="Arial" w:eastAsia="Arial" w:hAnsi="Arial"/>
          <w:sz w:val="18"/>
          <w:szCs w:val="18"/>
          <w:color w:val="51555C"/>
        </w:rPr>
      </w:pPr>
      <w:r>
        <w:rPr>
          <w:rFonts w:ascii="Arial" w:cs="Arial" w:eastAsia="Arial" w:hAnsi="Arial"/>
          <w:sz w:val="18"/>
          <w:szCs w:val="18"/>
          <w:color w:val="51555C"/>
        </w:rPr>
        <w:t>Decrease in acquisition and disposition-related costs within general and administrative expenses of $24.5 million, during the nine months ended September 30, 2026, primarily related to our release from our lease for office space in Washington, DC, which occurred during February 2025 and did not reoccur in 2026</w:t>
      </w:r>
    </w:p>
    <w:p>
      <w:pPr>
        <w:spacing w:after="0" w:line="62" w:lineRule="exact"/>
        <w:rPr>
          <w:rFonts w:ascii="Arial" w:cs="Arial" w:eastAsia="Arial" w:hAnsi="Arial"/>
          <w:sz w:val="18"/>
          <w:szCs w:val="18"/>
          <w:color w:val="51555C"/>
        </w:rPr>
      </w:pPr>
    </w:p>
    <w:p>
      <w:pPr>
        <w:jc w:val="both"/>
        <w:ind w:left="700" w:right="20" w:hanging="373"/>
        <w:spacing w:after="0" w:line="268" w:lineRule="auto"/>
        <w:tabs>
          <w:tab w:leader="none" w:pos="700" w:val="left"/>
        </w:tabs>
        <w:numPr>
          <w:ilvl w:val="1"/>
          <w:numId w:val="12"/>
        </w:numPr>
        <w:rPr>
          <w:rFonts w:ascii="Arial" w:cs="Arial" w:eastAsia="Arial" w:hAnsi="Arial"/>
          <w:sz w:val="18"/>
          <w:szCs w:val="18"/>
          <w:color w:val="51555C"/>
        </w:rPr>
      </w:pPr>
      <w:r>
        <w:rPr>
          <w:rFonts w:ascii="Arial" w:cs="Arial" w:eastAsia="Arial" w:hAnsi="Arial"/>
          <w:sz w:val="18"/>
          <w:szCs w:val="18"/>
          <w:color w:val="51555C"/>
        </w:rPr>
        <w:t>Decreases in third-party contractor costs of $8.2 million and $16.2 million, respectively, primarily due to transition of work to employees in our Global Capability Center ("GCC") in Hyderabad, India, decreased use of outside contractors and completion of prior year investments.</w:t>
      </w:r>
    </w:p>
    <w:p>
      <w:pPr>
        <w:spacing w:after="0" w:line="62" w:lineRule="exact"/>
        <w:rPr>
          <w:rFonts w:ascii="Arial" w:cs="Arial" w:eastAsia="Arial" w:hAnsi="Arial"/>
          <w:sz w:val="18"/>
          <w:szCs w:val="18"/>
          <w:color w:val="51555C"/>
        </w:rPr>
      </w:pPr>
    </w:p>
    <w:p>
      <w:pPr>
        <w:ind w:left="700" w:right="40" w:hanging="445"/>
        <w:spacing w:after="0" w:line="263" w:lineRule="auto"/>
        <w:tabs>
          <w:tab w:leader="none" w:pos="70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Decrease in compensation costs other than stock-based compensation of $2.4 million, during the three months ended September 30, 2026, primarily due to transition of work to employees in our GCC in Hyderabad, India</w:t>
      </w:r>
    </w:p>
    <w:p>
      <w:pPr>
        <w:spacing w:after="0" w:line="32" w:lineRule="exact"/>
        <w:rPr>
          <w:rFonts w:ascii="Arial" w:cs="Arial" w:eastAsia="Arial" w:hAnsi="Arial"/>
          <w:sz w:val="18"/>
          <w:szCs w:val="18"/>
          <w:color w:val="51555C"/>
        </w:rPr>
      </w:pPr>
    </w:p>
    <w:p>
      <w:pPr>
        <w:jc w:val="both"/>
        <w:ind w:left="700" w:right="20" w:hanging="373"/>
        <w:spacing w:after="0" w:line="194" w:lineRule="auto"/>
        <w:tabs>
          <w:tab w:leader="none" w:pos="700" w:val="left"/>
        </w:tabs>
        <w:numPr>
          <w:ilvl w:val="1"/>
          <w:numId w:val="12"/>
        </w:numPr>
        <w:rPr>
          <w:rFonts w:ascii="Arial" w:cs="Arial" w:eastAsia="Arial" w:hAnsi="Arial"/>
          <w:sz w:val="36"/>
          <w:szCs w:val="36"/>
          <w:color w:val="51555C"/>
          <w:vertAlign w:val="subscript"/>
        </w:rPr>
      </w:pPr>
      <w:r>
        <w:rPr>
          <w:rFonts w:ascii="Arial" w:cs="Arial" w:eastAsia="Arial" w:hAnsi="Arial"/>
          <w:sz w:val="18"/>
          <w:szCs w:val="18"/>
          <w:color w:val="51555C"/>
        </w:rPr>
        <w:t>Decrease in stock-based compensation expense of $2.4 million, during the nine months ended September 30, 2026, primarily due to estimated overall Company performance against 2026 goals at target levels compared to prior-year expectations above target, partially offset by certain executive retirements in the first quarter.</w:t>
      </w:r>
    </w:p>
    <w:p>
      <w:pPr>
        <w:spacing w:after="0" w:line="86" w:lineRule="exact"/>
        <w:rPr>
          <w:rFonts w:ascii="Arial" w:cs="Arial" w:eastAsia="Arial" w:hAnsi="Arial"/>
          <w:sz w:val="36"/>
          <w:szCs w:val="36"/>
          <w:color w:val="51555C"/>
          <w:vertAlign w:val="subscript"/>
        </w:rPr>
      </w:pPr>
    </w:p>
    <w:p>
      <w:pPr>
        <w:jc w:val="both"/>
        <w:ind w:left="700" w:right="20" w:hanging="373"/>
        <w:spacing w:after="0" w:line="259" w:lineRule="auto"/>
        <w:tabs>
          <w:tab w:leader="none" w:pos="700" w:val="left"/>
        </w:tabs>
        <w:numPr>
          <w:ilvl w:val="1"/>
          <w:numId w:val="12"/>
        </w:numPr>
        <w:rPr>
          <w:rFonts w:ascii="Arial" w:cs="Arial" w:eastAsia="Arial" w:hAnsi="Arial"/>
          <w:sz w:val="18"/>
          <w:szCs w:val="18"/>
          <w:color w:val="51555C"/>
        </w:rPr>
      </w:pPr>
      <w:r>
        <w:rPr>
          <w:rFonts w:ascii="Arial" w:cs="Arial" w:eastAsia="Arial" w:hAnsi="Arial"/>
          <w:sz w:val="18"/>
          <w:szCs w:val="18"/>
          <w:color w:val="51555C"/>
        </w:rPr>
        <w:t>Decrease in Security Incident-related expenses of $2.0 million, during the nine months ended September 30, 2026. For more information, see Note 11 to our audited consolidated financial statements contained in our Annual Report on Form 10-K filed with the SEC on February 18, 2026.</w:t>
      </w:r>
    </w:p>
    <w:p>
      <w:pPr>
        <w:ind w:left="700" w:hanging="351"/>
        <w:spacing w:after="0" w:line="182" w:lineRule="auto"/>
        <w:tabs>
          <w:tab w:leader="none" w:pos="700" w:val="left"/>
        </w:tabs>
        <w:numPr>
          <w:ilvl w:val="0"/>
          <w:numId w:val="13"/>
        </w:numPr>
        <w:rPr>
          <w:rFonts w:ascii="Arial" w:cs="Arial" w:eastAsia="Arial" w:hAnsi="Arial"/>
          <w:sz w:val="31"/>
          <w:szCs w:val="31"/>
          <w:color w:val="51555C"/>
          <w:vertAlign w:val="subscript"/>
        </w:rPr>
      </w:pPr>
      <w:r>
        <w:rPr>
          <w:rFonts w:ascii="Arial" w:cs="Arial" w:eastAsia="Arial" w:hAnsi="Arial"/>
          <w:sz w:val="16"/>
          <w:szCs w:val="16"/>
          <w:color w:val="51555C"/>
        </w:rPr>
        <w:t>Increases in global workforce transition costs of $5.4 million and $8.4 million, respectively, primarily due to severance expense</w:t>
      </w:r>
    </w:p>
    <w:p>
      <w:pPr>
        <w:spacing w:after="0" w:line="139" w:lineRule="exact"/>
        <w:rPr>
          <w:rFonts w:ascii="Arial" w:cs="Arial" w:eastAsia="Arial" w:hAnsi="Arial"/>
          <w:sz w:val="31"/>
          <w:szCs w:val="31"/>
          <w:color w:val="51555C"/>
          <w:vertAlign w:val="subscript"/>
        </w:rPr>
      </w:pPr>
    </w:p>
    <w:p>
      <w:pPr>
        <w:ind w:left="700" w:right="20" w:hanging="351"/>
        <w:spacing w:after="0" w:line="287" w:lineRule="auto"/>
        <w:tabs>
          <w:tab w:leader="none" w:pos="70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Increases in corporate costs of $2.9 million and $4.6 million, respectively, primarily related to an increase in legal fees, tax consulting expense and bad debt expense</w:t>
      </w:r>
    </w:p>
    <w:p>
      <w:pPr>
        <w:spacing w:after="0" w:line="44" w:lineRule="exact"/>
        <w:rPr>
          <w:rFonts w:ascii="Arial" w:cs="Arial" w:eastAsia="Arial" w:hAnsi="Arial"/>
          <w:sz w:val="18"/>
          <w:szCs w:val="18"/>
          <w:color w:val="51555C"/>
        </w:rPr>
      </w:pPr>
    </w:p>
    <w:p>
      <w:pPr>
        <w:ind w:left="700" w:right="20" w:hanging="351"/>
        <w:spacing w:after="0" w:line="287" w:lineRule="auto"/>
        <w:tabs>
          <w:tab w:leader="none" w:pos="70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Increase of $2.4 million, during the nine months ended September 30, 2026, due to the nonrecurrence of a first half 2025 contra expense for transition services associated with the EVERFI disposition in December 2024</w:t>
      </w:r>
    </w:p>
    <w:p>
      <w:pPr>
        <w:spacing w:after="0" w:line="44" w:lineRule="exact"/>
        <w:rPr>
          <w:rFonts w:ascii="Arial" w:cs="Arial" w:eastAsia="Arial" w:hAnsi="Arial"/>
          <w:sz w:val="18"/>
          <w:szCs w:val="18"/>
          <w:color w:val="51555C"/>
        </w:rPr>
      </w:pPr>
    </w:p>
    <w:p>
      <w:pPr>
        <w:ind w:left="700" w:right="20" w:hanging="351"/>
        <w:spacing w:after="0" w:line="287" w:lineRule="auto"/>
        <w:tabs>
          <w:tab w:leader="none" w:pos="70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Increases in third-party software costs of $2.1 million and $6.5 million, respectively, related to internal solutions we use to run our business</w:t>
      </w:r>
    </w:p>
    <w:p>
      <w:pPr>
        <w:spacing w:after="0" w:line="44" w:lineRule="exact"/>
        <w:rPr>
          <w:rFonts w:ascii="Arial" w:cs="Arial" w:eastAsia="Arial" w:hAnsi="Arial"/>
          <w:sz w:val="18"/>
          <w:szCs w:val="18"/>
          <w:color w:val="51555C"/>
        </w:rPr>
      </w:pPr>
    </w:p>
    <w:p>
      <w:pPr>
        <w:ind w:left="700" w:right="20" w:hanging="351"/>
        <w:spacing w:after="0" w:line="287" w:lineRule="auto"/>
        <w:tabs>
          <w:tab w:leader="none" w:pos="70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Increases in public cloud hosting costs of $1.5 million and $3.7 million, respectively, as we continue to migrate our cloud infrastructure to leading public cloud service providers and make investments in security</w:t>
      </w:r>
    </w:p>
    <w:p>
      <w:pPr>
        <w:spacing w:after="0" w:line="44" w:lineRule="exact"/>
        <w:rPr>
          <w:rFonts w:ascii="Arial" w:cs="Arial" w:eastAsia="Arial" w:hAnsi="Arial"/>
          <w:sz w:val="18"/>
          <w:szCs w:val="18"/>
          <w:color w:val="51555C"/>
        </w:rPr>
      </w:pPr>
    </w:p>
    <w:p>
      <w:pPr>
        <w:jc w:val="both"/>
        <w:ind w:left="700" w:right="20" w:hanging="351"/>
        <w:spacing w:after="0" w:line="262" w:lineRule="auto"/>
        <w:tabs>
          <w:tab w:leader="none" w:pos="70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Increases in advertising costs of $0.9 million and $3.7 million, respectively, primarily due to timing of bbcon®, our annual user conference, which was held in September 2026 compared to October 2025, increased digital marketing spend related to our consumer-facing fundraising platform, JustGiving, as well as increased marketing related to raising awareness for our new AI offerings</w:t>
      </w:r>
    </w:p>
    <w:p>
      <w:pPr>
        <w:spacing w:after="0" w:line="68" w:lineRule="exact"/>
        <w:rPr>
          <w:sz w:val="20"/>
          <w:szCs w:val="20"/>
          <w:color w:val="auto"/>
        </w:rPr>
      </w:pPr>
    </w:p>
    <w:p>
      <w:pPr>
        <w:ind w:left="10660"/>
        <w:spacing w:after="0"/>
        <w:rPr>
          <w:sz w:val="20"/>
          <w:szCs w:val="20"/>
          <w:color w:val="auto"/>
        </w:rPr>
      </w:pPr>
      <w:r>
        <w:rPr>
          <w:rFonts w:ascii="Arial" w:cs="Arial" w:eastAsia="Arial" w:hAnsi="Arial"/>
          <w:sz w:val="17"/>
          <w:szCs w:val="17"/>
          <w:color w:val="51555C"/>
        </w:rPr>
        <w:t>We are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51555C"/>
        </w:rPr>
        <w:t>continuing to make critical investments in the business in areas such as innovation, AI, cybersecurity, and our continued shift of cloud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infrastructure to leading public cloud service providers.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22</w:t>
      </w:r>
      <w:r>
        <w:rPr>
          <w:sz w:val="20"/>
          <w:szCs w:val="20"/>
          <w:color w:val="auto"/>
        </w:rPr>
        <w:tab/>
      </w:r>
      <w:r>
        <w:rPr>
          <w:sz w:val="1"/>
          <w:szCs w:val="1"/>
          <w:color w:val="auto"/>
        </w:rPr>
        <w:drawing>
          <wp:inline distT="0" distB="0" distL="0" distR="0">
            <wp:extent cx="65151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51555C"/>
        </w:rPr>
        <w:t>Gross dollar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7260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205105</wp:posOffset>
            </wp:positionV>
            <wp:extent cx="2280285" cy="131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51555C"/>
        </w:rPr>
        <w:t>Our recurring subscription contracts are typically for a term of three years at contract inception with standard three-year renewals thereafter. In recent periods, we have experienced an increase in longer</w:t>
      </w:r>
      <w:r>
        <w:rPr>
          <w:rFonts w:ascii="MS PGothic" w:cs="MS PGothic" w:eastAsia="MS PGothic" w:hAnsi="MS PGothic"/>
          <w:sz w:val="18"/>
          <w:szCs w:val="18"/>
          <w:color w:val="51555C"/>
        </w:rPr>
        <w:t>‑</w:t>
      </w:r>
      <w:r>
        <w:rPr>
          <w:rFonts w:ascii="Arial" w:cs="Arial" w:eastAsia="Arial" w:hAnsi="Arial"/>
          <w:sz w:val="18"/>
          <w:szCs w:val="18"/>
          <w:color w:val="51555C"/>
        </w:rPr>
        <w:t>term customer contracts. We now have approximately 90% of our contractual recurring revenue on 3-year or longer contracts and approximately 25% of our contractual recurring revenue on 4-year or longer contracts. A key factor to our overall success is the renewal and expansion of our existing subscription agreements with our customers.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September 30, 2026, our gross dollar retention was approximately 90%. This gross dollar retention rate was lower than our rate for the twelve months ended December 31, 2025 primarily due to the larger 2026 renewal cohort as discussed below.</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Renewal performance can vary from year to year due to the size and composition of renewal cohorts. As previously disclosed, the contractual annual recurring revenue dollars up for renewal associated with the 2026 renewal cohort are approximately 40% higher than those up for renewal in 2025, reflecting the normal progression of our multi-year contract renewal cycle and the timing of customer renewals. As a result, we expect some temporary pressure on our gross dollar retention as a greater amount of recurring revenue contracts come up for renewal during 2026. As we move beyond this larger renewal cohort, we expect the contractual recurring revenue up for renewal in 2027 to be nearly 25% lower than in 2026. We currently expect our gross dollar retention to improve as we move past the larger 2026 renewal cohort and ultimately return to levels more consistent with our recent historical performance by the end of 2027. Finally, we are continually investing in innovation, which we believe will support gross dollar retention over the long term.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Balance sheet and cash flow</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At September 30, 2026, our cash and cash equivalents were $35.7 million. Under the 2024 Credit Facilities, the carrying amount of our debt was $1.0 billion and our net leverage ratio was 2.29 to 1.00.</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During the nine months ended September 30, 2026, we generated $284.2 million in cash from operations, had a net decrease in borrowings of $77.1 million, returned $128.4 million to stockholders by way of share repurchases, and had aggregate cash outlays of $46.0 million for purchases of property and equipment and capitalized software development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On July 4, 2025, the United States enacted the OBBBA, which introduced significant changes to U.S. tax law. See Note 9 to our unaudited, condensed consolidated financial statements in this report for more information. OBBBA's restoration of 100% bonus depreciation and immediate expensing of domestic research and experimental expenditures, together with our utilization of net operating loss carryforwards, meaningfully reduced U.S. cash taxes in 2025 and 2026. U.S. state OBBBA conformity considerations (which continue to evolve as the states address the 2025 Federal tax legislation) is expected to, in part, offset these cash tax reductions in 2026 and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219710</wp:posOffset>
            </wp:positionV>
            <wp:extent cx="65976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23</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Comparison of the three and nine months ended September 30, 2026 and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Revenue and Cost of Revenue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51555C"/>
                <w:w w:val="99"/>
              </w:rPr>
              <w:t>Gross profit ($M)</w:t>
            </w:r>
          </w:p>
        </w:tc>
      </w:tr>
      <w:tr>
        <w:trPr>
          <w:trHeight w:val="270"/>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51555C"/>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51555C"/>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51555C"/>
                <w:w w:val="99"/>
              </w:rPr>
              <w:t>and gross margin (%)</w:t>
            </w:r>
          </w:p>
        </w:tc>
      </w:tr>
      <w:tr>
        <w:trPr>
          <w:trHeight w:val="23"/>
        </w:trPr>
        <w:tc>
          <w:tcPr>
            <w:tcW w:w="2780" w:type="dxa"/>
            <w:vAlign w:val="bottom"/>
            <w:tcBorders>
              <w:bottom w:val="single" w:sz="8" w:color="51555C"/>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51555C"/>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51555C"/>
            </w:tcBorders>
          </w:tcPr>
          <w:p>
            <w:pPr>
              <w:spacing w:after="0"/>
              <w:rPr>
                <w:sz w:val="2"/>
                <w:szCs w:val="2"/>
                <w:color w:val="auto"/>
              </w:rPr>
            </w:pPr>
          </w:p>
        </w:tc>
      </w:tr>
      <w:tr>
        <w:trPr>
          <w:trHeight w:val="223"/>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51555C"/>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51555C"/>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12155" cy="3008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51555C"/>
        </w:rPr>
        <w:t>Our revenue includes three components: contractual recurring, transactional recurring and one-time services and other.</w:t>
      </w:r>
    </w:p>
    <w:p>
      <w:pPr>
        <w:spacing w:after="0" w:line="171" w:lineRule="exact"/>
        <w:rPr>
          <w:sz w:val="20"/>
          <w:szCs w:val="20"/>
          <w:color w:val="auto"/>
        </w:rPr>
      </w:pPr>
    </w:p>
    <w:p>
      <w:pPr>
        <w:jc w:val="both"/>
        <w:ind w:left="660" w:hanging="328"/>
        <w:spacing w:after="0" w:line="268" w:lineRule="auto"/>
        <w:tabs>
          <w:tab w:leader="none" w:pos="628" w:val="left"/>
        </w:tabs>
        <w:numPr>
          <w:ilvl w:val="0"/>
          <w:numId w:val="14"/>
        </w:numPr>
        <w:rPr>
          <w:rFonts w:ascii="Arial" w:cs="Arial" w:eastAsia="Arial" w:hAnsi="Arial"/>
          <w:sz w:val="18"/>
          <w:szCs w:val="18"/>
          <w:color w:val="51555C"/>
        </w:rPr>
      </w:pPr>
      <w:r>
        <w:rPr>
          <w:rFonts w:ascii="Arial" w:cs="Arial" w:eastAsia="Arial" w:hAnsi="Arial"/>
          <w:sz w:val="18"/>
          <w:szCs w:val="18"/>
          <w:color w:val="51555C"/>
        </w:rPr>
        <w:t>Contractual recurring revenue is primarily comprised of fees for the use of our subscription-based software solutions, which includes providing access to cloud solutions, online training programs and subscription-based analytic services. Contractual recurring revenue also includes fees from maintenance services for our on-premises solutions.</w:t>
      </w:r>
    </w:p>
    <w:p>
      <w:pPr>
        <w:spacing w:after="0" w:line="116" w:lineRule="exact"/>
        <w:rPr>
          <w:rFonts w:ascii="Arial" w:cs="Arial" w:eastAsia="Arial" w:hAnsi="Arial"/>
          <w:sz w:val="18"/>
          <w:szCs w:val="18"/>
          <w:color w:val="51555C"/>
        </w:rPr>
      </w:pPr>
    </w:p>
    <w:p>
      <w:pPr>
        <w:ind w:left="660" w:hanging="328"/>
        <w:spacing w:after="0" w:line="287" w:lineRule="auto"/>
        <w:tabs>
          <w:tab w:leader="none" w:pos="628" w:val="left"/>
        </w:tabs>
        <w:numPr>
          <w:ilvl w:val="0"/>
          <w:numId w:val="14"/>
        </w:numPr>
        <w:rPr>
          <w:rFonts w:ascii="Arial" w:cs="Arial" w:eastAsia="Arial" w:hAnsi="Arial"/>
          <w:sz w:val="18"/>
          <w:szCs w:val="18"/>
          <w:color w:val="51555C"/>
        </w:rPr>
      </w:pPr>
      <w:r>
        <w:rPr>
          <w:rFonts w:ascii="Arial" w:cs="Arial" w:eastAsia="Arial" w:hAnsi="Arial"/>
          <w:sz w:val="18"/>
          <w:szCs w:val="18"/>
          <w:color w:val="51555C"/>
        </w:rPr>
        <w:t>Transactional recurring revenue is comprised of transaction fees associated with the use of our solutions, including donation processing, tuition management, consumer giving and event-based usage.</w:t>
      </w:r>
    </w:p>
    <w:p>
      <w:pPr>
        <w:spacing w:after="0" w:line="98" w:lineRule="exact"/>
        <w:rPr>
          <w:rFonts w:ascii="Arial" w:cs="Arial" w:eastAsia="Arial" w:hAnsi="Arial"/>
          <w:sz w:val="18"/>
          <w:szCs w:val="18"/>
          <w:color w:val="51555C"/>
        </w:rPr>
      </w:pPr>
    </w:p>
    <w:p>
      <w:pPr>
        <w:ind w:left="660" w:hanging="328"/>
        <w:spacing w:after="0" w:line="287" w:lineRule="auto"/>
        <w:tabs>
          <w:tab w:leader="none" w:pos="628" w:val="left"/>
        </w:tabs>
        <w:numPr>
          <w:ilvl w:val="0"/>
          <w:numId w:val="14"/>
        </w:numPr>
        <w:rPr>
          <w:rFonts w:ascii="Arial" w:cs="Arial" w:eastAsia="Arial" w:hAnsi="Arial"/>
          <w:sz w:val="18"/>
          <w:szCs w:val="18"/>
          <w:color w:val="51555C"/>
        </w:rPr>
      </w:pPr>
      <w:r>
        <w:rPr>
          <w:rFonts w:ascii="Arial" w:cs="Arial" w:eastAsia="Arial" w:hAnsi="Arial"/>
          <w:sz w:val="18"/>
          <w:szCs w:val="18"/>
          <w:color w:val="51555C"/>
        </w:rPr>
        <w:t>One-time services and other revenue is comprised of fees for one-time consulting, analytic and onsite training services, and fees for retained and managed services contracts that we do not expect to have a term consistent with our cloud solution contracts.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(including cybersecurity)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Our customers continue to prefer cloud subscription offerings with integrated AI, analytics, training and payment services. We intend to continue focusing on innovation, quality and integration of our cloud solutions, which we believe will drive future revenue growth.</w:t>
      </w:r>
    </w:p>
    <w:p>
      <w:pPr>
        <w:spacing w:after="0" w:line="27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24</w:t>
      </w:r>
      <w:r>
        <w:rPr>
          <w:sz w:val="20"/>
          <w:szCs w:val="20"/>
          <w:color w:val="auto"/>
        </w:rPr>
        <w:tab/>
      </w:r>
      <w:r>
        <w:rPr>
          <w:sz w:val="1"/>
          <w:szCs w:val="1"/>
          <w:color w:val="auto"/>
        </w:rPr>
        <w:drawing>
          <wp:inline distT="0" distB="0" distL="0" distR="0">
            <wp:extent cx="65151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Revenue increased by $11.5 million, or 4.1%, and $ 31.3 million, or 3.8%, during the three and nine months ended September 30, 2026, respectively, when compared to the same periods in 2025. For a discussion of our changes in revenue, see "Revenue" above starting on page 22 in this report.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Cost of revenue increased by $1.2 million, or 1.1% during the three months ended September 30, 2026, when compared to the same period in 2025, driven primarily by the following:</w:t>
      </w:r>
    </w:p>
    <w:p>
      <w:pPr>
        <w:spacing w:after="0" w:line="99" w:lineRule="exact"/>
        <w:rPr>
          <w:sz w:val="20"/>
          <w:szCs w:val="20"/>
          <w:color w:val="auto"/>
        </w:rPr>
      </w:pPr>
    </w:p>
    <w:p>
      <w:pPr>
        <w:ind w:left="700" w:right="60" w:hanging="373"/>
        <w:spacing w:after="0" w:line="287" w:lineRule="auto"/>
        <w:tabs>
          <w:tab w:leader="none" w:pos="700" w:val="left"/>
        </w:tabs>
        <w:numPr>
          <w:ilvl w:val="0"/>
          <w:numId w:val="15"/>
        </w:numPr>
        <w:rPr>
          <w:rFonts w:ascii="Arial" w:cs="Arial" w:eastAsia="Arial" w:hAnsi="Arial"/>
          <w:sz w:val="18"/>
          <w:szCs w:val="18"/>
          <w:color w:val="51555C"/>
        </w:rPr>
      </w:pPr>
      <w:r>
        <w:rPr>
          <w:rFonts w:ascii="Arial" w:cs="Arial" w:eastAsia="Arial" w:hAnsi="Arial"/>
          <w:sz w:val="18"/>
          <w:szCs w:val="18"/>
          <w:color w:val="51555C"/>
        </w:rPr>
        <w:t>Increase in public cloud hosting costs of $1.4 million as we continue to migrate our cloud infrastructure to leading public cloud service providers and make investments in security</w:t>
      </w:r>
    </w:p>
    <w:p>
      <w:pPr>
        <w:spacing w:after="0" w:line="44" w:lineRule="exact"/>
        <w:rPr>
          <w:rFonts w:ascii="Arial" w:cs="Arial" w:eastAsia="Arial" w:hAnsi="Arial"/>
          <w:sz w:val="18"/>
          <w:szCs w:val="18"/>
          <w:color w:val="51555C"/>
        </w:rPr>
      </w:pPr>
    </w:p>
    <w:p>
      <w:pPr>
        <w:ind w:left="700" w:hanging="373"/>
        <w:spacing w:after="0"/>
        <w:tabs>
          <w:tab w:leader="none" w:pos="700" w:val="left"/>
        </w:tabs>
        <w:numPr>
          <w:ilvl w:val="0"/>
          <w:numId w:val="15"/>
        </w:numPr>
        <w:rPr>
          <w:rFonts w:ascii="Arial" w:cs="Arial" w:eastAsia="Arial" w:hAnsi="Arial"/>
          <w:sz w:val="18"/>
          <w:szCs w:val="18"/>
          <w:color w:val="51555C"/>
        </w:rPr>
      </w:pPr>
      <w:r>
        <w:rPr>
          <w:rFonts w:ascii="Arial" w:cs="Arial" w:eastAsia="Arial" w:hAnsi="Arial"/>
          <w:sz w:val="18"/>
          <w:szCs w:val="18"/>
          <w:color w:val="51555C"/>
        </w:rPr>
        <w:t>Increase in global workforce transition costs of $1.0 million primarily due to severance expense</w:t>
      </w:r>
    </w:p>
    <w:p>
      <w:pPr>
        <w:spacing w:after="0" w:line="117" w:lineRule="exact"/>
        <w:rPr>
          <w:sz w:val="20"/>
          <w:szCs w:val="20"/>
          <w:color w:val="auto"/>
        </w:rPr>
      </w:pPr>
    </w:p>
    <w:p>
      <w:pPr>
        <w:ind w:left="700" w:right="60" w:hanging="351"/>
        <w:spacing w:after="0" w:line="287" w:lineRule="auto"/>
        <w:tabs>
          <w:tab w:leader="none" w:pos="700" w:val="left"/>
        </w:tabs>
        <w:numPr>
          <w:ilvl w:val="0"/>
          <w:numId w:val="16"/>
        </w:numPr>
        <w:rPr>
          <w:rFonts w:ascii="Arial" w:cs="Arial" w:eastAsia="Arial" w:hAnsi="Arial"/>
          <w:sz w:val="18"/>
          <w:szCs w:val="18"/>
          <w:color w:val="51555C"/>
        </w:rPr>
      </w:pPr>
      <w:r>
        <w:rPr>
          <w:rFonts w:ascii="Arial" w:cs="Arial" w:eastAsia="Arial" w:hAnsi="Arial"/>
          <w:sz w:val="18"/>
          <w:szCs w:val="18"/>
          <w:color w:val="51555C"/>
        </w:rPr>
        <w:t>Decrease in compensation costs of $2.0 million primarily due to transition of work to employees in our GCC in Hyderabad, India, and a shift in resources from supporting cost of revenue to research and development</w:t>
      </w:r>
    </w:p>
    <w:p>
      <w:pPr>
        <w:spacing w:after="0" w:line="44" w:lineRule="exact"/>
        <w:rPr>
          <w:rFonts w:ascii="Arial" w:cs="Arial" w:eastAsia="Arial" w:hAnsi="Arial"/>
          <w:sz w:val="18"/>
          <w:szCs w:val="18"/>
          <w:color w:val="51555C"/>
        </w:rPr>
      </w:pPr>
    </w:p>
    <w:p>
      <w:pPr>
        <w:ind w:left="700" w:hanging="351"/>
        <w:spacing w:after="0"/>
        <w:tabs>
          <w:tab w:leader="none" w:pos="700" w:val="left"/>
        </w:tabs>
        <w:numPr>
          <w:ilvl w:val="0"/>
          <w:numId w:val="16"/>
        </w:numPr>
        <w:rPr>
          <w:rFonts w:ascii="Arial" w:cs="Arial" w:eastAsia="Arial" w:hAnsi="Arial"/>
          <w:sz w:val="18"/>
          <w:szCs w:val="18"/>
          <w:color w:val="51555C"/>
        </w:rPr>
      </w:pPr>
      <w:r>
        <w:rPr>
          <w:rFonts w:ascii="Arial" w:cs="Arial" w:eastAsia="Arial" w:hAnsi="Arial"/>
          <w:sz w:val="18"/>
          <w:szCs w:val="18"/>
          <w:color w:val="51555C"/>
        </w:rPr>
        <w:t>Decrease in amortization of intangible assets from business combinations of $1.4 million</w:t>
      </w:r>
    </w:p>
    <w:p>
      <w:pPr>
        <w:spacing w:after="0" w:line="117" w:lineRule="exact"/>
        <w:rPr>
          <w:rFonts w:ascii="Arial" w:cs="Arial" w:eastAsia="Arial" w:hAnsi="Arial"/>
          <w:sz w:val="18"/>
          <w:szCs w:val="18"/>
          <w:color w:val="51555C"/>
        </w:rPr>
      </w:pPr>
    </w:p>
    <w:p>
      <w:pPr>
        <w:ind w:left="700" w:right="60" w:hanging="351"/>
        <w:spacing w:after="0" w:line="287" w:lineRule="auto"/>
        <w:tabs>
          <w:tab w:leader="none" w:pos="700" w:val="left"/>
        </w:tabs>
        <w:numPr>
          <w:ilvl w:val="0"/>
          <w:numId w:val="16"/>
        </w:numPr>
        <w:rPr>
          <w:rFonts w:ascii="Arial" w:cs="Arial" w:eastAsia="Arial" w:hAnsi="Arial"/>
          <w:sz w:val="18"/>
          <w:szCs w:val="18"/>
          <w:color w:val="51555C"/>
        </w:rPr>
      </w:pPr>
      <w:r>
        <w:rPr>
          <w:rFonts w:ascii="Arial" w:cs="Arial" w:eastAsia="Arial" w:hAnsi="Arial"/>
          <w:sz w:val="18"/>
          <w:szCs w:val="18"/>
          <w:color w:val="51555C"/>
        </w:rPr>
        <w:t>Decrease in third-party contractor costs of $1.4 million primarily related to transition of work to employees in our GCC, decreased use of outside contractors and completion of prior year investments</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Gross margin increased by 120 basis points for the three months ended September 30, 2026, when compared to the same period in 2025, primarily due to the increase in revenue outpacing the increase in cost of revenue.</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Cost of revenue decreased by $0.2 million, or 0.1%, during the nine months ended September 30, 2026, when compared to the same period in 2025, driven primarily by the following:</w:t>
      </w:r>
    </w:p>
    <w:p>
      <w:pPr>
        <w:spacing w:after="0" w:line="99" w:lineRule="exact"/>
        <w:rPr>
          <w:sz w:val="20"/>
          <w:szCs w:val="20"/>
          <w:color w:val="auto"/>
        </w:rPr>
      </w:pPr>
    </w:p>
    <w:p>
      <w:pPr>
        <w:ind w:left="700" w:right="60" w:hanging="351"/>
        <w:spacing w:after="0" w:line="287" w:lineRule="auto"/>
        <w:tabs>
          <w:tab w:leader="none" w:pos="700" w:val="left"/>
        </w:tabs>
        <w:numPr>
          <w:ilvl w:val="0"/>
          <w:numId w:val="17"/>
        </w:numPr>
        <w:rPr>
          <w:rFonts w:ascii="Arial" w:cs="Arial" w:eastAsia="Arial" w:hAnsi="Arial"/>
          <w:sz w:val="18"/>
          <w:szCs w:val="18"/>
          <w:color w:val="51555C"/>
        </w:rPr>
      </w:pPr>
      <w:r>
        <w:rPr>
          <w:rFonts w:ascii="Arial" w:cs="Arial" w:eastAsia="Arial" w:hAnsi="Arial"/>
          <w:sz w:val="18"/>
          <w:szCs w:val="18"/>
          <w:color w:val="51555C"/>
        </w:rPr>
        <w:t>Decrease in compensation costs of $4.7 million primarily due to transition of work to employees in our GCC in Hyderabad, India, and a shift in resources from supporting cost of revenue to research and development</w:t>
      </w:r>
    </w:p>
    <w:p>
      <w:pPr>
        <w:spacing w:after="0" w:line="44" w:lineRule="exact"/>
        <w:rPr>
          <w:rFonts w:ascii="Arial" w:cs="Arial" w:eastAsia="Arial" w:hAnsi="Arial"/>
          <w:sz w:val="18"/>
          <w:szCs w:val="18"/>
          <w:color w:val="51555C"/>
        </w:rPr>
      </w:pPr>
    </w:p>
    <w:p>
      <w:pPr>
        <w:ind w:left="700" w:right="60" w:hanging="351"/>
        <w:spacing w:after="0" w:line="287" w:lineRule="auto"/>
        <w:tabs>
          <w:tab w:leader="none" w:pos="700" w:val="left"/>
        </w:tabs>
        <w:numPr>
          <w:ilvl w:val="0"/>
          <w:numId w:val="17"/>
        </w:numPr>
        <w:rPr>
          <w:rFonts w:ascii="Arial" w:cs="Arial" w:eastAsia="Arial" w:hAnsi="Arial"/>
          <w:sz w:val="18"/>
          <w:szCs w:val="18"/>
          <w:color w:val="51555C"/>
        </w:rPr>
      </w:pPr>
      <w:r>
        <w:rPr>
          <w:rFonts w:ascii="Arial" w:cs="Arial" w:eastAsia="Arial" w:hAnsi="Arial"/>
          <w:sz w:val="18"/>
          <w:szCs w:val="18"/>
          <w:color w:val="51555C"/>
        </w:rPr>
        <w:t>Decrease in third-party contractor costs of $4.5 million primarily related to transition of work to employees in our GCC, decreased use of outside contractors and completion of prior year investments</w:t>
      </w:r>
    </w:p>
    <w:p>
      <w:pPr>
        <w:spacing w:after="0" w:line="44" w:lineRule="exact"/>
        <w:rPr>
          <w:rFonts w:ascii="Arial" w:cs="Arial" w:eastAsia="Arial" w:hAnsi="Arial"/>
          <w:sz w:val="18"/>
          <w:szCs w:val="18"/>
          <w:color w:val="51555C"/>
        </w:rPr>
      </w:pPr>
    </w:p>
    <w:p>
      <w:pPr>
        <w:ind w:left="700" w:hanging="351"/>
        <w:spacing w:after="0"/>
        <w:tabs>
          <w:tab w:leader="none" w:pos="700" w:val="left"/>
        </w:tabs>
        <w:numPr>
          <w:ilvl w:val="0"/>
          <w:numId w:val="17"/>
        </w:numPr>
        <w:rPr>
          <w:rFonts w:ascii="Arial" w:cs="Arial" w:eastAsia="Arial" w:hAnsi="Arial"/>
          <w:sz w:val="18"/>
          <w:szCs w:val="18"/>
          <w:color w:val="51555C"/>
        </w:rPr>
      </w:pPr>
      <w:r>
        <w:rPr>
          <w:rFonts w:ascii="Arial" w:cs="Arial" w:eastAsia="Arial" w:hAnsi="Arial"/>
          <w:sz w:val="18"/>
          <w:szCs w:val="18"/>
          <w:color w:val="51555C"/>
        </w:rPr>
        <w:t>Decrease in amortization of intangible assets from business combinations of $3.8 million</w:t>
      </w:r>
    </w:p>
    <w:p>
      <w:pPr>
        <w:spacing w:after="0" w:line="117" w:lineRule="exact"/>
        <w:rPr>
          <w:sz w:val="20"/>
          <w:szCs w:val="20"/>
          <w:color w:val="auto"/>
        </w:rPr>
      </w:pPr>
    </w:p>
    <w:p>
      <w:pPr>
        <w:ind w:left="700" w:right="60" w:hanging="373"/>
        <w:spacing w:after="0" w:line="287" w:lineRule="auto"/>
        <w:tabs>
          <w:tab w:leader="none" w:pos="700" w:val="left"/>
        </w:tabs>
        <w:numPr>
          <w:ilvl w:val="0"/>
          <w:numId w:val="18"/>
        </w:numPr>
        <w:rPr>
          <w:rFonts w:ascii="Arial" w:cs="Arial" w:eastAsia="Arial" w:hAnsi="Arial"/>
          <w:sz w:val="18"/>
          <w:szCs w:val="18"/>
          <w:color w:val="51555C"/>
        </w:rPr>
      </w:pPr>
      <w:r>
        <w:rPr>
          <w:rFonts w:ascii="Arial" w:cs="Arial" w:eastAsia="Arial" w:hAnsi="Arial"/>
          <w:sz w:val="18"/>
          <w:szCs w:val="18"/>
          <w:color w:val="51555C"/>
        </w:rPr>
        <w:t>Increase in public cloud hosting costs of $3.5 million as we continue to migrate our cloud infrastructure to leading public cloud service providers and make investments in security</w:t>
      </w:r>
    </w:p>
    <w:p>
      <w:pPr>
        <w:spacing w:after="0" w:line="44" w:lineRule="exact"/>
        <w:rPr>
          <w:rFonts w:ascii="Arial" w:cs="Arial" w:eastAsia="Arial" w:hAnsi="Arial"/>
          <w:sz w:val="18"/>
          <w:szCs w:val="18"/>
          <w:color w:val="51555C"/>
        </w:rPr>
      </w:pPr>
    </w:p>
    <w:p>
      <w:pPr>
        <w:ind w:left="700" w:right="60" w:hanging="373"/>
        <w:spacing w:after="0" w:line="287" w:lineRule="auto"/>
        <w:tabs>
          <w:tab w:leader="none" w:pos="700" w:val="left"/>
        </w:tabs>
        <w:numPr>
          <w:ilvl w:val="0"/>
          <w:numId w:val="18"/>
        </w:numPr>
        <w:rPr>
          <w:rFonts w:ascii="Arial" w:cs="Arial" w:eastAsia="Arial" w:hAnsi="Arial"/>
          <w:sz w:val="18"/>
          <w:szCs w:val="18"/>
          <w:color w:val="51555C"/>
        </w:rPr>
      </w:pPr>
      <w:r>
        <w:rPr>
          <w:rFonts w:ascii="Arial" w:cs="Arial" w:eastAsia="Arial" w:hAnsi="Arial"/>
          <w:sz w:val="18"/>
          <w:szCs w:val="18"/>
          <w:color w:val="51555C"/>
        </w:rPr>
        <w:t>Increase in amortization of software development costs of $2.1 million due to our continued investments in the innovation and security of our solutions</w:t>
      </w:r>
    </w:p>
    <w:p>
      <w:pPr>
        <w:spacing w:after="0" w:line="44" w:lineRule="exact"/>
        <w:rPr>
          <w:rFonts w:ascii="Arial" w:cs="Arial" w:eastAsia="Arial" w:hAnsi="Arial"/>
          <w:sz w:val="18"/>
          <w:szCs w:val="18"/>
          <w:color w:val="51555C"/>
        </w:rPr>
      </w:pPr>
    </w:p>
    <w:p>
      <w:pPr>
        <w:ind w:left="700" w:right="60" w:hanging="373"/>
        <w:spacing w:after="0" w:line="287" w:lineRule="auto"/>
        <w:tabs>
          <w:tab w:leader="none" w:pos="700" w:val="left"/>
        </w:tabs>
        <w:numPr>
          <w:ilvl w:val="0"/>
          <w:numId w:val="18"/>
        </w:numPr>
        <w:rPr>
          <w:rFonts w:ascii="Arial" w:cs="Arial" w:eastAsia="Arial" w:hAnsi="Arial"/>
          <w:sz w:val="18"/>
          <w:szCs w:val="18"/>
          <w:color w:val="51555C"/>
        </w:rPr>
      </w:pPr>
      <w:r>
        <w:rPr>
          <w:rFonts w:ascii="Arial" w:cs="Arial" w:eastAsia="Arial" w:hAnsi="Arial"/>
          <w:sz w:val="18"/>
          <w:szCs w:val="18"/>
          <w:color w:val="51555C"/>
        </w:rPr>
        <w:t>Increase in transaction-based costs of $2.1 million related to the increase in the volume of transactions for which we process payments and, to a lesser extent, increases in vendor rates</w:t>
      </w:r>
    </w:p>
    <w:p>
      <w:pPr>
        <w:spacing w:after="0" w:line="44" w:lineRule="exact"/>
        <w:rPr>
          <w:rFonts w:ascii="Arial" w:cs="Arial" w:eastAsia="Arial" w:hAnsi="Arial"/>
          <w:sz w:val="18"/>
          <w:szCs w:val="18"/>
          <w:color w:val="51555C"/>
        </w:rPr>
      </w:pPr>
    </w:p>
    <w:p>
      <w:pPr>
        <w:ind w:left="700" w:hanging="373"/>
        <w:spacing w:after="0"/>
        <w:tabs>
          <w:tab w:leader="none" w:pos="700" w:val="left"/>
        </w:tabs>
        <w:numPr>
          <w:ilvl w:val="0"/>
          <w:numId w:val="18"/>
        </w:numPr>
        <w:rPr>
          <w:rFonts w:ascii="Arial" w:cs="Arial" w:eastAsia="Arial" w:hAnsi="Arial"/>
          <w:sz w:val="18"/>
          <w:szCs w:val="18"/>
          <w:color w:val="51555C"/>
        </w:rPr>
      </w:pPr>
      <w:r>
        <w:rPr>
          <w:rFonts w:ascii="Arial" w:cs="Arial" w:eastAsia="Arial" w:hAnsi="Arial"/>
          <w:sz w:val="18"/>
          <w:szCs w:val="18"/>
          <w:color w:val="51555C"/>
        </w:rPr>
        <w:t>Increase in global workforce transition costs of $1.3 million primarily due to severance expense</w:t>
      </w:r>
    </w:p>
    <w:p>
      <w:pPr>
        <w:spacing w:after="0" w:line="27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Gross margin increased by 150 basis points for the nine months ended September 30, 2026, when compared to the same period in 2025, due to the increase in revenue combined with the decrease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203200</wp:posOffset>
            </wp:positionV>
            <wp:extent cx="65976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25</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4200" w:type="dxa"/>
            <w:vAlign w:val="bottom"/>
          </w:tcPr>
          <w:p>
            <w:pPr>
              <w:jc w:val="center"/>
              <w:ind w:left="1875"/>
              <w:spacing w:after="0"/>
              <w:rPr>
                <w:sz w:val="20"/>
                <w:szCs w:val="20"/>
                <w:color w:val="auto"/>
              </w:rPr>
            </w:pPr>
            <w:r>
              <w:rPr>
                <w:rFonts w:ascii="Arial" w:cs="Arial" w:eastAsia="Arial" w:hAnsi="Arial"/>
                <w:sz w:val="18"/>
                <w:szCs w:val="18"/>
                <w:b w:val="1"/>
                <w:bCs w:val="1"/>
                <w:color w:val="51555C"/>
                <w:w w:val="99"/>
              </w:rPr>
              <w:t>Blackbaud, Inc.</w:t>
            </w:r>
          </w:p>
        </w:tc>
        <w:tc>
          <w:tcPr>
            <w:tcW w:w="2480" w:type="dxa"/>
            <w:vAlign w:val="bottom"/>
          </w:tcPr>
          <w:p>
            <w:pPr>
              <w:spacing w:after="0"/>
              <w:rPr>
                <w:sz w:val="18"/>
                <w:szCs w:val="18"/>
                <w:color w:val="auto"/>
              </w:rPr>
            </w:pPr>
          </w:p>
        </w:tc>
      </w:tr>
      <w:tr>
        <w:trPr>
          <w:trHeight w:val="247"/>
        </w:trPr>
        <w:tc>
          <w:tcPr>
            <w:tcW w:w="2540" w:type="dxa"/>
            <w:vAlign w:val="bottom"/>
          </w:tcPr>
          <w:p>
            <w:pPr>
              <w:spacing w:after="0"/>
              <w:rPr>
                <w:sz w:val="21"/>
                <w:szCs w:val="21"/>
                <w:color w:val="auto"/>
              </w:rPr>
            </w:pPr>
          </w:p>
        </w:tc>
        <w:tc>
          <w:tcPr>
            <w:tcW w:w="4200" w:type="dxa"/>
            <w:vAlign w:val="bottom"/>
          </w:tcPr>
          <w:p>
            <w:pPr>
              <w:jc w:val="center"/>
              <w:ind w:left="1875"/>
              <w:spacing w:after="0"/>
              <w:rPr>
                <w:sz w:val="20"/>
                <w:szCs w:val="20"/>
                <w:color w:val="auto"/>
              </w:rPr>
            </w:pPr>
            <w:r>
              <w:rPr>
                <w:rFonts w:ascii="Arial" w:cs="Arial" w:eastAsia="Arial" w:hAnsi="Arial"/>
                <w:sz w:val="18"/>
                <w:szCs w:val="18"/>
                <w:b w:val="1"/>
                <w:bCs w:val="1"/>
                <w:color w:val="51555C"/>
                <w:w w:val="99"/>
              </w:rPr>
              <w:t>(Unaudited)</w:t>
            </w:r>
          </w:p>
        </w:tc>
        <w:tc>
          <w:tcPr>
            <w:tcW w:w="2480" w:type="dxa"/>
            <w:vAlign w:val="bottom"/>
          </w:tcPr>
          <w:p>
            <w:pPr>
              <w:spacing w:after="0"/>
              <w:rPr>
                <w:sz w:val="21"/>
                <w:szCs w:val="21"/>
                <w:color w:val="auto"/>
              </w:rPr>
            </w:pPr>
          </w:p>
        </w:tc>
      </w:tr>
      <w:tr>
        <w:trPr>
          <w:trHeight w:val="931"/>
        </w:trPr>
        <w:tc>
          <w:tcPr>
            <w:tcW w:w="2540" w:type="dxa"/>
            <w:vAlign w:val="bottom"/>
          </w:tcPr>
          <w:p>
            <w:pPr>
              <w:spacing w:after="0"/>
              <w:rPr>
                <w:sz w:val="20"/>
                <w:szCs w:val="20"/>
                <w:color w:val="auto"/>
              </w:rPr>
            </w:pPr>
            <w:r>
              <w:rPr>
                <w:rFonts w:ascii="Arial" w:cs="Arial" w:eastAsia="Arial" w:hAnsi="Arial"/>
                <w:sz w:val="18"/>
                <w:szCs w:val="18"/>
                <w:b w:val="1"/>
                <w:bCs w:val="1"/>
                <w:color w:val="51555C"/>
              </w:rPr>
              <w:t>Operating Expenses</w:t>
            </w:r>
          </w:p>
        </w:tc>
        <w:tc>
          <w:tcPr>
            <w:tcW w:w="4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86"/>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51555C"/>
                <w:w w:val="99"/>
              </w:rPr>
              <w:t>Sales, marketing and</w:t>
            </w:r>
          </w:p>
        </w:tc>
        <w:tc>
          <w:tcPr>
            <w:tcW w:w="4200" w:type="dxa"/>
            <w:vAlign w:val="bottom"/>
          </w:tcPr>
          <w:p>
            <w:pPr>
              <w:jc w:val="center"/>
              <w:ind w:right="115"/>
              <w:spacing w:after="0"/>
              <w:rPr>
                <w:sz w:val="20"/>
                <w:szCs w:val="20"/>
                <w:color w:val="auto"/>
              </w:rPr>
            </w:pPr>
            <w:r>
              <w:rPr>
                <w:rFonts w:ascii="Arial" w:cs="Arial" w:eastAsia="Arial" w:hAnsi="Arial"/>
                <w:sz w:val="18"/>
                <w:szCs w:val="18"/>
                <w:i w:val="1"/>
                <w:iCs w:val="1"/>
                <w:color w:val="51555C"/>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51555C"/>
                <w:w w:val="98"/>
              </w:rPr>
              <w:t>General and</w:t>
            </w:r>
          </w:p>
        </w:tc>
      </w:tr>
      <w:tr>
        <w:trPr>
          <w:trHeight w:val="270"/>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51555C"/>
                <w:w w:val="99"/>
              </w:rPr>
              <w:t>customer success ($M)</w:t>
            </w:r>
          </w:p>
        </w:tc>
        <w:tc>
          <w:tcPr>
            <w:tcW w:w="4200" w:type="dxa"/>
            <w:vAlign w:val="bottom"/>
          </w:tcPr>
          <w:p>
            <w:pPr>
              <w:jc w:val="center"/>
              <w:ind w:right="115"/>
              <w:spacing w:after="0"/>
              <w:rPr>
                <w:sz w:val="20"/>
                <w:szCs w:val="20"/>
                <w:color w:val="auto"/>
              </w:rPr>
            </w:pPr>
            <w:r>
              <w:rPr>
                <w:rFonts w:ascii="Arial" w:cs="Arial" w:eastAsia="Arial" w:hAnsi="Arial"/>
                <w:sz w:val="18"/>
                <w:szCs w:val="18"/>
                <w:i w:val="1"/>
                <w:iCs w:val="1"/>
                <w:color w:val="51555C"/>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51555C"/>
              </w:rPr>
              <w:t>administrative ($M)</w:t>
            </w:r>
          </w:p>
        </w:tc>
      </w:tr>
      <w:tr>
        <w:trPr>
          <w:trHeight w:val="23"/>
        </w:trPr>
        <w:tc>
          <w:tcPr>
            <w:tcW w:w="2540" w:type="dxa"/>
            <w:vAlign w:val="bottom"/>
            <w:tcBorders>
              <w:bottom w:val="single" w:sz="8" w:color="51555C"/>
            </w:tcBorders>
          </w:tcPr>
          <w:p>
            <w:pPr>
              <w:spacing w:after="0"/>
              <w:rPr>
                <w:sz w:val="2"/>
                <w:szCs w:val="2"/>
                <w:color w:val="auto"/>
              </w:rPr>
            </w:pPr>
          </w:p>
        </w:tc>
        <w:tc>
          <w:tcPr>
            <w:tcW w:w="4200" w:type="dxa"/>
            <w:vAlign w:val="bottom"/>
            <w:tcBorders>
              <w:bottom w:val="single" w:sz="8" w:color="51555C"/>
            </w:tcBorders>
          </w:tcPr>
          <w:p>
            <w:pPr>
              <w:spacing w:after="0"/>
              <w:rPr>
                <w:sz w:val="2"/>
                <w:szCs w:val="2"/>
                <w:color w:val="auto"/>
              </w:rPr>
            </w:pPr>
          </w:p>
        </w:tc>
        <w:tc>
          <w:tcPr>
            <w:tcW w:w="2480" w:type="dxa"/>
            <w:vAlign w:val="bottom"/>
            <w:tcBorders>
              <w:bottom w:val="single" w:sz="8" w:color="51555C"/>
            </w:tcBorders>
          </w:tcPr>
          <w:p>
            <w:pPr>
              <w:spacing w:after="0"/>
              <w:rPr>
                <w:sz w:val="2"/>
                <w:szCs w:val="2"/>
                <w:color w:val="auto"/>
              </w:rPr>
            </w:pPr>
          </w:p>
        </w:tc>
      </w:tr>
      <w:tr>
        <w:trPr>
          <w:trHeight w:val="223"/>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51555C"/>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812155" cy="3000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Sales, marketing and customer success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Sales, marketing and customer success expense includes compensation costs, variable sales commissions, travel-related expenses, advertising and marketing materials, public relations costs, variable reseller commissions and allocated depreciation, facilities and IT support (including cybersecurity) costs.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intended to reduce our average customer acquisition cost per customer as well as the related payback period while increasing sales velocity.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Sales, marketing and customer success expense increased by $ 2.1 million, or 4.8%, and $7.0 million, or 5.3%, during the three and nine months ended September 30, 2026, respectively, when compared to the same periods in 2025. The increases in dollars and as a percentage of revenue were primarily driven by the following:</w:t>
      </w:r>
    </w:p>
    <w:p>
      <w:pPr>
        <w:ind w:left="720" w:hanging="373"/>
        <w:spacing w:after="0" w:line="188" w:lineRule="auto"/>
        <w:tabs>
          <w:tab w:leader="none" w:pos="720" w:val="left"/>
        </w:tabs>
        <w:numPr>
          <w:ilvl w:val="0"/>
          <w:numId w:val="19"/>
        </w:numPr>
        <w:rPr>
          <w:rFonts w:ascii="Arial" w:cs="Arial" w:eastAsia="Arial" w:hAnsi="Arial"/>
          <w:sz w:val="36"/>
          <w:szCs w:val="36"/>
          <w:color w:val="51555C"/>
          <w:vertAlign w:val="subscript"/>
        </w:rPr>
      </w:pPr>
      <w:r>
        <w:rPr>
          <w:rFonts w:ascii="Arial" w:cs="Arial" w:eastAsia="Arial" w:hAnsi="Arial"/>
          <w:sz w:val="18"/>
          <w:szCs w:val="18"/>
          <w:color w:val="51555C"/>
        </w:rPr>
        <w:t>Increases in global workforce transition costs of $1.2 million and $1.2 million, respectively, primarily due to severance expense</w:t>
      </w:r>
    </w:p>
    <w:p>
      <w:pPr>
        <w:spacing w:after="0" w:line="139" w:lineRule="exact"/>
        <w:rPr>
          <w:rFonts w:ascii="Arial" w:cs="Arial" w:eastAsia="Arial" w:hAnsi="Arial"/>
          <w:sz w:val="36"/>
          <w:szCs w:val="36"/>
          <w:color w:val="51555C"/>
          <w:vertAlign w:val="subscript"/>
        </w:rPr>
      </w:pPr>
    </w:p>
    <w:p>
      <w:pPr>
        <w:jc w:val="both"/>
        <w:ind w:left="720" w:right="40" w:hanging="373"/>
        <w:spacing w:after="0" w:line="257" w:lineRule="auto"/>
        <w:tabs>
          <w:tab w:leader="none" w:pos="720" w:val="left"/>
        </w:tabs>
        <w:numPr>
          <w:ilvl w:val="0"/>
          <w:numId w:val="19"/>
        </w:numPr>
        <w:rPr>
          <w:rFonts w:ascii="Arial" w:cs="Arial" w:eastAsia="Arial" w:hAnsi="Arial"/>
          <w:sz w:val="18"/>
          <w:szCs w:val="18"/>
          <w:color w:val="51555C"/>
        </w:rPr>
      </w:pPr>
      <w:r>
        <w:rPr>
          <w:rFonts w:ascii="Arial" w:cs="Arial" w:eastAsia="Arial" w:hAnsi="Arial"/>
          <w:sz w:val="18"/>
          <w:szCs w:val="18"/>
          <w:color w:val="51555C"/>
        </w:rPr>
        <w:t>Increases in advertising costs of $0.9 million and $3.7 million, respectively, primarily due to timing of bbcon®, our annual user conference, which was held in September 2026 compared to October 2025, increased digital marketing spend related to our consumer-facing fundraising platform, JustGiving, as well as increased marketing related to raising awareness for our new AI offerings</w:t>
      </w:r>
    </w:p>
    <w:p>
      <w:pPr>
        <w:ind w:left="720" w:hanging="350"/>
        <w:spacing w:after="0" w:line="181" w:lineRule="auto"/>
        <w:tabs>
          <w:tab w:leader="none" w:pos="720" w:val="left"/>
        </w:tabs>
        <w:numPr>
          <w:ilvl w:val="0"/>
          <w:numId w:val="20"/>
        </w:numPr>
        <w:rPr>
          <w:rFonts w:ascii="Arial" w:cs="Arial" w:eastAsia="Arial" w:hAnsi="Arial"/>
          <w:sz w:val="31"/>
          <w:szCs w:val="31"/>
          <w:color w:val="51555C"/>
          <w:vertAlign w:val="subscript"/>
        </w:rPr>
      </w:pPr>
      <w:r>
        <w:rPr>
          <w:rFonts w:ascii="Arial" w:cs="Arial" w:eastAsia="Arial" w:hAnsi="Arial"/>
          <w:sz w:val="16"/>
          <w:szCs w:val="16"/>
          <w:color w:val="51555C"/>
        </w:rPr>
        <w:t>Decreases in compensation costs of $1.2 million and $0.6 million, respectively, primarily related to stock-based compensation costs</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26</w:t>
      </w:r>
      <w:r>
        <w:rPr>
          <w:sz w:val="20"/>
          <w:szCs w:val="20"/>
          <w:color w:val="auto"/>
        </w:rPr>
        <w:tab/>
      </w:r>
      <w:r>
        <w:rPr>
          <w:sz w:val="1"/>
          <w:szCs w:val="1"/>
          <w:color w:val="auto"/>
        </w:rPr>
        <w:drawing>
          <wp:inline distT="0" distB="0" distL="0" distR="0">
            <wp:extent cx="65151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Research and development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(including cybersecurity) costs.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We continue to make investments intended to delight our customers with innovative and secure cloud solutions, including AI technology. Research and development expenses decreased by $1.0 million, or 2.7% during the three months ended September 30, 2026, respectively, when compared to the same period in 2025. The decreases in dollars and as a percentage of revenue were primarily driven by the following:</w:t>
      </w:r>
    </w:p>
    <w:p>
      <w:pPr>
        <w:spacing w:after="0" w:line="117" w:lineRule="exact"/>
        <w:rPr>
          <w:sz w:val="20"/>
          <w:szCs w:val="20"/>
          <w:color w:val="auto"/>
        </w:rPr>
      </w:pPr>
    </w:p>
    <w:p>
      <w:pPr>
        <w:ind w:left="720" w:right="40" w:hanging="350"/>
        <w:spacing w:after="0" w:line="263" w:lineRule="auto"/>
        <w:tabs>
          <w:tab w:leader="none" w:pos="720" w:val="left"/>
        </w:tabs>
        <w:numPr>
          <w:ilvl w:val="0"/>
          <w:numId w:val="21"/>
        </w:numPr>
        <w:rPr>
          <w:rFonts w:ascii="Arial" w:cs="Arial" w:eastAsia="Arial" w:hAnsi="Arial"/>
          <w:sz w:val="18"/>
          <w:szCs w:val="18"/>
          <w:color w:val="51555C"/>
        </w:rPr>
      </w:pPr>
      <w:r>
        <w:rPr>
          <w:rFonts w:ascii="Arial" w:cs="Arial" w:eastAsia="Arial" w:hAnsi="Arial"/>
          <w:sz w:val="18"/>
          <w:szCs w:val="18"/>
          <w:color w:val="51555C"/>
        </w:rPr>
        <w:t>Decrease in third-party contractor costs of $6.8 million primarily related to transition of work to employees in our GCC (as discussed below) and prior year investments ramping down</w:t>
      </w:r>
    </w:p>
    <w:p>
      <w:pPr>
        <w:ind w:left="720" w:hanging="373"/>
        <w:spacing w:after="0" w:line="182" w:lineRule="auto"/>
        <w:tabs>
          <w:tab w:leader="none" w:pos="720" w:val="left"/>
        </w:tabs>
        <w:numPr>
          <w:ilvl w:val="0"/>
          <w:numId w:val="22"/>
        </w:numPr>
        <w:rPr>
          <w:rFonts w:ascii="Arial" w:cs="Arial" w:eastAsia="Arial" w:hAnsi="Arial"/>
          <w:sz w:val="31"/>
          <w:szCs w:val="31"/>
          <w:color w:val="51555C"/>
          <w:vertAlign w:val="subscript"/>
        </w:rPr>
      </w:pPr>
      <w:r>
        <w:rPr>
          <w:rFonts w:ascii="Arial" w:cs="Arial" w:eastAsia="Arial" w:hAnsi="Arial"/>
          <w:sz w:val="16"/>
          <w:szCs w:val="16"/>
          <w:color w:val="51555C"/>
        </w:rPr>
        <w:t>Increase in global workforce transition costs of $2.1 million primarily due to severance expense</w:t>
      </w:r>
    </w:p>
    <w:p>
      <w:pPr>
        <w:spacing w:after="0" w:line="140" w:lineRule="exact"/>
        <w:rPr>
          <w:rFonts w:ascii="Arial" w:cs="Arial" w:eastAsia="Arial" w:hAnsi="Arial"/>
          <w:sz w:val="31"/>
          <w:szCs w:val="31"/>
          <w:color w:val="51555C"/>
          <w:vertAlign w:val="subscript"/>
        </w:rPr>
      </w:pPr>
    </w:p>
    <w:p>
      <w:pPr>
        <w:jc w:val="both"/>
        <w:ind w:left="720" w:right="40" w:hanging="373"/>
        <w:spacing w:after="0" w:line="268" w:lineRule="auto"/>
        <w:tabs>
          <w:tab w:leader="none" w:pos="720" w:val="left"/>
        </w:tabs>
        <w:numPr>
          <w:ilvl w:val="0"/>
          <w:numId w:val="22"/>
        </w:numPr>
        <w:rPr>
          <w:rFonts w:ascii="Arial" w:cs="Arial" w:eastAsia="Arial" w:hAnsi="Arial"/>
          <w:sz w:val="18"/>
          <w:szCs w:val="18"/>
          <w:color w:val="51555C"/>
        </w:rPr>
      </w:pPr>
      <w:r>
        <w:rPr>
          <w:rFonts w:ascii="Arial" w:cs="Arial" w:eastAsia="Arial" w:hAnsi="Arial"/>
          <w:sz w:val="18"/>
          <w:szCs w:val="18"/>
          <w:color w:val="51555C"/>
        </w:rPr>
        <w:t>Increase in compensation costs of $1.2 million primarily due to transition of work previously performed by third-party contractors to employees in our GCC in Hyderabad, India, and a shift in resources from supporting cost of revenue to research and development and prior year merit-based salary increases</w:t>
      </w: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Research and development expenses increased by $3.6 million, or 3.5%, during the nine months ended September 30, 2026, when compared to the same period in 2025. The increase in dollars was primarily driven by the following:</w:t>
      </w:r>
    </w:p>
    <w:p>
      <w:pPr>
        <w:spacing w:after="0" w:line="99" w:lineRule="exact"/>
        <w:rPr>
          <w:sz w:val="20"/>
          <w:szCs w:val="20"/>
          <w:color w:val="auto"/>
        </w:rPr>
      </w:pPr>
    </w:p>
    <w:p>
      <w:pPr>
        <w:jc w:val="both"/>
        <w:ind w:left="720" w:right="40" w:hanging="373"/>
        <w:spacing w:after="0" w:line="268" w:lineRule="auto"/>
        <w:tabs>
          <w:tab w:leader="none" w:pos="720" w:val="left"/>
        </w:tabs>
        <w:numPr>
          <w:ilvl w:val="0"/>
          <w:numId w:val="23"/>
        </w:numPr>
        <w:rPr>
          <w:rFonts w:ascii="Arial" w:cs="Arial" w:eastAsia="Arial" w:hAnsi="Arial"/>
          <w:sz w:val="18"/>
          <w:szCs w:val="18"/>
          <w:color w:val="51555C"/>
        </w:rPr>
      </w:pPr>
      <w:r>
        <w:rPr>
          <w:rFonts w:ascii="Arial" w:cs="Arial" w:eastAsia="Arial" w:hAnsi="Arial"/>
          <w:sz w:val="18"/>
          <w:szCs w:val="18"/>
          <w:color w:val="51555C"/>
        </w:rPr>
        <w:t>Increase in compensation costs of $7.1 million primarily due to transition of work previously performed by third-party contractors to employees in our GCC in Hyderabad, India, and a shift in resources from supporting cost of revenue to research and development and prior year merit-based salary increases</w:t>
      </w:r>
    </w:p>
    <w:p>
      <w:pPr>
        <w:spacing w:after="0" w:line="62" w:lineRule="exact"/>
        <w:rPr>
          <w:rFonts w:ascii="Arial" w:cs="Arial" w:eastAsia="Arial" w:hAnsi="Arial"/>
          <w:sz w:val="18"/>
          <w:szCs w:val="18"/>
          <w:color w:val="51555C"/>
        </w:rPr>
      </w:pPr>
    </w:p>
    <w:p>
      <w:pPr>
        <w:ind w:left="720" w:hanging="373"/>
        <w:spacing w:after="0"/>
        <w:tabs>
          <w:tab w:leader="none" w:pos="720" w:val="left"/>
        </w:tabs>
        <w:numPr>
          <w:ilvl w:val="0"/>
          <w:numId w:val="23"/>
        </w:numPr>
        <w:rPr>
          <w:rFonts w:ascii="Arial" w:cs="Arial" w:eastAsia="Arial" w:hAnsi="Arial"/>
          <w:sz w:val="18"/>
          <w:szCs w:val="18"/>
          <w:color w:val="51555C"/>
        </w:rPr>
      </w:pPr>
      <w:r>
        <w:rPr>
          <w:rFonts w:ascii="Arial" w:cs="Arial" w:eastAsia="Arial" w:hAnsi="Arial"/>
          <w:sz w:val="18"/>
          <w:szCs w:val="18"/>
          <w:color w:val="51555C"/>
        </w:rPr>
        <w:t>Increase in third-party software costs of $2.0 million primarily related to tools we use to develop our solutions</w:t>
      </w:r>
    </w:p>
    <w:p>
      <w:pPr>
        <w:spacing w:after="0" w:line="117" w:lineRule="exact"/>
        <w:rPr>
          <w:rFonts w:ascii="Arial" w:cs="Arial" w:eastAsia="Arial" w:hAnsi="Arial"/>
          <w:sz w:val="18"/>
          <w:szCs w:val="18"/>
          <w:color w:val="51555C"/>
        </w:rPr>
      </w:pPr>
    </w:p>
    <w:p>
      <w:pPr>
        <w:ind w:left="720" w:hanging="373"/>
        <w:spacing w:after="0"/>
        <w:tabs>
          <w:tab w:leader="none" w:pos="720" w:val="left"/>
        </w:tabs>
        <w:numPr>
          <w:ilvl w:val="0"/>
          <w:numId w:val="23"/>
        </w:numPr>
        <w:rPr>
          <w:rFonts w:ascii="Arial" w:cs="Arial" w:eastAsia="Arial" w:hAnsi="Arial"/>
          <w:sz w:val="18"/>
          <w:szCs w:val="18"/>
          <w:color w:val="51555C"/>
        </w:rPr>
      </w:pPr>
      <w:r>
        <w:rPr>
          <w:rFonts w:ascii="Arial" w:cs="Arial" w:eastAsia="Arial" w:hAnsi="Arial"/>
          <w:sz w:val="18"/>
          <w:szCs w:val="18"/>
          <w:color w:val="51555C"/>
        </w:rPr>
        <w:t>Decrease in software development costs that were capitalized of $2.0 million</w:t>
      </w:r>
    </w:p>
    <w:p>
      <w:pPr>
        <w:spacing w:after="0" w:line="31" w:lineRule="exact"/>
        <w:rPr>
          <w:rFonts w:ascii="Arial" w:cs="Arial" w:eastAsia="Arial" w:hAnsi="Arial"/>
          <w:sz w:val="18"/>
          <w:szCs w:val="18"/>
          <w:color w:val="51555C"/>
        </w:rPr>
      </w:pPr>
    </w:p>
    <w:p>
      <w:pPr>
        <w:ind w:left="720" w:hanging="373"/>
        <w:spacing w:after="0" w:line="181" w:lineRule="auto"/>
        <w:tabs>
          <w:tab w:leader="none" w:pos="720" w:val="left"/>
        </w:tabs>
        <w:numPr>
          <w:ilvl w:val="0"/>
          <w:numId w:val="23"/>
        </w:numPr>
        <w:rPr>
          <w:rFonts w:ascii="Arial" w:cs="Arial" w:eastAsia="Arial" w:hAnsi="Arial"/>
          <w:sz w:val="31"/>
          <w:szCs w:val="31"/>
          <w:color w:val="51555C"/>
          <w:vertAlign w:val="subscript"/>
        </w:rPr>
      </w:pPr>
      <w:r>
        <w:rPr>
          <w:rFonts w:ascii="Arial" w:cs="Arial" w:eastAsia="Arial" w:hAnsi="Arial"/>
          <w:sz w:val="16"/>
          <w:szCs w:val="16"/>
          <w:color w:val="51555C"/>
        </w:rPr>
        <w:t>Increase in global workforce transition costs of $1.5 million primarily due to severance expense</w:t>
      </w:r>
    </w:p>
    <w:p>
      <w:pPr>
        <w:spacing w:after="0" w:line="140" w:lineRule="exact"/>
        <w:rPr>
          <w:sz w:val="20"/>
          <w:szCs w:val="20"/>
          <w:color w:val="auto"/>
        </w:rPr>
      </w:pPr>
    </w:p>
    <w:p>
      <w:pPr>
        <w:ind w:left="720" w:right="40" w:hanging="350"/>
        <w:spacing w:after="0" w:line="287" w:lineRule="auto"/>
        <w:tabs>
          <w:tab w:leader="none" w:pos="720" w:val="left"/>
        </w:tabs>
        <w:numPr>
          <w:ilvl w:val="0"/>
          <w:numId w:val="24"/>
        </w:numPr>
        <w:rPr>
          <w:rFonts w:ascii="Arial" w:cs="Arial" w:eastAsia="Arial" w:hAnsi="Arial"/>
          <w:sz w:val="18"/>
          <w:szCs w:val="18"/>
          <w:color w:val="51555C"/>
        </w:rPr>
      </w:pPr>
      <w:r>
        <w:rPr>
          <w:rFonts w:ascii="Arial" w:cs="Arial" w:eastAsia="Arial" w:hAnsi="Arial"/>
          <w:sz w:val="18"/>
          <w:szCs w:val="18"/>
          <w:color w:val="51555C"/>
        </w:rPr>
        <w:t>Decrease in third-party contractor costs of $12.3 million primarily related to transition of work to employees in our GCC (as discussed above) and prior year investments ramping down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Not included in research and development expense for the three months ended September 30, 2026 and 2025 were $11.8 million and $12.1 million, respectively, and for the nine months ended September 30, 2026 and 2025 were $37.0 million and $38.9 million, respectively, of qualifying costs associated with software development activities that were capitalized, such as those for our cloud solutions. Qualifying capitalized development costs associated with our cloud solutions are subsequently amortized to cost of revenue over the related assets' estimated useful life, which generally range from two to seven years. 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General and administrative</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(including cybersecurity) costs, acquisition-related expenses and other administrative expenses.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General and administrative expense increased by $3.8 million, or 12.2%, during the three months ended September 30, 2026, when compared to the same period in 2025. The increases in dollars and as a percentage of revenue were primarily driven by the following:</w:t>
      </w:r>
    </w:p>
    <w:p>
      <w:pPr>
        <w:spacing w:after="0" w:line="99" w:lineRule="exact"/>
        <w:rPr>
          <w:sz w:val="20"/>
          <w:szCs w:val="20"/>
          <w:color w:val="auto"/>
        </w:rPr>
      </w:pPr>
    </w:p>
    <w:p>
      <w:pPr>
        <w:ind w:left="700" w:right="20" w:hanging="373"/>
        <w:spacing w:after="0" w:line="287" w:lineRule="auto"/>
        <w:tabs>
          <w:tab w:leader="none" w:pos="700" w:val="left"/>
        </w:tabs>
        <w:numPr>
          <w:ilvl w:val="0"/>
          <w:numId w:val="25"/>
        </w:numPr>
        <w:rPr>
          <w:rFonts w:ascii="Arial" w:cs="Arial" w:eastAsia="Arial" w:hAnsi="Arial"/>
          <w:sz w:val="18"/>
          <w:szCs w:val="18"/>
          <w:color w:val="51555C"/>
        </w:rPr>
      </w:pPr>
      <w:r>
        <w:rPr>
          <w:rFonts w:ascii="Arial" w:cs="Arial" w:eastAsia="Arial" w:hAnsi="Arial"/>
          <w:sz w:val="18"/>
          <w:szCs w:val="18"/>
          <w:color w:val="51555C"/>
        </w:rPr>
        <w:t>Increase in corporate costs of $2.8 million primarily related to an increase in legal fees, tax consulting expense and bad debt expense</w:t>
      </w:r>
    </w:p>
    <w:p>
      <w:pPr>
        <w:spacing w:after="0" w:line="44" w:lineRule="exact"/>
        <w:rPr>
          <w:rFonts w:ascii="Arial" w:cs="Arial" w:eastAsia="Arial" w:hAnsi="Arial"/>
          <w:sz w:val="18"/>
          <w:szCs w:val="18"/>
          <w:color w:val="51555C"/>
        </w:rPr>
      </w:pPr>
    </w:p>
    <w:p>
      <w:pPr>
        <w:ind w:left="700" w:hanging="373"/>
        <w:spacing w:after="0"/>
        <w:tabs>
          <w:tab w:leader="none" w:pos="700" w:val="left"/>
        </w:tabs>
        <w:numPr>
          <w:ilvl w:val="0"/>
          <w:numId w:val="25"/>
        </w:numPr>
        <w:rPr>
          <w:rFonts w:ascii="Arial" w:cs="Arial" w:eastAsia="Arial" w:hAnsi="Arial"/>
          <w:sz w:val="18"/>
          <w:szCs w:val="18"/>
          <w:color w:val="51555C"/>
        </w:rPr>
      </w:pPr>
      <w:r>
        <w:rPr>
          <w:rFonts w:ascii="Arial" w:cs="Arial" w:eastAsia="Arial" w:hAnsi="Arial"/>
          <w:sz w:val="18"/>
          <w:szCs w:val="18"/>
          <w:color w:val="51555C"/>
        </w:rPr>
        <w:t>Increase in global workforce transition costs of $1.3 million primarily due to severance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317500</wp:posOffset>
            </wp:positionV>
            <wp:extent cx="65976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27</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General and administrative expense decreased by $21.0 million, or 17.4%, during the nine months ended September 30, 2026, when compared to the same period in 2025. The decreases in dollars and as a percentage of revenue were primarily driven by the following:</w:t>
      </w:r>
    </w:p>
    <w:p>
      <w:pPr>
        <w:spacing w:after="0" w:line="99" w:lineRule="exact"/>
        <w:rPr>
          <w:sz w:val="20"/>
          <w:szCs w:val="20"/>
          <w:color w:val="auto"/>
        </w:rPr>
      </w:pPr>
    </w:p>
    <w:p>
      <w:pPr>
        <w:ind w:left="700" w:right="20" w:hanging="351"/>
        <w:spacing w:after="0" w:line="287" w:lineRule="auto"/>
        <w:tabs>
          <w:tab w:leader="none" w:pos="700" w:val="left"/>
        </w:tabs>
        <w:numPr>
          <w:ilvl w:val="0"/>
          <w:numId w:val="26"/>
        </w:numPr>
        <w:rPr>
          <w:rFonts w:ascii="Arial" w:cs="Arial" w:eastAsia="Arial" w:hAnsi="Arial"/>
          <w:sz w:val="18"/>
          <w:szCs w:val="18"/>
          <w:color w:val="51555C"/>
        </w:rPr>
      </w:pPr>
      <w:r>
        <w:rPr>
          <w:rFonts w:ascii="Arial" w:cs="Arial" w:eastAsia="Arial" w:hAnsi="Arial"/>
          <w:sz w:val="18"/>
          <w:szCs w:val="18"/>
          <w:color w:val="51555C"/>
        </w:rPr>
        <w:t>Decrease in acquisition and disposition-related costs of $24.5 million primarily related to our release from our lease for office space in Washington, DC, which occurred during February 2025 and did not reoccur in 2026.</w:t>
      </w:r>
    </w:p>
    <w:p>
      <w:pPr>
        <w:spacing w:after="0" w:line="44" w:lineRule="exact"/>
        <w:rPr>
          <w:rFonts w:ascii="Arial" w:cs="Arial" w:eastAsia="Arial" w:hAnsi="Arial"/>
          <w:sz w:val="18"/>
          <w:szCs w:val="18"/>
          <w:color w:val="51555C"/>
        </w:rPr>
      </w:pPr>
    </w:p>
    <w:p>
      <w:pPr>
        <w:jc w:val="both"/>
        <w:ind w:left="700" w:right="20" w:hanging="351"/>
        <w:spacing w:after="0" w:line="268" w:lineRule="auto"/>
        <w:tabs>
          <w:tab w:leader="none" w:pos="700" w:val="left"/>
        </w:tabs>
        <w:numPr>
          <w:ilvl w:val="0"/>
          <w:numId w:val="26"/>
        </w:numPr>
        <w:rPr>
          <w:rFonts w:ascii="Arial" w:cs="Arial" w:eastAsia="Arial" w:hAnsi="Arial"/>
          <w:sz w:val="18"/>
          <w:szCs w:val="18"/>
          <w:color w:val="51555C"/>
        </w:rPr>
      </w:pPr>
      <w:r>
        <w:rPr>
          <w:rFonts w:ascii="Arial" w:cs="Arial" w:eastAsia="Arial" w:hAnsi="Arial"/>
          <w:sz w:val="18"/>
          <w:szCs w:val="18"/>
          <w:color w:val="51555C"/>
        </w:rPr>
        <w:t>Decrease in Security Incident-related expenses of $2.0 million that occurred during 2025 that did not reoccur in 2026. For more information, see Note 11 to our audited consolidated financial statements contained in our Annual Report on Form 10-K filed with the SEC on February 18, 2026.</w:t>
      </w:r>
    </w:p>
    <w:p>
      <w:pPr>
        <w:spacing w:after="0" w:line="62" w:lineRule="exact"/>
        <w:rPr>
          <w:rFonts w:ascii="Arial" w:cs="Arial" w:eastAsia="Arial" w:hAnsi="Arial"/>
          <w:sz w:val="18"/>
          <w:szCs w:val="18"/>
          <w:color w:val="51555C"/>
        </w:rPr>
      </w:pPr>
    </w:p>
    <w:p>
      <w:pPr>
        <w:jc w:val="both"/>
        <w:ind w:left="700" w:right="20" w:hanging="351"/>
        <w:spacing w:after="0" w:line="268" w:lineRule="auto"/>
        <w:tabs>
          <w:tab w:leader="none" w:pos="700" w:val="left"/>
        </w:tabs>
        <w:numPr>
          <w:ilvl w:val="0"/>
          <w:numId w:val="26"/>
        </w:numPr>
        <w:rPr>
          <w:rFonts w:ascii="Arial" w:cs="Arial" w:eastAsia="Arial" w:hAnsi="Arial"/>
          <w:sz w:val="18"/>
          <w:szCs w:val="18"/>
          <w:color w:val="51555C"/>
        </w:rPr>
      </w:pPr>
      <w:r>
        <w:rPr>
          <w:rFonts w:ascii="Arial" w:cs="Arial" w:eastAsia="Arial" w:hAnsi="Arial"/>
          <w:sz w:val="18"/>
          <w:szCs w:val="18"/>
          <w:color w:val="51555C"/>
        </w:rPr>
        <w:t>Decrease in stock-based compensation costs of $1.9 million primarily due to estimated overall Company performance against 2026 goals at target levels compared to prior-year expectations above target. The decrease was partially offset by certain executive retirements in the first quarter.</w:t>
      </w:r>
    </w:p>
    <w:p>
      <w:pPr>
        <w:spacing w:after="0" w:line="63" w:lineRule="exact"/>
        <w:rPr>
          <w:sz w:val="20"/>
          <w:szCs w:val="20"/>
          <w:color w:val="auto"/>
        </w:rPr>
      </w:pPr>
    </w:p>
    <w:p>
      <w:pPr>
        <w:ind w:left="700" w:right="20" w:hanging="373"/>
        <w:spacing w:after="0" w:line="287" w:lineRule="auto"/>
        <w:tabs>
          <w:tab w:leader="none" w:pos="700" w:val="left"/>
        </w:tabs>
        <w:numPr>
          <w:ilvl w:val="0"/>
          <w:numId w:val="27"/>
        </w:numPr>
        <w:rPr>
          <w:rFonts w:ascii="Arial" w:cs="Arial" w:eastAsia="Arial" w:hAnsi="Arial"/>
          <w:sz w:val="18"/>
          <w:szCs w:val="18"/>
          <w:color w:val="51555C"/>
        </w:rPr>
      </w:pPr>
      <w:r>
        <w:rPr>
          <w:rFonts w:ascii="Arial" w:cs="Arial" w:eastAsia="Arial" w:hAnsi="Arial"/>
          <w:sz w:val="18"/>
          <w:szCs w:val="18"/>
          <w:color w:val="51555C"/>
        </w:rPr>
        <w:t>Increase in corporate costs of $4.6 million primarily related to an increase in legal fees, tax consulting expense and bad debt expense</w:t>
      </w:r>
    </w:p>
    <w:p>
      <w:pPr>
        <w:spacing w:after="0" w:line="44" w:lineRule="exact"/>
        <w:rPr>
          <w:rFonts w:ascii="Arial" w:cs="Arial" w:eastAsia="Arial" w:hAnsi="Arial"/>
          <w:sz w:val="18"/>
          <w:szCs w:val="18"/>
          <w:color w:val="51555C"/>
        </w:rPr>
      </w:pPr>
    </w:p>
    <w:p>
      <w:pPr>
        <w:ind w:left="700" w:hanging="373"/>
        <w:spacing w:after="0"/>
        <w:tabs>
          <w:tab w:leader="none" w:pos="700" w:val="left"/>
        </w:tabs>
        <w:numPr>
          <w:ilvl w:val="0"/>
          <w:numId w:val="27"/>
        </w:numPr>
        <w:rPr>
          <w:rFonts w:ascii="Arial" w:cs="Arial" w:eastAsia="Arial" w:hAnsi="Arial"/>
          <w:sz w:val="18"/>
          <w:szCs w:val="18"/>
          <w:color w:val="51555C"/>
        </w:rPr>
      </w:pPr>
      <w:r>
        <w:rPr>
          <w:rFonts w:ascii="Arial" w:cs="Arial" w:eastAsia="Arial" w:hAnsi="Arial"/>
          <w:sz w:val="18"/>
          <w:szCs w:val="18"/>
          <w:color w:val="51555C"/>
        </w:rPr>
        <w:t>Increase in third-party software costs of $4.4 million primarily related to internal solutions we use to run our business</w:t>
      </w:r>
    </w:p>
    <w:p>
      <w:pPr>
        <w:spacing w:after="0" w:line="31" w:lineRule="exact"/>
        <w:rPr>
          <w:rFonts w:ascii="Arial" w:cs="Arial" w:eastAsia="Arial" w:hAnsi="Arial"/>
          <w:sz w:val="18"/>
          <w:szCs w:val="18"/>
          <w:color w:val="51555C"/>
        </w:rPr>
      </w:pPr>
    </w:p>
    <w:p>
      <w:pPr>
        <w:ind w:left="700" w:hanging="373"/>
        <w:spacing w:after="0" w:line="181" w:lineRule="auto"/>
        <w:tabs>
          <w:tab w:leader="none" w:pos="700" w:val="left"/>
        </w:tabs>
        <w:numPr>
          <w:ilvl w:val="0"/>
          <w:numId w:val="27"/>
        </w:numPr>
        <w:rPr>
          <w:rFonts w:ascii="Arial" w:cs="Arial" w:eastAsia="Arial" w:hAnsi="Arial"/>
          <w:sz w:val="31"/>
          <w:szCs w:val="31"/>
          <w:color w:val="51555C"/>
          <w:vertAlign w:val="subscript"/>
        </w:rPr>
      </w:pPr>
      <w:r>
        <w:rPr>
          <w:rFonts w:ascii="Arial" w:cs="Arial" w:eastAsia="Arial" w:hAnsi="Arial"/>
          <w:sz w:val="16"/>
          <w:szCs w:val="16"/>
          <w:color w:val="51555C"/>
        </w:rPr>
        <w:t>Increase in global workforce transition costs of $3.1 million primarily due to severance expense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Interest Expense</w:t>
      </w:r>
    </w:p>
    <w:p>
      <w:pPr>
        <w:spacing w:after="0" w:line="281"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180975</wp:posOffset>
            </wp:positionV>
            <wp:extent cx="5203190" cy="1423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0319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decreases in interest expense in dollars and as a percentage of total revenue during the three and nine months ended September 30, 2026, when compared to the same periods in 2025, were primarily due to lower debt levels. We currently expect interest expense for the full year 2026 to be approximately $62 million to $66 million. Our interest expense in connection with the variable rate portion of our outstanding debt could increase in a rising interest rate environment. See Note 7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pacing w:after="0" w:line="30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28</w:t>
      </w:r>
      <w:r>
        <w:rPr>
          <w:sz w:val="20"/>
          <w:szCs w:val="20"/>
          <w:color w:val="auto"/>
        </w:rPr>
        <w:tab/>
      </w:r>
      <w:r>
        <w:rPr>
          <w:sz w:val="1"/>
          <w:szCs w:val="1"/>
          <w:color w:val="auto"/>
        </w:rPr>
        <w:drawing>
          <wp:inline distT="0" distB="0" distL="0" distR="0">
            <wp:extent cx="65151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Income, Net</w:t>
      </w:r>
    </w:p>
    <w:p>
      <w:pPr>
        <w:spacing w:after="0" w:line="281"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51555C"/>
        </w:rPr>
        <w:t>Other income, net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2620"/>
        <w:spacing w:after="0"/>
        <w:rPr>
          <w:sz w:val="20"/>
          <w:szCs w:val="20"/>
          <w:color w:val="auto"/>
        </w:rPr>
      </w:pPr>
      <w:r>
        <w:rPr>
          <w:rFonts w:ascii="Arial" w:cs="Arial" w:eastAsia="Arial" w:hAnsi="Arial"/>
          <w:sz w:val="13"/>
          <w:szCs w:val="13"/>
          <w:i w:val="1"/>
          <w:iCs w:val="1"/>
          <w:color w:val="51555C"/>
        </w:rPr>
        <w:t>Percentages indicate other income, net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189230</wp:posOffset>
            </wp:positionV>
            <wp:extent cx="5203190" cy="1423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0319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51555C"/>
        </w:rPr>
        <w:t>The decrease in other income, net in dollars and as a percentage of total revenue during the three months ended September 30, 2026, when compared to the same period in 2025, was primarily due to a current period currency revaluation loss compared to a gain in the prior year.</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increase in other income, net in dollars during the nine months ended September 30, 2026, when compared to the same period in 2025, was primarily due to a decrease in current year loss in currency revaluation compared to prior year loss. See Note 5 to our unaudited, condensed consolidated financial statements in this report for more information regarding our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The table below compares the components of deferred revenue from our unaudited, condensed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80" w:type="dxa"/>
            <w:vAlign w:val="bottom"/>
            <w:shd w:val="clear" w:color="auto" w:fill="004054"/>
          </w:tcPr>
          <w:p>
            <w:pPr>
              <w:spacing w:after="0"/>
              <w:rPr>
                <w:sz w:val="17"/>
                <w:szCs w:val="17"/>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5"/>
        </w:trPr>
        <w:tc>
          <w:tcPr>
            <w:tcW w:w="73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004054"/>
            </w:tcBorders>
            <w:shd w:val="clear" w:color="auto" w:fill="004054"/>
          </w:tcPr>
          <w:p>
            <w:pPr>
              <w:spacing w:after="0"/>
              <w:rPr>
                <w:sz w:val="17"/>
                <w:szCs w:val="17"/>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80" w:type="dxa"/>
            <w:vAlign w:val="bottom"/>
            <w:tcBorders>
              <w:bottom w:val="single" w:sz="8" w:color="004054"/>
            </w:tcBorders>
            <w:shd w:val="clear" w:color="auto" w:fill="004054"/>
          </w:tcPr>
          <w:p>
            <w:pPr>
              <w:spacing w:after="0"/>
              <w:rPr>
                <w:sz w:val="17"/>
                <w:szCs w:val="17"/>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7"/>
                <w:szCs w:val="17"/>
                <w:color w:val="auto"/>
              </w:rPr>
            </w:pPr>
          </w:p>
        </w:tc>
      </w:tr>
      <w:tr>
        <w:trPr>
          <w:trHeight w:val="324"/>
        </w:trPr>
        <w:tc>
          <w:tcPr>
            <w:tcW w:w="73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Deferred revenue</w:t>
            </w:r>
            <w:r>
              <w:rPr>
                <w:rFonts w:ascii="Arial" w:cs="Arial" w:eastAsia="Arial" w:hAnsi="Arial"/>
                <w:sz w:val="23"/>
                <w:szCs w:val="23"/>
                <w:color w:val="51555C"/>
                <w:vertAlign w:val="superscript"/>
              </w:rPr>
              <w:t>(1)</w:t>
            </w:r>
          </w:p>
        </w:tc>
        <w:tc>
          <w:tcPr>
            <w:tcW w:w="240" w:type="dxa"/>
            <w:vAlign w:val="bottom"/>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384.7</w:t>
            </w:r>
          </w:p>
        </w:tc>
        <w:tc>
          <w:tcPr>
            <w:tcW w:w="280" w:type="dxa"/>
            <w:vAlign w:val="bottom"/>
            <w:shd w:val="clear" w:color="auto" w:fill="EBFBFF"/>
          </w:tcPr>
          <w:p>
            <w:pPr>
              <w:jc w:val="right"/>
              <w:ind w:right="50"/>
              <w:spacing w:after="0"/>
              <w:rPr>
                <w:sz w:val="20"/>
                <w:szCs w:val="20"/>
                <w:color w:val="auto"/>
              </w:rPr>
            </w:pPr>
            <w:r>
              <w:rPr>
                <w:rFonts w:ascii="Arial" w:cs="Arial" w:eastAsia="Arial" w:hAnsi="Arial"/>
                <w:sz w:val="18"/>
                <w:szCs w:val="18"/>
                <w:color w:val="51555C"/>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371.8</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3.5 %</w:t>
            </w:r>
          </w:p>
        </w:tc>
        <w:tc>
          <w:tcPr>
            <w:tcW w:w="20" w:type="dxa"/>
            <w:vAlign w:val="bottom"/>
          </w:tcPr>
          <w:p>
            <w:pPr>
              <w:spacing w:after="0"/>
              <w:rPr>
                <w:sz w:val="24"/>
                <w:szCs w:val="24"/>
                <w:color w:val="auto"/>
              </w:rPr>
            </w:pPr>
          </w:p>
        </w:tc>
      </w:tr>
      <w:tr>
        <w:trPr>
          <w:trHeight w:val="301"/>
        </w:trPr>
        <w:tc>
          <w:tcPr>
            <w:tcW w:w="7360" w:type="dxa"/>
            <w:vAlign w:val="bottom"/>
          </w:tcPr>
          <w:p>
            <w:pPr>
              <w:ind w:left="140"/>
              <w:spacing w:after="0"/>
              <w:rPr>
                <w:sz w:val="20"/>
                <w:szCs w:val="20"/>
                <w:color w:val="auto"/>
              </w:rPr>
            </w:pPr>
            <w:r>
              <w:rPr>
                <w:rFonts w:ascii="Arial" w:cs="Arial" w:eastAsia="Arial" w:hAnsi="Arial"/>
                <w:sz w:val="18"/>
                <w:szCs w:val="18"/>
                <w:color w:val="51555C"/>
              </w:rPr>
              <w:t>Less: Long-term portion</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3.7</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2.8</w:t>
            </w:r>
          </w:p>
        </w:tc>
        <w:tc>
          <w:tcPr>
            <w:tcW w:w="1140" w:type="dxa"/>
            <w:vAlign w:val="bottom"/>
          </w:tcPr>
          <w:p>
            <w:pPr>
              <w:jc w:val="right"/>
              <w:spacing w:after="0"/>
              <w:rPr>
                <w:sz w:val="20"/>
                <w:szCs w:val="20"/>
                <w:color w:val="auto"/>
              </w:rPr>
            </w:pPr>
            <w:r>
              <w:rPr>
                <w:rFonts w:ascii="Arial" w:cs="Arial" w:eastAsia="Arial" w:hAnsi="Arial"/>
                <w:sz w:val="18"/>
                <w:szCs w:val="18"/>
                <w:color w:val="51555C"/>
              </w:rPr>
              <w:t>32.3 %</w:t>
            </w:r>
          </w:p>
        </w:tc>
        <w:tc>
          <w:tcPr>
            <w:tcW w:w="20" w:type="dxa"/>
            <w:vAlign w:val="bottom"/>
          </w:tcPr>
          <w:p>
            <w:pPr>
              <w:spacing w:after="0"/>
              <w:rPr>
                <w:sz w:val="24"/>
                <w:szCs w:val="24"/>
                <w:color w:val="auto"/>
              </w:rPr>
            </w:pPr>
          </w:p>
        </w:tc>
      </w:tr>
      <w:tr>
        <w:trPr>
          <w:trHeight w:val="23"/>
        </w:trPr>
        <w:tc>
          <w:tcPr>
            <w:tcW w:w="7360" w:type="dxa"/>
            <w:vAlign w:val="bottom"/>
            <w:tcBorders>
              <w:bottom w:val="single" w:sz="8" w:color="EBFBFF"/>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14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736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8"/>
                <w:szCs w:val="18"/>
                <w:color w:val="51555C"/>
              </w:rPr>
              <w:t>Current portion</w:t>
            </w:r>
            <w:r>
              <w:rPr>
                <w:rFonts w:ascii="Arial" w:cs="Arial" w:eastAsia="Arial" w:hAnsi="Arial"/>
                <w:sz w:val="23"/>
                <w:szCs w:val="23"/>
                <w:color w:val="51555C"/>
                <w:vertAlign w:val="superscript"/>
              </w:rPr>
              <w:t>(1)</w:t>
            </w:r>
          </w:p>
        </w:tc>
        <w:tc>
          <w:tcPr>
            <w:tcW w:w="240" w:type="dxa"/>
            <w:vAlign w:val="bottom"/>
            <w:tcBorders>
              <w:bottom w:val="single" w:sz="8" w:color="0CD973"/>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381.0</w:t>
            </w:r>
          </w:p>
        </w:tc>
        <w:tc>
          <w:tcPr>
            <w:tcW w:w="280" w:type="dxa"/>
            <w:vAlign w:val="bottom"/>
            <w:tcBorders>
              <w:bottom w:val="single" w:sz="8" w:color="0CD973"/>
            </w:tcBorders>
            <w:shd w:val="clear" w:color="auto" w:fill="EBFBFF"/>
          </w:tcPr>
          <w:p>
            <w:pPr>
              <w:jc w:val="right"/>
              <w:ind w:right="50"/>
              <w:spacing w:after="0"/>
              <w:rPr>
                <w:sz w:val="20"/>
                <w:szCs w:val="20"/>
                <w:color w:val="auto"/>
              </w:rPr>
            </w:pPr>
            <w:r>
              <w:rPr>
                <w:rFonts w:ascii="Arial" w:cs="Arial" w:eastAsia="Arial" w:hAnsi="Arial"/>
                <w:sz w:val="18"/>
                <w:szCs w:val="18"/>
                <w:color w:val="51555C"/>
              </w:rPr>
              <w:t>$</w:t>
            </w:r>
          </w:p>
        </w:tc>
        <w:tc>
          <w:tcPr>
            <w:tcW w:w="11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369.0</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3.3 %</w:t>
            </w:r>
          </w:p>
        </w:tc>
        <w:tc>
          <w:tcPr>
            <w:tcW w:w="20" w:type="dxa"/>
            <w:vAlign w:val="bottom"/>
          </w:tcPr>
          <w:p>
            <w:pPr>
              <w:spacing w:after="0"/>
              <w:rPr>
                <w:sz w:val="24"/>
                <w:szCs w:val="24"/>
                <w:color w:val="auto"/>
              </w:rPr>
            </w:pPr>
          </w:p>
        </w:tc>
      </w:tr>
    </w:tbl>
    <w:p>
      <w:pPr>
        <w:spacing w:after="0" w:line="8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deferred revenue or current portion of deferred revenue due to rounding.</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We now have approximately 90% of our contractual recurring revenue on 3-year or longer contracts, and approximately 25% on 4-year or longer contracts. We generally invoice our customers with recurring revenue contracts in annual cycles 30 days prior to the end of each one-year period.</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increase in deferred revenue during the nine months ended September 30, 2026 was primarily due to a seasonal increase in customer contract billings. Historically, due to the timing of customer budget cycles, we have an increase in billings and customer contract renewals at or near the beginning of our third quarter. Generally, our lowest balance of deferred revenue during the year is at the end of our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205740</wp:posOffset>
            </wp:positionV>
            <wp:extent cx="65976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Income Taxes</w:t>
      </w:r>
    </w:p>
    <w:p>
      <w:pPr>
        <w:spacing w:after="0" w:line="200" w:lineRule="exact"/>
        <w:rPr>
          <w:sz w:val="20"/>
          <w:szCs w:val="20"/>
          <w:color w:val="auto"/>
        </w:rPr>
      </w:pPr>
    </w:p>
    <w:p>
      <w:pPr>
        <w:spacing w:after="0" w:line="297"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51555C"/>
        </w:rPr>
        <w:t>Income tax provision (benefit)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3"/>
          <w:szCs w:val="13"/>
          <w:i w:val="1"/>
          <w:iCs w:val="1"/>
          <w:color w:val="51555C"/>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189230</wp:posOffset>
            </wp:positionV>
            <wp:extent cx="5203190" cy="1423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0319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increases in our effective income tax rate for the three and nine months ended September 30, 2026 when compared to the same periods in 2025 were primarily due to state income taxes and the limitation on deductible executive compensation under Section 162(m). These increases were partially offset by a reduction in our valuation allowance, increasing the effects of the changes in the realizability of certain deferred tax assets. See Note 9 to our unaudited, condensed consolidated financial statements in this report for more information.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On July 4, 2025, the United States enacted the OBBBA, which introduced significant changes to U.S. tax law. See Note 9 to our unaudited, condensed consolidated financial statements in this report for more information. OBBBA's restoration of 100% bonus depreciation and immediate expensing of domestic research and experimental expenditures, together with our utilization of net operating loss carryforwards, meaningfully reduced U.S. cash taxes in 2025 and 2026. U.S. state OBBBA conformity considerations (which continue to evolve as the states address the 2025 Federal tax legislation) is expected to, in part, offset these cash tax reductions in 2026 and 2027.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Non-GAAP Financial Measures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30</w:t>
      </w:r>
      <w:r>
        <w:rPr>
          <w:sz w:val="20"/>
          <w:szCs w:val="20"/>
          <w:color w:val="auto"/>
        </w:rPr>
        <w:tab/>
      </w:r>
      <w:r>
        <w:rPr>
          <w:sz w:val="1"/>
          <w:szCs w:val="1"/>
          <w:color w:val="auto"/>
        </w:rPr>
        <w:drawing>
          <wp:inline distT="0" distB="0" distL="0" distR="0">
            <wp:extent cx="651510" cy="1714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24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80" w:type="dxa"/>
            <w:vAlign w:val="bottom"/>
            <w:shd w:val="clear" w:color="auto" w:fill="004054"/>
          </w:tcPr>
          <w:p>
            <w:pPr>
              <w:spacing w:after="0"/>
              <w:rPr>
                <w:sz w:val="17"/>
                <w:szCs w:val="17"/>
                <w:color w:val="auto"/>
              </w:rPr>
            </w:pPr>
          </w:p>
        </w:tc>
        <w:tc>
          <w:tcPr>
            <w:tcW w:w="1360" w:type="dxa"/>
            <w:vAlign w:val="bottom"/>
            <w:gridSpan w:val="2"/>
            <w:shd w:val="clear" w:color="auto" w:fill="004054"/>
          </w:tcPr>
          <w:p>
            <w:pPr>
              <w:spacing w:after="0"/>
              <w:rPr>
                <w:sz w:val="20"/>
                <w:szCs w:val="20"/>
                <w:color w:val="auto"/>
              </w:rPr>
            </w:pPr>
            <w:r>
              <w:rPr>
                <w:rFonts w:ascii="Arial" w:cs="Arial" w:eastAsia="Arial" w:hAnsi="Arial"/>
                <w:sz w:val="14"/>
                <w:szCs w:val="14"/>
                <w:b w:val="1"/>
                <w:bCs w:val="1"/>
                <w:color w:val="FFFFFF"/>
              </w:rPr>
              <w:t>Nine months ended</w:t>
            </w:r>
          </w:p>
        </w:tc>
      </w:tr>
      <w:tr>
        <w:trPr>
          <w:trHeight w:val="196"/>
        </w:trPr>
        <w:tc>
          <w:tcPr>
            <w:tcW w:w="574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80" w:type="dxa"/>
            <w:vAlign w:val="bottom"/>
            <w:shd w:val="clear" w:color="auto" w:fill="004054"/>
          </w:tcPr>
          <w:p>
            <w:pPr>
              <w:spacing w:after="0"/>
              <w:rPr>
                <w:sz w:val="17"/>
                <w:szCs w:val="17"/>
                <w:color w:val="auto"/>
              </w:rPr>
            </w:pPr>
          </w:p>
        </w:tc>
        <w:tc>
          <w:tcPr>
            <w:tcW w:w="22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08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52"/>
        </w:trPr>
        <w:tc>
          <w:tcPr>
            <w:tcW w:w="57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60" w:type="dxa"/>
            <w:vAlign w:val="bottom"/>
            <w:tcBorders>
              <w:bottom w:val="single" w:sz="8" w:color="004054"/>
            </w:tcBorders>
            <w:shd w:val="clear" w:color="auto" w:fill="004054"/>
          </w:tcPr>
          <w:p>
            <w:pPr>
              <w:spacing w:after="0"/>
              <w:rPr>
                <w:sz w:val="21"/>
                <w:szCs w:val="21"/>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20" w:type="dxa"/>
            <w:vAlign w:val="bottom"/>
            <w:tcBorders>
              <w:bottom w:val="single" w:sz="8" w:color="004054"/>
            </w:tcBorders>
            <w:shd w:val="clear" w:color="auto" w:fill="004054"/>
          </w:tcPr>
          <w:p>
            <w:pPr>
              <w:spacing w:after="0"/>
              <w:rPr>
                <w:sz w:val="21"/>
                <w:szCs w:val="21"/>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1"/>
                <w:szCs w:val="21"/>
                <w:color w:val="auto"/>
              </w:rPr>
            </w:pPr>
          </w:p>
        </w:tc>
        <w:tc>
          <w:tcPr>
            <w:tcW w:w="260" w:type="dxa"/>
            <w:vAlign w:val="bottom"/>
            <w:tcBorders>
              <w:bottom w:val="single" w:sz="8" w:color="004054"/>
            </w:tcBorders>
            <w:shd w:val="clear" w:color="auto" w:fill="004054"/>
          </w:tcPr>
          <w:p>
            <w:pPr>
              <w:spacing w:after="0"/>
              <w:rPr>
                <w:sz w:val="21"/>
                <w:szCs w:val="21"/>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40" w:type="dxa"/>
            <w:vAlign w:val="bottom"/>
            <w:tcBorders>
              <w:bottom w:val="single" w:sz="8" w:color="004054"/>
            </w:tcBorders>
            <w:shd w:val="clear" w:color="auto" w:fill="004054"/>
          </w:tcPr>
          <w:p>
            <w:pPr>
              <w:spacing w:after="0"/>
              <w:rPr>
                <w:sz w:val="21"/>
                <w:szCs w:val="21"/>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30"/>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292.6</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281.1</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864.4</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833.1</w:t>
            </w:r>
          </w:p>
        </w:tc>
      </w:tr>
      <w:tr>
        <w:trPr>
          <w:trHeight w:val="34"/>
        </w:trPr>
        <w:tc>
          <w:tcPr>
            <w:tcW w:w="5740" w:type="dxa"/>
            <w:vAlign w:val="bottom"/>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080" w:type="dxa"/>
            <w:vAlign w:val="bottom"/>
            <w:tcBorders>
              <w:top w:val="single" w:sz="8" w:color="51555C"/>
            </w:tcBorders>
          </w:tcPr>
          <w:p>
            <w:pPr>
              <w:spacing w:after="0"/>
              <w:rPr>
                <w:sz w:val="2"/>
                <w:szCs w:val="2"/>
                <w:color w:val="auto"/>
              </w:rPr>
            </w:pPr>
          </w:p>
        </w:tc>
        <w:tc>
          <w:tcPr>
            <w:tcW w:w="220" w:type="dxa"/>
            <w:vAlign w:val="bottom"/>
            <w:tcBorders>
              <w:top w:val="single" w:sz="8" w:color="51555C"/>
            </w:tcBorders>
          </w:tcPr>
          <w:p>
            <w:pPr>
              <w:spacing w:after="0"/>
              <w:rPr>
                <w:sz w:val="2"/>
                <w:szCs w:val="2"/>
                <w:color w:val="auto"/>
              </w:rPr>
            </w:pPr>
          </w:p>
        </w:tc>
        <w:tc>
          <w:tcPr>
            <w:tcW w:w="1140" w:type="dxa"/>
            <w:vAlign w:val="bottom"/>
            <w:tcBorders>
              <w:top w:val="single" w:sz="8" w:color="51555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080" w:type="dxa"/>
            <w:vAlign w:val="bottom"/>
            <w:tcBorders>
              <w:top w:val="single" w:sz="8" w:color="51555C"/>
            </w:tcBorders>
          </w:tcPr>
          <w:p>
            <w:pPr>
              <w:spacing w:after="0"/>
              <w:rPr>
                <w:sz w:val="2"/>
                <w:szCs w:val="2"/>
                <w:color w:val="auto"/>
              </w:rPr>
            </w:pPr>
          </w:p>
        </w:tc>
        <w:tc>
          <w:tcPr>
            <w:tcW w:w="240" w:type="dxa"/>
            <w:vAlign w:val="bottom"/>
            <w:tcBorders>
              <w:top w:val="single" w:sz="8" w:color="51555C"/>
            </w:tcBorders>
          </w:tcPr>
          <w:p>
            <w:pPr>
              <w:spacing w:after="0"/>
              <w:rPr>
                <w:sz w:val="2"/>
                <w:szCs w:val="2"/>
                <w:color w:val="auto"/>
              </w:rPr>
            </w:pPr>
          </w:p>
        </w:tc>
        <w:tc>
          <w:tcPr>
            <w:tcW w:w="1120" w:type="dxa"/>
            <w:vAlign w:val="bottom"/>
            <w:tcBorders>
              <w:top w:val="single" w:sz="8" w:color="51555C"/>
            </w:tcBorders>
          </w:tcPr>
          <w:p>
            <w:pPr>
              <w:spacing w:after="0"/>
              <w:rPr>
                <w:sz w:val="2"/>
                <w:szCs w:val="2"/>
                <w:color w:val="auto"/>
              </w:rPr>
            </w:pPr>
          </w:p>
        </w:tc>
      </w:tr>
      <w:tr>
        <w:trPr>
          <w:trHeight w:val="230"/>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profit</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177.8</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167.5</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522.5</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491.0</w:t>
            </w:r>
          </w:p>
        </w:tc>
      </w:tr>
      <w:tr>
        <w:trPr>
          <w:trHeight w:val="222"/>
        </w:trPr>
        <w:tc>
          <w:tcPr>
            <w:tcW w:w="5740" w:type="dxa"/>
            <w:vAlign w:val="bottom"/>
          </w:tcPr>
          <w:p>
            <w:pPr>
              <w:ind w:left="140"/>
              <w:spacing w:after="0"/>
              <w:rPr>
                <w:sz w:val="20"/>
                <w:szCs w:val="20"/>
                <w:color w:val="auto"/>
              </w:rPr>
            </w:pPr>
            <w:r>
              <w:rPr>
                <w:rFonts w:ascii="Arial" w:cs="Arial" w:eastAsia="Arial" w:hAnsi="Arial"/>
                <w:sz w:val="14"/>
                <w:szCs w:val="14"/>
                <w:b w:val="1"/>
                <w:bCs w:val="1"/>
                <w:color w:val="51555C"/>
              </w:rPr>
              <w:t>GAAP gross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60.8 %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51555C"/>
              </w:rPr>
              <w:t>59.6 %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60.4 %</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51555C"/>
              </w:rPr>
              <w:t>58.9 %</w:t>
            </w:r>
          </w:p>
        </w:tc>
      </w:tr>
      <w:tr>
        <w:trPr>
          <w:trHeight w:val="237"/>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60" w:type="dxa"/>
            <w:vAlign w:val="bottom"/>
            <w:shd w:val="clear" w:color="auto" w:fill="EBFBFF"/>
          </w:tcPr>
          <w:p>
            <w:pPr>
              <w:spacing w:after="0"/>
              <w:rPr>
                <w:sz w:val="20"/>
                <w:szCs w:val="20"/>
                <w:color w:val="auto"/>
              </w:rPr>
            </w:pPr>
          </w:p>
        </w:tc>
        <w:tc>
          <w:tcPr>
            <w:tcW w:w="1080" w:type="dxa"/>
            <w:vAlign w:val="bottom"/>
            <w:shd w:val="clear" w:color="auto" w:fill="EBFBFF"/>
          </w:tcPr>
          <w:p>
            <w:pPr>
              <w:spacing w:after="0"/>
              <w:rPr>
                <w:sz w:val="20"/>
                <w:szCs w:val="20"/>
                <w:color w:val="auto"/>
              </w:rPr>
            </w:pPr>
          </w:p>
        </w:tc>
        <w:tc>
          <w:tcPr>
            <w:tcW w:w="220" w:type="dxa"/>
            <w:vAlign w:val="bottom"/>
            <w:shd w:val="clear" w:color="auto" w:fill="EBFBFF"/>
          </w:tcPr>
          <w:p>
            <w:pPr>
              <w:spacing w:after="0"/>
              <w:rPr>
                <w:sz w:val="20"/>
                <w:szCs w:val="20"/>
                <w:color w:val="auto"/>
              </w:rPr>
            </w:pPr>
          </w:p>
        </w:tc>
        <w:tc>
          <w:tcPr>
            <w:tcW w:w="1140" w:type="dxa"/>
            <w:vAlign w:val="bottom"/>
            <w:shd w:val="clear" w:color="auto" w:fill="EBFBFF"/>
          </w:tcPr>
          <w:p>
            <w:pPr>
              <w:spacing w:after="0"/>
              <w:rPr>
                <w:sz w:val="20"/>
                <w:szCs w:val="20"/>
                <w:color w:val="auto"/>
              </w:rPr>
            </w:pPr>
          </w:p>
        </w:tc>
        <w:tc>
          <w:tcPr>
            <w:tcW w:w="100" w:type="dxa"/>
            <w:vAlign w:val="bottom"/>
            <w:shd w:val="clear" w:color="auto" w:fill="EBFBFF"/>
          </w:tcPr>
          <w:p>
            <w:pPr>
              <w:spacing w:after="0"/>
              <w:rPr>
                <w:sz w:val="20"/>
                <w:szCs w:val="20"/>
                <w:color w:val="auto"/>
              </w:rPr>
            </w:pPr>
          </w:p>
        </w:tc>
        <w:tc>
          <w:tcPr>
            <w:tcW w:w="260" w:type="dxa"/>
            <w:vAlign w:val="bottom"/>
            <w:shd w:val="clear" w:color="auto" w:fill="EBFBFF"/>
          </w:tcPr>
          <w:p>
            <w:pPr>
              <w:spacing w:after="0"/>
              <w:rPr>
                <w:sz w:val="20"/>
                <w:szCs w:val="20"/>
                <w:color w:val="auto"/>
              </w:rPr>
            </w:pPr>
          </w:p>
        </w:tc>
        <w:tc>
          <w:tcPr>
            <w:tcW w:w="1080" w:type="dxa"/>
            <w:vAlign w:val="bottom"/>
            <w:shd w:val="clear" w:color="auto" w:fill="EBFBFF"/>
          </w:tcPr>
          <w:p>
            <w:pPr>
              <w:spacing w:after="0"/>
              <w:rPr>
                <w:sz w:val="20"/>
                <w:szCs w:val="20"/>
                <w:color w:val="auto"/>
              </w:rPr>
            </w:pPr>
          </w:p>
        </w:tc>
        <w:tc>
          <w:tcPr>
            <w:tcW w:w="240" w:type="dxa"/>
            <w:vAlign w:val="bottom"/>
            <w:shd w:val="clear" w:color="auto" w:fill="EBFBFF"/>
          </w:tcPr>
          <w:p>
            <w:pPr>
              <w:spacing w:after="0"/>
              <w:rPr>
                <w:sz w:val="20"/>
                <w:szCs w:val="20"/>
                <w:color w:val="auto"/>
              </w:rPr>
            </w:pPr>
          </w:p>
        </w:tc>
        <w:tc>
          <w:tcPr>
            <w:tcW w:w="1120" w:type="dxa"/>
            <w:vAlign w:val="bottom"/>
            <w:shd w:val="clear" w:color="auto" w:fill="EBFBFF"/>
          </w:tcPr>
          <w:p>
            <w:pPr>
              <w:spacing w:after="0"/>
              <w:rPr>
                <w:sz w:val="20"/>
                <w:szCs w:val="20"/>
                <w:color w:val="auto"/>
              </w:rPr>
            </w:pPr>
          </w:p>
        </w:tc>
      </w:tr>
      <w:tr>
        <w:trPr>
          <w:trHeight w:val="208"/>
        </w:trPr>
        <w:tc>
          <w:tcPr>
            <w:tcW w:w="574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2.7</w:t>
            </w:r>
          </w:p>
        </w:tc>
        <w:tc>
          <w:tcPr>
            <w:tcW w:w="2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8.5</w:t>
            </w:r>
          </w:p>
        </w:tc>
        <w:tc>
          <w:tcPr>
            <w:tcW w:w="2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8.8</w:t>
            </w:r>
          </w:p>
        </w:tc>
      </w:tr>
      <w:tr>
        <w:trPr>
          <w:trHeight w:val="22"/>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5.4</w:t>
            </w:r>
          </w:p>
        </w:tc>
        <w:tc>
          <w:tcPr>
            <w:tcW w:w="22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6.8</w:t>
            </w:r>
          </w:p>
        </w:tc>
        <w:tc>
          <w:tcPr>
            <w:tcW w:w="10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17.1</w:t>
            </w:r>
          </w:p>
        </w:tc>
        <w:tc>
          <w:tcPr>
            <w:tcW w:w="24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20.9</w:t>
            </w:r>
          </w:p>
        </w:tc>
      </w:tr>
      <w:tr>
        <w:trPr>
          <w:trHeight w:val="208"/>
        </w:trPr>
        <w:tc>
          <w:tcPr>
            <w:tcW w:w="574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0.3</w:t>
            </w:r>
          </w:p>
        </w:tc>
      </w:tr>
      <w:tr>
        <w:trPr>
          <w:trHeight w:val="22"/>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574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Global workforce transition costs</w:t>
            </w:r>
            <w:r>
              <w:rPr>
                <w:rFonts w:ascii="Arial" w:cs="Arial" w:eastAsia="Arial" w:hAnsi="Arial"/>
                <w:sz w:val="18"/>
                <w:szCs w:val="18"/>
                <w:color w:val="51555C"/>
                <w:vertAlign w:val="superscript"/>
              </w:rPr>
              <w:t>(1)</w:t>
            </w:r>
          </w:p>
        </w:tc>
        <w:tc>
          <w:tcPr>
            <w:tcW w:w="2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1.0</w:t>
            </w:r>
          </w:p>
        </w:tc>
        <w:tc>
          <w:tcPr>
            <w:tcW w:w="220" w:type="dxa"/>
            <w:vAlign w:val="bottom"/>
            <w:tcBorders>
              <w:bottom w:val="single" w:sz="8" w:color="51555C"/>
            </w:tcBorders>
            <w:shd w:val="clear" w:color="auto" w:fill="EBFBFF"/>
          </w:tcPr>
          <w:p>
            <w:pPr>
              <w:spacing w:after="0"/>
              <w:rPr>
                <w:sz w:val="19"/>
                <w:szCs w:val="19"/>
                <w:color w:val="auto"/>
              </w:rPr>
            </w:pPr>
          </w:p>
        </w:tc>
        <w:tc>
          <w:tcPr>
            <w:tcW w:w="11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shd w:val="clear" w:color="auto" w:fill="EBFBFF"/>
          </w:tcPr>
          <w:p>
            <w:pPr>
              <w:spacing w:after="0"/>
              <w:rPr>
                <w:sz w:val="19"/>
                <w:szCs w:val="19"/>
                <w:color w:val="auto"/>
              </w:rPr>
            </w:pPr>
          </w:p>
        </w:tc>
        <w:tc>
          <w:tcPr>
            <w:tcW w:w="2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1.6</w:t>
            </w:r>
          </w:p>
        </w:tc>
        <w:tc>
          <w:tcPr>
            <w:tcW w:w="240" w:type="dxa"/>
            <w:vAlign w:val="bottom"/>
            <w:tcBorders>
              <w:bottom w:val="single" w:sz="8" w:color="51555C"/>
            </w:tcBorders>
            <w:shd w:val="clear" w:color="auto" w:fill="EBFBFF"/>
          </w:tcPr>
          <w:p>
            <w:pPr>
              <w:spacing w:after="0"/>
              <w:rPr>
                <w:sz w:val="19"/>
                <w:szCs w:val="19"/>
                <w:color w:val="auto"/>
              </w:rPr>
            </w:pPr>
          </w:p>
        </w:tc>
        <w:tc>
          <w:tcPr>
            <w:tcW w:w="11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r>
      <w:tr>
        <w:trPr>
          <w:trHeight w:val="223"/>
        </w:trPr>
        <w:tc>
          <w:tcPr>
            <w:tcW w:w="574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2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9.1</w:t>
            </w:r>
          </w:p>
        </w:tc>
        <w:tc>
          <w:tcPr>
            <w:tcW w:w="220" w:type="dxa"/>
            <w:vAlign w:val="bottom"/>
            <w:tcBorders>
              <w:bottom w:val="single" w:sz="8" w:color="51555C"/>
            </w:tcBorders>
          </w:tcPr>
          <w:p>
            <w:pPr>
              <w:spacing w:after="0"/>
              <w:rPr>
                <w:sz w:val="19"/>
                <w:szCs w:val="19"/>
                <w:color w:val="auto"/>
              </w:rPr>
            </w:pPr>
          </w:p>
        </w:tc>
        <w:tc>
          <w:tcPr>
            <w:tcW w:w="114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9.6</w:t>
            </w:r>
          </w:p>
        </w:tc>
        <w:tc>
          <w:tcPr>
            <w:tcW w:w="100" w:type="dxa"/>
            <w:vAlign w:val="bottom"/>
            <w:tcBorders>
              <w:bottom w:val="single" w:sz="8" w:color="EBFBFF"/>
            </w:tcBorders>
          </w:tcPr>
          <w:p>
            <w:pPr>
              <w:spacing w:after="0"/>
              <w:rPr>
                <w:sz w:val="19"/>
                <w:szCs w:val="19"/>
                <w:color w:val="auto"/>
              </w:rPr>
            </w:pPr>
          </w:p>
        </w:tc>
        <w:tc>
          <w:tcPr>
            <w:tcW w:w="2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27.1</w:t>
            </w:r>
          </w:p>
        </w:tc>
        <w:tc>
          <w:tcPr>
            <w:tcW w:w="240" w:type="dxa"/>
            <w:vAlign w:val="bottom"/>
            <w:tcBorders>
              <w:bottom w:val="single" w:sz="8" w:color="51555C"/>
            </w:tcBorders>
          </w:tcPr>
          <w:p>
            <w:pPr>
              <w:spacing w:after="0"/>
              <w:rPr>
                <w:sz w:val="19"/>
                <w:szCs w:val="19"/>
                <w:color w:val="auto"/>
              </w:rPr>
            </w:pP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30.0</w:t>
            </w:r>
          </w:p>
        </w:tc>
      </w:tr>
      <w:tr>
        <w:trPr>
          <w:trHeight w:val="223"/>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gross profit</w:t>
            </w:r>
            <w:r>
              <w:rPr>
                <w:rFonts w:ascii="Arial" w:cs="Arial" w:eastAsia="Arial" w:hAnsi="Arial"/>
                <w:sz w:val="18"/>
                <w:szCs w:val="18"/>
                <w:b w:val="1"/>
                <w:bCs w:val="1"/>
                <w:color w:val="51555C"/>
                <w:vertAlign w:val="superscript"/>
              </w:rPr>
              <w:t>(2)</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186.9</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177.1</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549.6</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521.0</w:t>
            </w:r>
          </w:p>
        </w:tc>
      </w:tr>
      <w:tr>
        <w:trPr>
          <w:trHeight w:val="215"/>
        </w:trPr>
        <w:tc>
          <w:tcPr>
            <w:tcW w:w="5740" w:type="dxa"/>
            <w:vAlign w:val="bottom"/>
          </w:tcPr>
          <w:p>
            <w:pPr>
              <w:ind w:left="140"/>
              <w:spacing w:after="0"/>
              <w:rPr>
                <w:sz w:val="20"/>
                <w:szCs w:val="20"/>
                <w:color w:val="auto"/>
              </w:rPr>
            </w:pPr>
            <w:r>
              <w:rPr>
                <w:rFonts w:ascii="Arial" w:cs="Arial" w:eastAsia="Arial" w:hAnsi="Arial"/>
                <w:sz w:val="14"/>
                <w:szCs w:val="14"/>
                <w:b w:val="1"/>
                <w:bCs w:val="1"/>
                <w:color w:val="51555C"/>
              </w:rPr>
              <w:t>Non-GAAP gross margin</w:t>
            </w:r>
          </w:p>
        </w:tc>
        <w:tc>
          <w:tcPr>
            <w:tcW w:w="2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63.9 %</w:t>
            </w:r>
          </w:p>
        </w:tc>
        <w:tc>
          <w:tcPr>
            <w:tcW w:w="220" w:type="dxa"/>
            <w:vAlign w:val="bottom"/>
            <w:tcBorders>
              <w:top w:val="single" w:sz="8" w:color="51555C"/>
            </w:tcBorders>
          </w:tcPr>
          <w:p>
            <w:pPr>
              <w:spacing w:after="0"/>
              <w:rPr>
                <w:sz w:val="18"/>
                <w:szCs w:val="18"/>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63.0 %</w:t>
            </w:r>
          </w:p>
        </w:tc>
        <w:tc>
          <w:tcPr>
            <w:tcW w:w="100" w:type="dxa"/>
            <w:vAlign w:val="bottom"/>
          </w:tcPr>
          <w:p>
            <w:pPr>
              <w:spacing w:after="0"/>
              <w:rPr>
                <w:sz w:val="18"/>
                <w:szCs w:val="18"/>
                <w:color w:val="auto"/>
              </w:rPr>
            </w:pPr>
          </w:p>
        </w:tc>
        <w:tc>
          <w:tcPr>
            <w:tcW w:w="2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63.6 %</w:t>
            </w:r>
          </w:p>
        </w:tc>
        <w:tc>
          <w:tcPr>
            <w:tcW w:w="240" w:type="dxa"/>
            <w:vAlign w:val="bottom"/>
            <w:tcBorders>
              <w:top w:val="single" w:sz="8" w:color="51555C"/>
            </w:tcBorders>
          </w:tcPr>
          <w:p>
            <w:pPr>
              <w:spacing w:after="0"/>
              <w:rPr>
                <w:sz w:val="18"/>
                <w:szCs w:val="18"/>
                <w:color w:val="auto"/>
              </w:rPr>
            </w:pP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62.5 %</w:t>
            </w:r>
          </w:p>
        </w:tc>
      </w:tr>
      <w:tr>
        <w:trPr>
          <w:trHeight w:val="62"/>
        </w:trPr>
        <w:tc>
          <w:tcPr>
            <w:tcW w:w="5740" w:type="dxa"/>
            <w:vAlign w:val="bottom"/>
            <w:shd w:val="clear" w:color="auto" w:fill="EBFBFF"/>
          </w:tcPr>
          <w:p>
            <w:pPr>
              <w:spacing w:after="0"/>
              <w:rPr>
                <w:sz w:val="5"/>
                <w:szCs w:val="5"/>
                <w:color w:val="auto"/>
              </w:rPr>
            </w:pPr>
          </w:p>
        </w:tc>
        <w:tc>
          <w:tcPr>
            <w:tcW w:w="260" w:type="dxa"/>
            <w:vAlign w:val="bottom"/>
            <w:shd w:val="clear" w:color="auto" w:fill="EBFBFF"/>
          </w:tcPr>
          <w:p>
            <w:pPr>
              <w:spacing w:after="0"/>
              <w:rPr>
                <w:sz w:val="5"/>
                <w:szCs w:val="5"/>
                <w:color w:val="auto"/>
              </w:rPr>
            </w:pPr>
          </w:p>
        </w:tc>
        <w:tc>
          <w:tcPr>
            <w:tcW w:w="1080" w:type="dxa"/>
            <w:vAlign w:val="bottom"/>
            <w:shd w:val="clear" w:color="auto" w:fill="EBFBFF"/>
          </w:tcPr>
          <w:p>
            <w:pPr>
              <w:spacing w:after="0"/>
              <w:rPr>
                <w:sz w:val="5"/>
                <w:szCs w:val="5"/>
                <w:color w:val="auto"/>
              </w:rPr>
            </w:pPr>
          </w:p>
        </w:tc>
        <w:tc>
          <w:tcPr>
            <w:tcW w:w="220" w:type="dxa"/>
            <w:vAlign w:val="bottom"/>
            <w:shd w:val="clear" w:color="auto" w:fill="EBFBFF"/>
          </w:tcPr>
          <w:p>
            <w:pPr>
              <w:spacing w:after="0"/>
              <w:rPr>
                <w:sz w:val="5"/>
                <w:szCs w:val="5"/>
                <w:color w:val="auto"/>
              </w:rPr>
            </w:pPr>
          </w:p>
        </w:tc>
        <w:tc>
          <w:tcPr>
            <w:tcW w:w="1140" w:type="dxa"/>
            <w:vAlign w:val="bottom"/>
            <w:shd w:val="clear" w:color="auto" w:fill="EBFBFF"/>
          </w:tcPr>
          <w:p>
            <w:pPr>
              <w:spacing w:after="0"/>
              <w:rPr>
                <w:sz w:val="5"/>
                <w:szCs w:val="5"/>
                <w:color w:val="auto"/>
              </w:rPr>
            </w:pPr>
          </w:p>
        </w:tc>
        <w:tc>
          <w:tcPr>
            <w:tcW w:w="100" w:type="dxa"/>
            <w:vAlign w:val="bottom"/>
            <w:shd w:val="clear" w:color="auto" w:fill="EBFBFF"/>
          </w:tcPr>
          <w:p>
            <w:pPr>
              <w:spacing w:after="0"/>
              <w:rPr>
                <w:sz w:val="5"/>
                <w:szCs w:val="5"/>
                <w:color w:val="auto"/>
              </w:rPr>
            </w:pPr>
          </w:p>
        </w:tc>
        <w:tc>
          <w:tcPr>
            <w:tcW w:w="260" w:type="dxa"/>
            <w:vAlign w:val="bottom"/>
            <w:shd w:val="clear" w:color="auto" w:fill="EBFBFF"/>
          </w:tcPr>
          <w:p>
            <w:pPr>
              <w:spacing w:after="0"/>
              <w:rPr>
                <w:sz w:val="5"/>
                <w:szCs w:val="5"/>
                <w:color w:val="auto"/>
              </w:rPr>
            </w:pPr>
          </w:p>
        </w:tc>
        <w:tc>
          <w:tcPr>
            <w:tcW w:w="1080" w:type="dxa"/>
            <w:vAlign w:val="bottom"/>
            <w:shd w:val="clear" w:color="auto" w:fill="EBFBFF"/>
          </w:tcPr>
          <w:p>
            <w:pPr>
              <w:spacing w:after="0"/>
              <w:rPr>
                <w:sz w:val="5"/>
                <w:szCs w:val="5"/>
                <w:color w:val="auto"/>
              </w:rPr>
            </w:pPr>
          </w:p>
        </w:tc>
        <w:tc>
          <w:tcPr>
            <w:tcW w:w="240" w:type="dxa"/>
            <w:vAlign w:val="bottom"/>
            <w:shd w:val="clear" w:color="auto" w:fill="EBFBFF"/>
          </w:tcPr>
          <w:p>
            <w:pPr>
              <w:spacing w:after="0"/>
              <w:rPr>
                <w:sz w:val="5"/>
                <w:szCs w:val="5"/>
                <w:color w:val="auto"/>
              </w:rPr>
            </w:pPr>
          </w:p>
        </w:tc>
        <w:tc>
          <w:tcPr>
            <w:tcW w:w="1120" w:type="dxa"/>
            <w:vAlign w:val="bottom"/>
            <w:shd w:val="clear" w:color="auto" w:fill="EBFBFF"/>
          </w:tcPr>
          <w:p>
            <w:pPr>
              <w:spacing w:after="0"/>
              <w:rPr>
                <w:sz w:val="5"/>
                <w:szCs w:val="5"/>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4"/>
                <w:szCs w:val="14"/>
                <w:b w:val="1"/>
                <w:bCs w:val="1"/>
                <w:color w:val="51555C"/>
              </w:rPr>
              <w:t>GAAP income from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60.0</w:t>
            </w:r>
          </w:p>
        </w:tc>
        <w:tc>
          <w:tcPr>
            <w:tcW w:w="220" w:type="dxa"/>
            <w:vAlign w:val="bottom"/>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54.6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173.4</w:t>
            </w:r>
          </w:p>
        </w:tc>
        <w:tc>
          <w:tcPr>
            <w:tcW w:w="240" w:type="dxa"/>
            <w:vAlign w:val="bottom"/>
          </w:tcPr>
          <w:p>
            <w:pPr>
              <w:ind w:left="20"/>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131.6</w:t>
            </w:r>
          </w:p>
        </w:tc>
      </w:tr>
      <w:tr>
        <w:trPr>
          <w:trHeight w:val="237"/>
        </w:trPr>
        <w:tc>
          <w:tcPr>
            <w:tcW w:w="574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GAAP operating margin</w:t>
            </w:r>
          </w:p>
        </w:tc>
        <w:tc>
          <w:tcPr>
            <w:tcW w:w="260" w:type="dxa"/>
            <w:vAlign w:val="bottom"/>
            <w:shd w:val="clear" w:color="auto" w:fill="EBFBFF"/>
          </w:tcPr>
          <w:p>
            <w:pPr>
              <w:spacing w:after="0"/>
              <w:rPr>
                <w:sz w:val="20"/>
                <w:szCs w:val="20"/>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20.5 %</w:t>
            </w:r>
          </w:p>
        </w:tc>
        <w:tc>
          <w:tcPr>
            <w:tcW w:w="220" w:type="dxa"/>
            <w:vAlign w:val="bottom"/>
            <w:shd w:val="clear" w:color="auto" w:fill="EBFBFF"/>
          </w:tcPr>
          <w:p>
            <w:pPr>
              <w:spacing w:after="0"/>
              <w:rPr>
                <w:sz w:val="20"/>
                <w:szCs w:val="20"/>
                <w:color w:val="auto"/>
              </w:rPr>
            </w:pPr>
          </w:p>
        </w:tc>
        <w:tc>
          <w:tcPr>
            <w:tcW w:w="11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19.4 %</w:t>
            </w:r>
          </w:p>
        </w:tc>
        <w:tc>
          <w:tcPr>
            <w:tcW w:w="100" w:type="dxa"/>
            <w:vAlign w:val="bottom"/>
            <w:shd w:val="clear" w:color="auto" w:fill="EBFBFF"/>
          </w:tcPr>
          <w:p>
            <w:pPr>
              <w:spacing w:after="0"/>
              <w:rPr>
                <w:sz w:val="20"/>
                <w:szCs w:val="20"/>
                <w:color w:val="auto"/>
              </w:rPr>
            </w:pPr>
          </w:p>
        </w:tc>
        <w:tc>
          <w:tcPr>
            <w:tcW w:w="260" w:type="dxa"/>
            <w:vAlign w:val="bottom"/>
            <w:shd w:val="clear" w:color="auto" w:fill="EBFBFF"/>
          </w:tcPr>
          <w:p>
            <w:pPr>
              <w:spacing w:after="0"/>
              <w:rPr>
                <w:sz w:val="20"/>
                <w:szCs w:val="20"/>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20.1 %</w:t>
            </w:r>
          </w:p>
        </w:tc>
        <w:tc>
          <w:tcPr>
            <w:tcW w:w="240" w:type="dxa"/>
            <w:vAlign w:val="bottom"/>
            <w:shd w:val="clear" w:color="auto" w:fill="EBFBFF"/>
          </w:tcPr>
          <w:p>
            <w:pPr>
              <w:spacing w:after="0"/>
              <w:rPr>
                <w:sz w:val="20"/>
                <w:szCs w:val="20"/>
                <w:color w:val="auto"/>
              </w:rPr>
            </w:pPr>
          </w:p>
        </w:tc>
        <w:tc>
          <w:tcPr>
            <w:tcW w:w="11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15.8 %</w:t>
            </w:r>
          </w:p>
        </w:tc>
      </w:tr>
      <w:tr>
        <w:trPr>
          <w:trHeight w:val="222"/>
        </w:trPr>
        <w:tc>
          <w:tcPr>
            <w:tcW w:w="5740" w:type="dxa"/>
            <w:vAlign w:val="bottom"/>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7"/>
        </w:trPr>
        <w:tc>
          <w:tcPr>
            <w:tcW w:w="5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22.1</w:t>
            </w:r>
          </w:p>
        </w:tc>
        <w:tc>
          <w:tcPr>
            <w:tcW w:w="22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21.7</w:t>
            </w:r>
          </w:p>
        </w:tc>
        <w:tc>
          <w:tcPr>
            <w:tcW w:w="10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68.7</w:t>
            </w:r>
          </w:p>
        </w:tc>
        <w:tc>
          <w:tcPr>
            <w:tcW w:w="24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71.1</w:t>
            </w:r>
          </w:p>
        </w:tc>
      </w:tr>
      <w:tr>
        <w:trPr>
          <w:trHeight w:val="208"/>
        </w:trPr>
        <w:tc>
          <w:tcPr>
            <w:tcW w:w="574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6.0</w:t>
            </w:r>
          </w:p>
        </w:tc>
        <w:tc>
          <w:tcPr>
            <w:tcW w:w="2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18.8</w:t>
            </w:r>
          </w:p>
        </w:tc>
        <w:tc>
          <w:tcPr>
            <w:tcW w:w="2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22.6</w:t>
            </w:r>
          </w:p>
        </w:tc>
      </w:tr>
      <w:tr>
        <w:trPr>
          <w:trHeight w:val="22"/>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Employee severance</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2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(0.2)</w:t>
            </w:r>
          </w:p>
        </w:tc>
        <w:tc>
          <w:tcPr>
            <w:tcW w:w="10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4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1.9</w:t>
            </w:r>
          </w:p>
        </w:tc>
      </w:tr>
      <w:tr>
        <w:trPr>
          <w:trHeight w:val="229"/>
        </w:trPr>
        <w:tc>
          <w:tcPr>
            <w:tcW w:w="5740" w:type="dxa"/>
            <w:vAlign w:val="bottom"/>
          </w:tcPr>
          <w:p>
            <w:pPr>
              <w:ind w:left="140"/>
              <w:spacing w:after="0"/>
              <w:rPr>
                <w:sz w:val="20"/>
                <w:szCs w:val="20"/>
                <w:color w:val="auto"/>
              </w:rPr>
            </w:pPr>
            <w:r>
              <w:rPr>
                <w:rFonts w:ascii="Arial" w:cs="Arial" w:eastAsia="Arial" w:hAnsi="Arial"/>
                <w:sz w:val="14"/>
                <w:szCs w:val="14"/>
                <w:color w:val="51555C"/>
              </w:rPr>
              <w:t>Add: Global workforce transition costs</w:t>
            </w:r>
            <w:r>
              <w:rPr>
                <w:rFonts w:ascii="Arial" w:cs="Arial" w:eastAsia="Arial" w:hAnsi="Arial"/>
                <w:sz w:val="18"/>
                <w:szCs w:val="18"/>
                <w:color w:val="51555C"/>
                <w:vertAlign w:val="superscript"/>
              </w:rPr>
              <w:t>(1)</w:t>
            </w:r>
          </w:p>
        </w:tc>
        <w:tc>
          <w:tcPr>
            <w:tcW w:w="26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5.4</w:t>
            </w:r>
          </w:p>
        </w:tc>
        <w:tc>
          <w:tcPr>
            <w:tcW w:w="220" w:type="dxa"/>
            <w:vAlign w:val="bottom"/>
          </w:tcPr>
          <w:p>
            <w:pPr>
              <w:spacing w:after="0"/>
              <w:rPr>
                <w:sz w:val="19"/>
                <w:szCs w:val="19"/>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8.4</w:t>
            </w:r>
          </w:p>
        </w:tc>
        <w:tc>
          <w:tcPr>
            <w:tcW w:w="240" w:type="dxa"/>
            <w:vAlign w:val="bottom"/>
          </w:tcPr>
          <w:p>
            <w:pPr>
              <w:spacing w:after="0"/>
              <w:rPr>
                <w:sz w:val="19"/>
                <w:szCs w:val="19"/>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w:t>
            </w:r>
          </w:p>
        </w:tc>
      </w:tr>
      <w:tr>
        <w:trPr>
          <w:trHeight w:val="230"/>
        </w:trPr>
        <w:tc>
          <w:tcPr>
            <w:tcW w:w="574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(3)</w:t>
            </w:r>
          </w:p>
        </w:tc>
        <w:tc>
          <w:tcPr>
            <w:tcW w:w="2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0.2</w:t>
            </w:r>
          </w:p>
        </w:tc>
        <w:tc>
          <w:tcPr>
            <w:tcW w:w="220" w:type="dxa"/>
            <w:vAlign w:val="bottom"/>
            <w:shd w:val="clear" w:color="auto" w:fill="EBFBFF"/>
          </w:tcPr>
          <w:p>
            <w:pPr>
              <w:spacing w:after="0"/>
              <w:rPr>
                <w:sz w:val="19"/>
                <w:szCs w:val="19"/>
                <w:color w:val="auto"/>
              </w:rPr>
            </w:pP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0.4</w:t>
            </w:r>
          </w:p>
        </w:tc>
        <w:tc>
          <w:tcPr>
            <w:tcW w:w="10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1.3</w:t>
            </w:r>
          </w:p>
        </w:tc>
        <w:tc>
          <w:tcPr>
            <w:tcW w:w="240" w:type="dxa"/>
            <w:vAlign w:val="bottom"/>
            <w:shd w:val="clear" w:color="auto" w:fill="EBFBFF"/>
          </w:tcPr>
          <w:p>
            <w:pPr>
              <w:spacing w:after="0"/>
              <w:rPr>
                <w:sz w:val="19"/>
                <w:szCs w:val="19"/>
                <w:color w:val="auto"/>
              </w:rPr>
            </w:pP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25.8</w:t>
            </w:r>
          </w:p>
        </w:tc>
      </w:tr>
      <w:tr>
        <w:trPr>
          <w:trHeight w:val="208"/>
        </w:trPr>
        <w:tc>
          <w:tcPr>
            <w:tcW w:w="5740" w:type="dxa"/>
            <w:vAlign w:val="bottom"/>
          </w:tcPr>
          <w:p>
            <w:pPr>
              <w:ind w:left="140"/>
              <w:spacing w:after="0"/>
              <w:rPr>
                <w:sz w:val="20"/>
                <w:szCs w:val="20"/>
                <w:color w:val="auto"/>
              </w:rPr>
            </w:pPr>
            <w:r>
              <w:rPr>
                <w:rFonts w:ascii="Arial" w:cs="Arial" w:eastAsia="Arial" w:hAnsi="Arial"/>
                <w:sz w:val="14"/>
                <w:szCs w:val="14"/>
                <w:color w:val="51555C"/>
              </w:rPr>
              <w:t>Add: Security Incident-related costs</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0.9</w:t>
            </w:r>
          </w:p>
        </w:tc>
        <w:tc>
          <w:tcPr>
            <w:tcW w:w="2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0.9</w:t>
            </w:r>
          </w:p>
        </w:tc>
        <w:tc>
          <w:tcPr>
            <w:tcW w:w="2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2.8</w:t>
            </w:r>
          </w:p>
        </w:tc>
      </w:tr>
      <w:tr>
        <w:trPr>
          <w:trHeight w:val="22"/>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5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260" w:type="dxa"/>
            <w:vAlign w:val="bottom"/>
            <w:tcBorders>
              <w:bottom w:val="single" w:sz="8" w:color="EBFBFF"/>
            </w:tcBorders>
            <w:shd w:val="clear" w:color="auto" w:fill="EBFBFF"/>
          </w:tcPr>
          <w:p>
            <w:pPr>
              <w:spacing w:after="0"/>
              <w:rPr>
                <w:sz w:val="19"/>
                <w:szCs w:val="19"/>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20" w:type="dxa"/>
            <w:vAlign w:val="bottom"/>
            <w:tcBorders>
              <w:bottom w:val="single" w:sz="8" w:color="EBFBFF"/>
            </w:tcBorders>
            <w:shd w:val="clear" w:color="auto" w:fill="EBFBFF"/>
          </w:tcPr>
          <w:p>
            <w:pPr>
              <w:spacing w:after="0"/>
              <w:rPr>
                <w:sz w:val="19"/>
                <w:szCs w:val="19"/>
                <w:color w:val="auto"/>
              </w:rPr>
            </w:pPr>
          </w:p>
        </w:tc>
        <w:tc>
          <w:tcPr>
            <w:tcW w:w="11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260" w:type="dxa"/>
            <w:vAlign w:val="bottom"/>
            <w:tcBorders>
              <w:bottom w:val="single" w:sz="8" w:color="EBFBFF"/>
            </w:tcBorders>
            <w:shd w:val="clear" w:color="auto" w:fill="EBFBFF"/>
          </w:tcPr>
          <w:p>
            <w:pPr>
              <w:spacing w:after="0"/>
              <w:rPr>
                <w:sz w:val="19"/>
                <w:szCs w:val="19"/>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1.1</w:t>
            </w:r>
          </w:p>
        </w:tc>
        <w:tc>
          <w:tcPr>
            <w:tcW w:w="24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r>
      <w:tr>
        <w:trPr>
          <w:trHeight w:val="223"/>
        </w:trPr>
        <w:tc>
          <w:tcPr>
            <w:tcW w:w="574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260" w:type="dxa"/>
            <w:vAlign w:val="bottom"/>
            <w:tcBorders>
              <w:top w:val="single" w:sz="8" w:color="51555C"/>
              <w:bottom w:val="single" w:sz="8" w:color="51555C"/>
            </w:tcBorders>
          </w:tcPr>
          <w:p>
            <w:pPr>
              <w:spacing w:after="0"/>
              <w:rPr>
                <w:sz w:val="19"/>
                <w:szCs w:val="19"/>
                <w:color w:val="auto"/>
              </w:rPr>
            </w:pPr>
          </w:p>
        </w:tc>
        <w:tc>
          <w:tcPr>
            <w:tcW w:w="108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34.6</w:t>
            </w:r>
          </w:p>
        </w:tc>
        <w:tc>
          <w:tcPr>
            <w:tcW w:w="220" w:type="dxa"/>
            <w:vAlign w:val="bottom"/>
            <w:tcBorders>
              <w:top w:val="single" w:sz="8" w:color="51555C"/>
              <w:bottom w:val="single" w:sz="8" w:color="51555C"/>
            </w:tcBorders>
          </w:tcPr>
          <w:p>
            <w:pPr>
              <w:spacing w:after="0"/>
              <w:rPr>
                <w:sz w:val="19"/>
                <w:szCs w:val="19"/>
                <w:color w:val="auto"/>
              </w:rPr>
            </w:pPr>
          </w:p>
        </w:tc>
        <w:tc>
          <w:tcPr>
            <w:tcW w:w="1140" w:type="dxa"/>
            <w:vAlign w:val="bottom"/>
            <w:tcBorders>
              <w:top w:val="single" w:sz="8" w:color="51555C"/>
              <w:bottom w:val="single" w:sz="8" w:color="51555C"/>
            </w:tcBorders>
          </w:tcPr>
          <w:p>
            <w:pPr>
              <w:jc w:val="right"/>
              <w:ind w:right="128"/>
              <w:spacing w:after="0"/>
              <w:rPr>
                <w:sz w:val="20"/>
                <w:szCs w:val="20"/>
                <w:color w:val="auto"/>
              </w:rPr>
            </w:pPr>
            <w:r>
              <w:rPr>
                <w:rFonts w:ascii="Arial" w:cs="Arial" w:eastAsia="Arial" w:hAnsi="Arial"/>
                <w:sz w:val="14"/>
                <w:szCs w:val="14"/>
                <w:color w:val="51555C"/>
              </w:rPr>
              <w:t>29.4</w:t>
            </w:r>
          </w:p>
        </w:tc>
        <w:tc>
          <w:tcPr>
            <w:tcW w:w="100" w:type="dxa"/>
            <w:vAlign w:val="bottom"/>
            <w:tcBorders>
              <w:bottom w:val="single" w:sz="8" w:color="EBFBFF"/>
            </w:tcBorders>
          </w:tcPr>
          <w:p>
            <w:pPr>
              <w:spacing w:after="0"/>
              <w:rPr>
                <w:sz w:val="19"/>
                <w:szCs w:val="19"/>
                <w:color w:val="auto"/>
              </w:rPr>
            </w:pPr>
          </w:p>
        </w:tc>
        <w:tc>
          <w:tcPr>
            <w:tcW w:w="260" w:type="dxa"/>
            <w:vAlign w:val="bottom"/>
            <w:tcBorders>
              <w:top w:val="single" w:sz="8" w:color="51555C"/>
              <w:bottom w:val="single" w:sz="8" w:color="51555C"/>
            </w:tcBorders>
          </w:tcPr>
          <w:p>
            <w:pPr>
              <w:spacing w:after="0"/>
              <w:rPr>
                <w:sz w:val="19"/>
                <w:szCs w:val="19"/>
                <w:color w:val="auto"/>
              </w:rPr>
            </w:pPr>
          </w:p>
        </w:tc>
        <w:tc>
          <w:tcPr>
            <w:tcW w:w="108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99.1</w:t>
            </w:r>
          </w:p>
        </w:tc>
        <w:tc>
          <w:tcPr>
            <w:tcW w:w="240" w:type="dxa"/>
            <w:vAlign w:val="bottom"/>
            <w:tcBorders>
              <w:top w:val="single" w:sz="8" w:color="51555C"/>
              <w:bottom w:val="single" w:sz="8" w:color="51555C"/>
            </w:tcBorders>
          </w:tcPr>
          <w:p>
            <w:pPr>
              <w:spacing w:after="0"/>
              <w:rPr>
                <w:sz w:val="19"/>
                <w:szCs w:val="19"/>
                <w:color w:val="auto"/>
              </w:rPr>
            </w:pPr>
          </w:p>
        </w:tc>
        <w:tc>
          <w:tcPr>
            <w:tcW w:w="112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124.1</w:t>
            </w:r>
          </w:p>
        </w:tc>
      </w:tr>
      <w:tr>
        <w:trPr>
          <w:trHeight w:val="223"/>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income from operations</w:t>
            </w:r>
            <w:r>
              <w:rPr>
                <w:rFonts w:ascii="Arial" w:cs="Arial" w:eastAsia="Arial" w:hAnsi="Arial"/>
                <w:sz w:val="18"/>
                <w:szCs w:val="18"/>
                <w:b w:val="1"/>
                <w:bCs w:val="1"/>
                <w:color w:val="51555C"/>
                <w:vertAlign w:val="superscript"/>
              </w:rPr>
              <w:t>(2)</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94.6</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84.0</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272.5</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255.8</w:t>
            </w:r>
          </w:p>
        </w:tc>
      </w:tr>
      <w:tr>
        <w:trPr>
          <w:trHeight w:val="215"/>
        </w:trPr>
        <w:tc>
          <w:tcPr>
            <w:tcW w:w="5740" w:type="dxa"/>
            <w:vAlign w:val="bottom"/>
          </w:tcPr>
          <w:p>
            <w:pPr>
              <w:ind w:left="140"/>
              <w:spacing w:after="0"/>
              <w:rPr>
                <w:sz w:val="20"/>
                <w:szCs w:val="20"/>
                <w:color w:val="auto"/>
              </w:rPr>
            </w:pPr>
            <w:r>
              <w:rPr>
                <w:rFonts w:ascii="Arial" w:cs="Arial" w:eastAsia="Arial" w:hAnsi="Arial"/>
                <w:sz w:val="14"/>
                <w:szCs w:val="14"/>
                <w:b w:val="1"/>
                <w:bCs w:val="1"/>
                <w:color w:val="51555C"/>
              </w:rPr>
              <w:t>Non-GAAP operating margin</w:t>
            </w:r>
          </w:p>
        </w:tc>
        <w:tc>
          <w:tcPr>
            <w:tcW w:w="2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32.3 %</w:t>
            </w:r>
          </w:p>
        </w:tc>
        <w:tc>
          <w:tcPr>
            <w:tcW w:w="220" w:type="dxa"/>
            <w:vAlign w:val="bottom"/>
            <w:tcBorders>
              <w:top w:val="single" w:sz="8" w:color="51555C"/>
            </w:tcBorders>
          </w:tcPr>
          <w:p>
            <w:pPr>
              <w:spacing w:after="0"/>
              <w:rPr>
                <w:sz w:val="18"/>
                <w:szCs w:val="18"/>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29.9 %</w:t>
            </w:r>
          </w:p>
        </w:tc>
        <w:tc>
          <w:tcPr>
            <w:tcW w:w="100" w:type="dxa"/>
            <w:vAlign w:val="bottom"/>
          </w:tcPr>
          <w:p>
            <w:pPr>
              <w:spacing w:after="0"/>
              <w:rPr>
                <w:sz w:val="18"/>
                <w:szCs w:val="18"/>
                <w:color w:val="auto"/>
              </w:rPr>
            </w:pPr>
          </w:p>
        </w:tc>
        <w:tc>
          <w:tcPr>
            <w:tcW w:w="2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31.5 %</w:t>
            </w:r>
          </w:p>
        </w:tc>
        <w:tc>
          <w:tcPr>
            <w:tcW w:w="240" w:type="dxa"/>
            <w:vAlign w:val="bottom"/>
            <w:tcBorders>
              <w:top w:val="single" w:sz="8" w:color="51555C"/>
            </w:tcBorders>
          </w:tcPr>
          <w:p>
            <w:pPr>
              <w:spacing w:after="0"/>
              <w:rPr>
                <w:sz w:val="18"/>
                <w:szCs w:val="18"/>
                <w:color w:val="auto"/>
              </w:rPr>
            </w:pP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30.7 %</w:t>
            </w:r>
          </w:p>
        </w:tc>
      </w:tr>
      <w:tr>
        <w:trPr>
          <w:trHeight w:val="62"/>
        </w:trPr>
        <w:tc>
          <w:tcPr>
            <w:tcW w:w="5740" w:type="dxa"/>
            <w:vAlign w:val="bottom"/>
            <w:shd w:val="clear" w:color="auto" w:fill="EBFBFF"/>
          </w:tcPr>
          <w:p>
            <w:pPr>
              <w:spacing w:after="0"/>
              <w:rPr>
                <w:sz w:val="5"/>
                <w:szCs w:val="5"/>
                <w:color w:val="auto"/>
              </w:rPr>
            </w:pPr>
          </w:p>
        </w:tc>
        <w:tc>
          <w:tcPr>
            <w:tcW w:w="260" w:type="dxa"/>
            <w:vAlign w:val="bottom"/>
            <w:shd w:val="clear" w:color="auto" w:fill="EBFBFF"/>
          </w:tcPr>
          <w:p>
            <w:pPr>
              <w:spacing w:after="0"/>
              <w:rPr>
                <w:sz w:val="5"/>
                <w:szCs w:val="5"/>
                <w:color w:val="auto"/>
              </w:rPr>
            </w:pPr>
          </w:p>
        </w:tc>
        <w:tc>
          <w:tcPr>
            <w:tcW w:w="1080" w:type="dxa"/>
            <w:vAlign w:val="bottom"/>
            <w:shd w:val="clear" w:color="auto" w:fill="EBFBFF"/>
          </w:tcPr>
          <w:p>
            <w:pPr>
              <w:spacing w:after="0"/>
              <w:rPr>
                <w:sz w:val="5"/>
                <w:szCs w:val="5"/>
                <w:color w:val="auto"/>
              </w:rPr>
            </w:pPr>
          </w:p>
        </w:tc>
        <w:tc>
          <w:tcPr>
            <w:tcW w:w="220" w:type="dxa"/>
            <w:vAlign w:val="bottom"/>
            <w:shd w:val="clear" w:color="auto" w:fill="EBFBFF"/>
          </w:tcPr>
          <w:p>
            <w:pPr>
              <w:spacing w:after="0"/>
              <w:rPr>
                <w:sz w:val="5"/>
                <w:szCs w:val="5"/>
                <w:color w:val="auto"/>
              </w:rPr>
            </w:pPr>
          </w:p>
        </w:tc>
        <w:tc>
          <w:tcPr>
            <w:tcW w:w="1140" w:type="dxa"/>
            <w:vAlign w:val="bottom"/>
            <w:shd w:val="clear" w:color="auto" w:fill="EBFBFF"/>
          </w:tcPr>
          <w:p>
            <w:pPr>
              <w:spacing w:after="0"/>
              <w:rPr>
                <w:sz w:val="5"/>
                <w:szCs w:val="5"/>
                <w:color w:val="auto"/>
              </w:rPr>
            </w:pPr>
          </w:p>
        </w:tc>
        <w:tc>
          <w:tcPr>
            <w:tcW w:w="100" w:type="dxa"/>
            <w:vAlign w:val="bottom"/>
            <w:shd w:val="clear" w:color="auto" w:fill="EBFBFF"/>
          </w:tcPr>
          <w:p>
            <w:pPr>
              <w:spacing w:after="0"/>
              <w:rPr>
                <w:sz w:val="5"/>
                <w:szCs w:val="5"/>
                <w:color w:val="auto"/>
              </w:rPr>
            </w:pPr>
          </w:p>
        </w:tc>
        <w:tc>
          <w:tcPr>
            <w:tcW w:w="260" w:type="dxa"/>
            <w:vAlign w:val="bottom"/>
            <w:shd w:val="clear" w:color="auto" w:fill="EBFBFF"/>
          </w:tcPr>
          <w:p>
            <w:pPr>
              <w:spacing w:after="0"/>
              <w:rPr>
                <w:sz w:val="5"/>
                <w:szCs w:val="5"/>
                <w:color w:val="auto"/>
              </w:rPr>
            </w:pPr>
          </w:p>
        </w:tc>
        <w:tc>
          <w:tcPr>
            <w:tcW w:w="1080" w:type="dxa"/>
            <w:vAlign w:val="bottom"/>
            <w:shd w:val="clear" w:color="auto" w:fill="EBFBFF"/>
          </w:tcPr>
          <w:p>
            <w:pPr>
              <w:spacing w:after="0"/>
              <w:rPr>
                <w:sz w:val="5"/>
                <w:szCs w:val="5"/>
                <w:color w:val="auto"/>
              </w:rPr>
            </w:pPr>
          </w:p>
        </w:tc>
        <w:tc>
          <w:tcPr>
            <w:tcW w:w="240" w:type="dxa"/>
            <w:vAlign w:val="bottom"/>
            <w:shd w:val="clear" w:color="auto" w:fill="EBFBFF"/>
          </w:tcPr>
          <w:p>
            <w:pPr>
              <w:spacing w:after="0"/>
              <w:rPr>
                <w:sz w:val="5"/>
                <w:szCs w:val="5"/>
                <w:color w:val="auto"/>
              </w:rPr>
            </w:pPr>
          </w:p>
        </w:tc>
        <w:tc>
          <w:tcPr>
            <w:tcW w:w="1120" w:type="dxa"/>
            <w:vAlign w:val="bottom"/>
            <w:shd w:val="clear" w:color="auto" w:fill="EBFBFF"/>
          </w:tcPr>
          <w:p>
            <w:pPr>
              <w:spacing w:after="0"/>
              <w:rPr>
                <w:sz w:val="5"/>
                <w:szCs w:val="5"/>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4"/>
                <w:szCs w:val="14"/>
                <w:b w:val="1"/>
                <w:bCs w:val="1"/>
                <w:color w:val="51555C"/>
              </w:rPr>
              <w:t>GAAP income before provision (benefit)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46.4</w:t>
            </w:r>
          </w:p>
        </w:tc>
        <w:tc>
          <w:tcPr>
            <w:tcW w:w="220" w:type="dxa"/>
            <w:vAlign w:val="bottom"/>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41.0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130.7</w:t>
            </w:r>
          </w:p>
        </w:tc>
        <w:tc>
          <w:tcPr>
            <w:tcW w:w="240" w:type="dxa"/>
            <w:vAlign w:val="bottom"/>
          </w:tcPr>
          <w:p>
            <w:pPr>
              <w:ind w:left="20"/>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86.0</w:t>
            </w:r>
          </w:p>
        </w:tc>
      </w:tr>
      <w:tr>
        <w:trPr>
          <w:trHeight w:val="237"/>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income</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46.1</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47.5</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112.6</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78.3</w:t>
            </w:r>
          </w:p>
        </w:tc>
      </w:tr>
      <w:tr>
        <w:trPr>
          <w:trHeight w:val="208"/>
        </w:trPr>
        <w:tc>
          <w:tcPr>
            <w:tcW w:w="5740" w:type="dxa"/>
            <w:vAlign w:val="bottom"/>
          </w:tcPr>
          <w:p>
            <w:pPr>
              <w:ind w:left="20"/>
              <w:spacing w:after="0"/>
              <w:rPr>
                <w:sz w:val="20"/>
                <w:szCs w:val="20"/>
                <w:color w:val="auto"/>
              </w:rPr>
            </w:pPr>
            <w:r>
              <w:rPr>
                <w:rFonts w:ascii="Arial" w:cs="Arial" w:eastAsia="Arial" w:hAnsi="Arial"/>
                <w:sz w:val="14"/>
                <w:szCs w:val="14"/>
                <w:color w:val="51555C"/>
              </w:rPr>
              <w:t>Shares used in computing GAAP diluted earnings per share</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44,961,588</w:t>
            </w:r>
          </w:p>
        </w:tc>
        <w:tc>
          <w:tcPr>
            <w:tcW w:w="2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48,498,285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45,245,216</w:t>
            </w:r>
          </w:p>
        </w:tc>
        <w:tc>
          <w:tcPr>
            <w:tcW w:w="2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48,634,027</w:t>
            </w:r>
          </w:p>
        </w:tc>
      </w:tr>
      <w:tr>
        <w:trPr>
          <w:trHeight w:val="22"/>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574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GAAP diluted earnings per share</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1.02</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0.98</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2.49</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1.61</w:t>
            </w:r>
          </w:p>
        </w:tc>
      </w:tr>
      <w:tr>
        <w:trPr>
          <w:trHeight w:val="222"/>
        </w:trPr>
        <w:tc>
          <w:tcPr>
            <w:tcW w:w="5740" w:type="dxa"/>
            <w:vAlign w:val="bottom"/>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7"/>
        </w:trPr>
        <w:tc>
          <w:tcPr>
            <w:tcW w:w="5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GAAP income tax provision (benefit)</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0.4</w:t>
            </w:r>
          </w:p>
        </w:tc>
        <w:tc>
          <w:tcPr>
            <w:tcW w:w="22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(6.4)</w:t>
            </w:r>
          </w:p>
        </w:tc>
        <w:tc>
          <w:tcPr>
            <w:tcW w:w="10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18.1</w:t>
            </w:r>
          </w:p>
        </w:tc>
        <w:tc>
          <w:tcPr>
            <w:tcW w:w="24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7.7</w:t>
            </w:r>
          </w:p>
        </w:tc>
      </w:tr>
      <w:tr>
        <w:trPr>
          <w:trHeight w:val="208"/>
        </w:trPr>
        <w:tc>
          <w:tcPr>
            <w:tcW w:w="5740" w:type="dxa"/>
            <w:vAlign w:val="bottom"/>
          </w:tcPr>
          <w:p>
            <w:pPr>
              <w:ind w:left="140"/>
              <w:spacing w:after="0"/>
              <w:rPr>
                <w:sz w:val="20"/>
                <w:szCs w:val="20"/>
                <w:color w:val="auto"/>
              </w:rPr>
            </w:pPr>
            <w:r>
              <w:rPr>
                <w:rFonts w:ascii="Arial" w:cs="Arial" w:eastAsia="Arial" w:hAnsi="Arial"/>
                <w:sz w:val="14"/>
                <w:szCs w:val="14"/>
                <w:color w:val="51555C"/>
              </w:rPr>
              <w:t>Add: Total non-GAAP adjustments affecting income from operations</w:t>
            </w: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34.6</w:t>
            </w:r>
          </w:p>
        </w:tc>
        <w:tc>
          <w:tcPr>
            <w:tcW w:w="2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51555C"/>
              </w:rPr>
              <w:t>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99.1</w:t>
            </w:r>
          </w:p>
        </w:tc>
        <w:tc>
          <w:tcPr>
            <w:tcW w:w="24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124.1</w:t>
            </w:r>
          </w:p>
        </w:tc>
      </w:tr>
      <w:tr>
        <w:trPr>
          <w:trHeight w:val="22"/>
        </w:trPr>
        <w:tc>
          <w:tcPr>
            <w:tcW w:w="5740" w:type="dxa"/>
            <w:vAlign w:val="bottom"/>
            <w:tcBorders>
              <w:bottom w:val="single" w:sz="8" w:color="EBFBFF"/>
            </w:tcBorders>
          </w:tcPr>
          <w:p>
            <w:pPr>
              <w:spacing w:after="0" w:line="20" w:lineRule="exact"/>
              <w:rPr>
                <w:sz w:val="1"/>
                <w:szCs w:val="1"/>
                <w:color w:val="auto"/>
              </w:rPr>
            </w:pPr>
          </w:p>
        </w:tc>
        <w:tc>
          <w:tcPr>
            <w:tcW w:w="260" w:type="dxa"/>
            <w:vAlign w:val="bottom"/>
            <w:tcBorders>
              <w:bottom w:val="single" w:sz="8" w:color="51555C"/>
            </w:tcBorders>
          </w:tcPr>
          <w:p>
            <w:pPr>
              <w:spacing w:after="0" w:line="20" w:lineRule="exact"/>
              <w:rPr>
                <w:sz w:val="1"/>
                <w:szCs w:val="1"/>
                <w:color w:val="auto"/>
              </w:rPr>
            </w:pPr>
          </w:p>
        </w:tc>
        <w:tc>
          <w:tcPr>
            <w:tcW w:w="108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140" w:type="dxa"/>
            <w:vAlign w:val="bottom"/>
            <w:tcBorders>
              <w:bottom w:val="single" w:sz="8" w:color="51555C"/>
            </w:tcBorders>
          </w:tcPr>
          <w:p>
            <w:pPr>
              <w:spacing w:after="0" w:line="20" w:lineRule="exact"/>
              <w:rPr>
                <w:sz w:val="1"/>
                <w:szCs w:val="1"/>
                <w:color w:val="auto"/>
              </w:rPr>
            </w:pPr>
          </w:p>
        </w:tc>
        <w:tc>
          <w:tcPr>
            <w:tcW w:w="100" w:type="dxa"/>
            <w:vAlign w:val="bottom"/>
            <w:tcBorders>
              <w:bottom w:val="single" w:sz="8" w:color="EBFBFF"/>
            </w:tcBorders>
          </w:tcPr>
          <w:p>
            <w:pPr>
              <w:spacing w:after="0" w:line="20" w:lineRule="exact"/>
              <w:rPr>
                <w:sz w:val="1"/>
                <w:szCs w:val="1"/>
                <w:color w:val="auto"/>
              </w:rPr>
            </w:pPr>
          </w:p>
        </w:tc>
        <w:tc>
          <w:tcPr>
            <w:tcW w:w="260" w:type="dxa"/>
            <w:vAlign w:val="bottom"/>
            <w:tcBorders>
              <w:bottom w:val="single" w:sz="8" w:color="51555C"/>
            </w:tcBorders>
          </w:tcPr>
          <w:p>
            <w:pPr>
              <w:spacing w:after="0" w:line="20" w:lineRule="exact"/>
              <w:rPr>
                <w:sz w:val="1"/>
                <w:szCs w:val="1"/>
                <w:color w:val="auto"/>
              </w:rPr>
            </w:pPr>
          </w:p>
        </w:tc>
        <w:tc>
          <w:tcPr>
            <w:tcW w:w="1080" w:type="dxa"/>
            <w:vAlign w:val="bottom"/>
            <w:tcBorders>
              <w:bottom w:val="single" w:sz="8" w:color="51555C"/>
            </w:tcBorders>
          </w:tcPr>
          <w:p>
            <w:pPr>
              <w:spacing w:after="0" w:line="20" w:lineRule="exact"/>
              <w:rPr>
                <w:sz w:val="1"/>
                <w:szCs w:val="1"/>
                <w:color w:val="auto"/>
              </w:rPr>
            </w:pPr>
          </w:p>
        </w:tc>
        <w:tc>
          <w:tcPr>
            <w:tcW w:w="240" w:type="dxa"/>
            <w:vAlign w:val="bottom"/>
            <w:tcBorders>
              <w:bottom w:val="single" w:sz="8" w:color="51555C"/>
            </w:tcBorders>
          </w:tcPr>
          <w:p>
            <w:pPr>
              <w:spacing w:after="0" w:line="20" w:lineRule="exact"/>
              <w:rPr>
                <w:sz w:val="1"/>
                <w:szCs w:val="1"/>
                <w:color w:val="auto"/>
              </w:rPr>
            </w:pPr>
          </w:p>
        </w:tc>
        <w:tc>
          <w:tcPr>
            <w:tcW w:w="1120" w:type="dxa"/>
            <w:vAlign w:val="bottom"/>
            <w:tcBorders>
              <w:bottom w:val="single" w:sz="8" w:color="51555C"/>
            </w:tcBorders>
          </w:tcPr>
          <w:p>
            <w:pPr>
              <w:spacing w:after="0" w:line="20" w:lineRule="exact"/>
              <w:rPr>
                <w:sz w:val="1"/>
                <w:szCs w:val="1"/>
                <w:color w:val="auto"/>
              </w:rPr>
            </w:pPr>
          </w:p>
        </w:tc>
      </w:tr>
      <w:tr>
        <w:trPr>
          <w:trHeight w:val="223"/>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r>
              <w:rPr>
                <w:rFonts w:ascii="Arial" w:cs="Arial" w:eastAsia="Arial" w:hAnsi="Arial"/>
                <w:sz w:val="18"/>
                <w:szCs w:val="18"/>
                <w:b w:val="1"/>
                <w:bCs w:val="1"/>
                <w:color w:val="51555C"/>
                <w:vertAlign w:val="superscript"/>
              </w:rPr>
              <w:t>(2)</w:t>
            </w:r>
          </w:p>
        </w:tc>
        <w:tc>
          <w:tcPr>
            <w:tcW w:w="2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81.1</w:t>
            </w:r>
          </w:p>
        </w:tc>
        <w:tc>
          <w:tcPr>
            <w:tcW w:w="220" w:type="dxa"/>
            <w:vAlign w:val="bottom"/>
            <w:shd w:val="clear" w:color="auto" w:fill="EBFBFF"/>
          </w:tcPr>
          <w:p>
            <w:pPr>
              <w:spacing w:after="0"/>
              <w:rPr>
                <w:sz w:val="19"/>
                <w:szCs w:val="19"/>
                <w:color w:val="auto"/>
              </w:rPr>
            </w:pP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70.5</w:t>
            </w:r>
          </w:p>
        </w:tc>
        <w:tc>
          <w:tcPr>
            <w:tcW w:w="10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229.8</w:t>
            </w:r>
          </w:p>
        </w:tc>
        <w:tc>
          <w:tcPr>
            <w:tcW w:w="240" w:type="dxa"/>
            <w:vAlign w:val="bottom"/>
            <w:shd w:val="clear" w:color="auto" w:fill="EBFBFF"/>
          </w:tcPr>
          <w:p>
            <w:pPr>
              <w:spacing w:after="0"/>
              <w:rPr>
                <w:sz w:val="19"/>
                <w:szCs w:val="19"/>
                <w:color w:val="auto"/>
              </w:rPr>
            </w:pP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210.1</w:t>
            </w:r>
          </w:p>
        </w:tc>
      </w:tr>
      <w:tr>
        <w:trPr>
          <w:trHeight w:val="230"/>
        </w:trPr>
        <w:tc>
          <w:tcPr>
            <w:tcW w:w="574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(4)</w:t>
            </w:r>
          </w:p>
        </w:tc>
        <w:tc>
          <w:tcPr>
            <w:tcW w:w="2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19.9</w:t>
            </w:r>
          </w:p>
        </w:tc>
        <w:tc>
          <w:tcPr>
            <w:tcW w:w="220" w:type="dxa"/>
            <w:vAlign w:val="bottom"/>
            <w:tcBorders>
              <w:bottom w:val="single" w:sz="8" w:color="51555C"/>
            </w:tcBorders>
          </w:tcPr>
          <w:p>
            <w:pPr>
              <w:spacing w:after="0"/>
              <w:rPr>
                <w:sz w:val="19"/>
                <w:szCs w:val="19"/>
                <w:color w:val="auto"/>
              </w:rPr>
            </w:pPr>
          </w:p>
        </w:tc>
        <w:tc>
          <w:tcPr>
            <w:tcW w:w="114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17.3</w:t>
            </w:r>
          </w:p>
        </w:tc>
        <w:tc>
          <w:tcPr>
            <w:tcW w:w="100" w:type="dxa"/>
            <w:vAlign w:val="bottom"/>
            <w:tcBorders>
              <w:bottom w:val="single" w:sz="8" w:color="EBFBFF"/>
            </w:tcBorders>
          </w:tcPr>
          <w:p>
            <w:pPr>
              <w:spacing w:after="0"/>
              <w:rPr>
                <w:sz w:val="19"/>
                <w:szCs w:val="19"/>
                <w:color w:val="auto"/>
              </w:rPr>
            </w:pPr>
          </w:p>
        </w:tc>
        <w:tc>
          <w:tcPr>
            <w:tcW w:w="2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56.3</w:t>
            </w:r>
          </w:p>
        </w:tc>
        <w:tc>
          <w:tcPr>
            <w:tcW w:w="240" w:type="dxa"/>
            <w:vAlign w:val="bottom"/>
            <w:tcBorders>
              <w:bottom w:val="single" w:sz="8" w:color="51555C"/>
            </w:tcBorders>
          </w:tcPr>
          <w:p>
            <w:pPr>
              <w:spacing w:after="0"/>
              <w:rPr>
                <w:sz w:val="19"/>
                <w:szCs w:val="19"/>
                <w:color w:val="auto"/>
              </w:rPr>
            </w:pP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51.5</w:t>
            </w:r>
          </w:p>
        </w:tc>
      </w:tr>
      <w:tr>
        <w:trPr>
          <w:trHeight w:val="223"/>
        </w:trPr>
        <w:tc>
          <w:tcPr>
            <w:tcW w:w="574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net income</w:t>
            </w:r>
            <w:r>
              <w:rPr>
                <w:rFonts w:ascii="Arial" w:cs="Arial" w:eastAsia="Arial" w:hAnsi="Arial"/>
                <w:sz w:val="18"/>
                <w:szCs w:val="18"/>
                <w:b w:val="1"/>
                <w:bCs w:val="1"/>
                <w:color w:val="51555C"/>
                <w:vertAlign w:val="superscript"/>
              </w:rPr>
              <w:t>(2)</w:t>
            </w:r>
          </w:p>
        </w:tc>
        <w:tc>
          <w:tcPr>
            <w:tcW w:w="2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61.2</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53.2</w:t>
            </w:r>
          </w:p>
        </w:tc>
        <w:tc>
          <w:tcPr>
            <w:tcW w:w="360" w:type="dxa"/>
            <w:vAlign w:val="bottom"/>
            <w:gridSpan w:val="2"/>
            <w:shd w:val="clear" w:color="auto" w:fill="EBFBFF"/>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173.5</w:t>
            </w:r>
          </w:p>
        </w:tc>
        <w:tc>
          <w:tcPr>
            <w:tcW w:w="24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158.6</w:t>
            </w:r>
          </w:p>
        </w:tc>
      </w:tr>
      <w:tr>
        <w:trPr>
          <w:trHeight w:val="34"/>
        </w:trPr>
        <w:tc>
          <w:tcPr>
            <w:tcW w:w="5740" w:type="dxa"/>
            <w:vAlign w:val="bottom"/>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080" w:type="dxa"/>
            <w:vAlign w:val="bottom"/>
            <w:tcBorders>
              <w:top w:val="single" w:sz="8" w:color="51555C"/>
            </w:tcBorders>
          </w:tcPr>
          <w:p>
            <w:pPr>
              <w:spacing w:after="0"/>
              <w:rPr>
                <w:sz w:val="2"/>
                <w:szCs w:val="2"/>
                <w:color w:val="auto"/>
              </w:rPr>
            </w:pPr>
          </w:p>
        </w:tc>
        <w:tc>
          <w:tcPr>
            <w:tcW w:w="220" w:type="dxa"/>
            <w:vAlign w:val="bottom"/>
            <w:tcBorders>
              <w:top w:val="single" w:sz="8" w:color="51555C"/>
            </w:tcBorders>
          </w:tcPr>
          <w:p>
            <w:pPr>
              <w:spacing w:after="0"/>
              <w:rPr>
                <w:sz w:val="2"/>
                <w:szCs w:val="2"/>
                <w:color w:val="auto"/>
              </w:rPr>
            </w:pPr>
          </w:p>
        </w:tc>
        <w:tc>
          <w:tcPr>
            <w:tcW w:w="1140" w:type="dxa"/>
            <w:vAlign w:val="bottom"/>
            <w:tcBorders>
              <w:top w:val="single" w:sz="8" w:color="51555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080" w:type="dxa"/>
            <w:vAlign w:val="bottom"/>
            <w:tcBorders>
              <w:top w:val="single" w:sz="8" w:color="51555C"/>
            </w:tcBorders>
          </w:tcPr>
          <w:p>
            <w:pPr>
              <w:spacing w:after="0"/>
              <w:rPr>
                <w:sz w:val="2"/>
                <w:szCs w:val="2"/>
                <w:color w:val="auto"/>
              </w:rPr>
            </w:pPr>
          </w:p>
        </w:tc>
        <w:tc>
          <w:tcPr>
            <w:tcW w:w="240" w:type="dxa"/>
            <w:vAlign w:val="bottom"/>
            <w:tcBorders>
              <w:top w:val="single" w:sz="8" w:color="51555C"/>
            </w:tcBorders>
          </w:tcPr>
          <w:p>
            <w:pPr>
              <w:spacing w:after="0"/>
              <w:rPr>
                <w:sz w:val="2"/>
                <w:szCs w:val="2"/>
                <w:color w:val="auto"/>
              </w:rPr>
            </w:pPr>
          </w:p>
        </w:tc>
        <w:tc>
          <w:tcPr>
            <w:tcW w:w="1120" w:type="dxa"/>
            <w:vAlign w:val="bottom"/>
            <w:tcBorders>
              <w:top w:val="single" w:sz="8" w:color="51555C"/>
            </w:tcBorders>
          </w:tcPr>
          <w:p>
            <w:pPr>
              <w:spacing w:after="0"/>
              <w:rPr>
                <w:sz w:val="2"/>
                <w:szCs w:val="2"/>
                <w:color w:val="auto"/>
              </w:rPr>
            </w:pPr>
          </w:p>
        </w:tc>
      </w:tr>
      <w:tr>
        <w:trPr>
          <w:trHeight w:val="210"/>
        </w:trPr>
        <w:tc>
          <w:tcPr>
            <w:tcW w:w="5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Shares used in computing non-GAAP diluted earnings per share</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44,961,588</w:t>
            </w:r>
          </w:p>
        </w:tc>
        <w:tc>
          <w:tcPr>
            <w:tcW w:w="22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48,498,285</w:t>
            </w:r>
          </w:p>
        </w:tc>
        <w:tc>
          <w:tcPr>
            <w:tcW w:w="10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45,245,216</w:t>
            </w:r>
          </w:p>
        </w:tc>
        <w:tc>
          <w:tcPr>
            <w:tcW w:w="24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48,634,027</w:t>
            </w:r>
          </w:p>
        </w:tc>
      </w:tr>
      <w:tr>
        <w:trPr>
          <w:trHeight w:val="223"/>
        </w:trPr>
        <w:tc>
          <w:tcPr>
            <w:tcW w:w="5740" w:type="dxa"/>
            <w:vAlign w:val="bottom"/>
            <w:tcBorders>
              <w:bottom w:val="single" w:sz="8" w:color="0CD973"/>
            </w:tcBorders>
          </w:tcPr>
          <w:p>
            <w:pPr>
              <w:ind w:left="140"/>
              <w:spacing w:after="0"/>
              <w:rPr>
                <w:sz w:val="20"/>
                <w:szCs w:val="20"/>
                <w:color w:val="auto"/>
              </w:rPr>
            </w:pPr>
            <w:r>
              <w:rPr>
                <w:rFonts w:ascii="Arial" w:cs="Arial" w:eastAsia="Arial" w:hAnsi="Arial"/>
                <w:sz w:val="14"/>
                <w:szCs w:val="14"/>
                <w:b w:val="1"/>
                <w:bCs w:val="1"/>
                <w:color w:val="51555C"/>
              </w:rPr>
              <w:t>Non-GAAP diluted earnings per share</w:t>
            </w:r>
          </w:p>
        </w:tc>
        <w:tc>
          <w:tcPr>
            <w:tcW w:w="260" w:type="dxa"/>
            <w:vAlign w:val="bottom"/>
            <w:tcBorders>
              <w:bottom w:val="single" w:sz="8" w:color="0CD973"/>
            </w:tcBorders>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0CD973"/>
            </w:tcBorders>
          </w:tcPr>
          <w:p>
            <w:pPr>
              <w:jc w:val="right"/>
              <w:ind w:right="108"/>
              <w:spacing w:after="0"/>
              <w:rPr>
                <w:sz w:val="20"/>
                <w:szCs w:val="20"/>
                <w:color w:val="auto"/>
              </w:rPr>
            </w:pPr>
            <w:r>
              <w:rPr>
                <w:rFonts w:ascii="Arial" w:cs="Arial" w:eastAsia="Arial" w:hAnsi="Arial"/>
                <w:sz w:val="14"/>
                <w:szCs w:val="14"/>
                <w:color w:val="51555C"/>
              </w:rPr>
              <w:t>1.36</w:t>
            </w:r>
          </w:p>
        </w:tc>
        <w:tc>
          <w:tcPr>
            <w:tcW w:w="220" w:type="dxa"/>
            <w:vAlign w:val="bottom"/>
            <w:tcBorders>
              <w:bottom w:val="single" w:sz="8" w:color="0CD973"/>
            </w:tcBorders>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tcBorders>
              <w:bottom w:val="single" w:sz="8" w:color="0CD973"/>
            </w:tcBorders>
          </w:tcPr>
          <w:p>
            <w:pPr>
              <w:jc w:val="right"/>
              <w:ind w:right="128"/>
              <w:spacing w:after="0"/>
              <w:rPr>
                <w:sz w:val="20"/>
                <w:szCs w:val="20"/>
                <w:color w:val="auto"/>
              </w:rPr>
            </w:pPr>
            <w:r>
              <w:rPr>
                <w:rFonts w:ascii="Arial" w:cs="Arial" w:eastAsia="Arial" w:hAnsi="Arial"/>
                <w:sz w:val="14"/>
                <w:szCs w:val="14"/>
                <w:color w:val="51555C"/>
              </w:rPr>
              <w:t>1.10</w:t>
            </w:r>
          </w:p>
        </w:tc>
        <w:tc>
          <w:tcPr>
            <w:tcW w:w="360" w:type="dxa"/>
            <w:vAlign w:val="bottom"/>
            <w:tcBorders>
              <w:bottom w:val="single" w:sz="8" w:color="0CD973"/>
            </w:tcBorders>
            <w:gridSpan w:val="2"/>
          </w:tcPr>
          <w:p>
            <w:pPr>
              <w:jc w:val="right"/>
              <w:ind w:right="160"/>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0CD973"/>
            </w:tcBorders>
          </w:tcPr>
          <w:p>
            <w:pPr>
              <w:jc w:val="right"/>
              <w:ind w:right="108"/>
              <w:spacing w:after="0"/>
              <w:rPr>
                <w:sz w:val="20"/>
                <w:szCs w:val="20"/>
                <w:color w:val="auto"/>
              </w:rPr>
            </w:pPr>
            <w:r>
              <w:rPr>
                <w:rFonts w:ascii="Arial" w:cs="Arial" w:eastAsia="Arial" w:hAnsi="Arial"/>
                <w:sz w:val="14"/>
                <w:szCs w:val="14"/>
                <w:color w:val="51555C"/>
              </w:rPr>
              <w:t>3.83</w:t>
            </w:r>
          </w:p>
        </w:tc>
        <w:tc>
          <w:tcPr>
            <w:tcW w:w="240" w:type="dxa"/>
            <w:vAlign w:val="bottom"/>
            <w:tcBorders>
              <w:bottom w:val="single" w:sz="8" w:color="0CD973"/>
            </w:tcBorders>
          </w:tcPr>
          <w:p>
            <w:pPr>
              <w:ind w:left="20"/>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0CD973"/>
            </w:tcBorders>
          </w:tcPr>
          <w:p>
            <w:pPr>
              <w:jc w:val="right"/>
              <w:ind w:right="108"/>
              <w:spacing w:after="0"/>
              <w:rPr>
                <w:sz w:val="20"/>
                <w:szCs w:val="20"/>
                <w:color w:val="auto"/>
              </w:rPr>
            </w:pPr>
            <w:r>
              <w:rPr>
                <w:rFonts w:ascii="Arial" w:cs="Arial" w:eastAsia="Arial" w:hAnsi="Arial"/>
                <w:sz w:val="14"/>
                <w:szCs w:val="14"/>
                <w:color w:val="51555C"/>
              </w:rPr>
              <w:t>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-5622925</wp:posOffset>
            </wp:positionV>
            <wp:extent cx="3497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Global workforce transition costs represent severance and other costs incurred in connection with actions under our global workforce strategy.</w:t>
      </w:r>
    </w:p>
    <w:p>
      <w:pPr>
        <w:spacing w:after="0" w:line="15"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gross profit, non-GAAP income from operations, non-GAAP income before provision for income taxes or non-GAAP net income due to rounding.</w:t>
      </w:r>
    </w:p>
    <w:p>
      <w:pPr>
        <w:ind w:left="340" w:hanging="332"/>
        <w:spacing w:after="0"/>
        <w:tabs>
          <w:tab w:leader="none" w:pos="340"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Includes charges of $24.3 million incurred during the nine months ended September 30, 2025 related to the release from our lease for office space in Washington, DC.</w:t>
      </w:r>
    </w:p>
    <w:p>
      <w:pPr>
        <w:spacing w:after="0" w:line="14" w:lineRule="exact"/>
        <w:rPr>
          <w:rFonts w:ascii="Arial" w:cs="Arial" w:eastAsia="Arial" w:hAnsi="Arial"/>
          <w:sz w:val="14"/>
          <w:szCs w:val="14"/>
          <w:color w:val="51555C"/>
        </w:rPr>
      </w:pPr>
    </w:p>
    <w:p>
      <w:pPr>
        <w:jc w:val="both"/>
        <w:ind w:left="340" w:hanging="332"/>
        <w:spacing w:after="0" w:line="262" w:lineRule="auto"/>
        <w:tabs>
          <w:tab w:leader="none" w:pos="354" w:val="left"/>
        </w:tabs>
        <w:numPr>
          <w:ilvl w:val="0"/>
          <w:numId w:val="29"/>
        </w:numPr>
        <w:rPr>
          <w:rFonts w:ascii="Arial" w:cs="Arial" w:eastAsia="Arial" w:hAnsi="Arial"/>
          <w:sz w:val="14"/>
          <w:szCs w:val="14"/>
          <w:color w:val="51555C"/>
        </w:rPr>
      </w:pPr>
      <w:r>
        <w:rPr>
          <w:rFonts w:ascii="Arial" w:cs="Arial" w:eastAsia="Arial" w:hAnsi="Arial"/>
          <w:sz w:val="14"/>
          <w:szCs w:val="14"/>
          <w:color w:val="51555C"/>
        </w:rPr>
        <w:t>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210185</wp:posOffset>
            </wp:positionV>
            <wp:extent cx="65976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31</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organic revenue growth</w:t>
      </w:r>
    </w:p>
    <w:p>
      <w:pPr>
        <w:spacing w:after="0" w:line="16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if any.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214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21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6"/>
        </w:trPr>
        <w:tc>
          <w:tcPr>
            <w:tcW w:w="596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0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7"/>
                <w:szCs w:val="17"/>
                <w:color w:val="auto"/>
              </w:rPr>
            </w:pPr>
          </w:p>
        </w:tc>
      </w:tr>
      <w:tr>
        <w:trPr>
          <w:trHeight w:val="374"/>
        </w:trPr>
        <w:tc>
          <w:tcPr>
            <w:tcW w:w="59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24"/>
                <w:szCs w:val="24"/>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4"/>
                <w:szCs w:val="24"/>
                <w:color w:val="auto"/>
              </w:rPr>
            </w:pPr>
          </w:p>
        </w:tc>
        <w:tc>
          <w:tcPr>
            <w:tcW w:w="108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80" w:type="dxa"/>
            <w:vAlign w:val="bottom"/>
            <w:tcBorders>
              <w:bottom w:val="single" w:sz="8" w:color="EBFBFF"/>
            </w:tcBorders>
          </w:tcPr>
          <w:p>
            <w:pPr>
              <w:spacing w:after="0"/>
              <w:rPr>
                <w:sz w:val="24"/>
                <w:szCs w:val="24"/>
                <w:color w:val="auto"/>
              </w:rPr>
            </w:pPr>
          </w:p>
        </w:tc>
        <w:tc>
          <w:tcPr>
            <w:tcW w:w="460" w:type="dxa"/>
            <w:vAlign w:val="bottom"/>
            <w:tcBorders>
              <w:bottom w:val="single" w:sz="8" w:color="004054"/>
            </w:tcBorders>
            <w:shd w:val="clear" w:color="auto" w:fill="004054"/>
          </w:tcPr>
          <w:p>
            <w:pPr>
              <w:spacing w:after="0"/>
              <w:rPr>
                <w:sz w:val="24"/>
                <w:szCs w:val="24"/>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4"/>
                <w:szCs w:val="24"/>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tcBorders>
              <w:bottom w:val="single" w:sz="8" w:color="004054"/>
            </w:tcBorders>
            <w:shd w:val="clear" w:color="auto" w:fill="004054"/>
          </w:tcPr>
          <w:p>
            <w:pPr>
              <w:spacing w:after="0"/>
              <w:rPr>
                <w:sz w:val="24"/>
                <w:szCs w:val="24"/>
                <w:color w:val="auto"/>
              </w:rPr>
            </w:pPr>
          </w:p>
        </w:tc>
      </w:tr>
      <w:tr>
        <w:trPr>
          <w:trHeight w:val="209"/>
        </w:trPr>
        <w:tc>
          <w:tcPr>
            <w:tcW w:w="59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revenue</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292.6</w:t>
            </w:r>
          </w:p>
        </w:tc>
        <w:tc>
          <w:tcPr>
            <w:tcW w:w="1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281.1</w:t>
            </w:r>
          </w:p>
        </w:tc>
        <w:tc>
          <w:tcPr>
            <w:tcW w:w="54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864.4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833.1</w:t>
            </w:r>
          </w:p>
        </w:tc>
        <w:tc>
          <w:tcPr>
            <w:tcW w:w="20" w:type="dxa"/>
            <w:vAlign w:val="bottom"/>
          </w:tcPr>
          <w:p>
            <w:pPr>
              <w:spacing w:after="0"/>
              <w:rPr>
                <w:sz w:val="18"/>
                <w:szCs w:val="18"/>
                <w:color w:val="auto"/>
              </w:rPr>
            </w:pPr>
          </w:p>
        </w:tc>
      </w:tr>
      <w:tr>
        <w:trPr>
          <w:trHeight w:val="222"/>
        </w:trPr>
        <w:tc>
          <w:tcPr>
            <w:tcW w:w="5960" w:type="dxa"/>
            <w:vAlign w:val="bottom"/>
          </w:tcPr>
          <w:p>
            <w:pPr>
              <w:ind w:left="20"/>
              <w:spacing w:after="0"/>
              <w:rPr>
                <w:sz w:val="20"/>
                <w:szCs w:val="20"/>
                <w:color w:val="auto"/>
              </w:rPr>
            </w:pPr>
            <w:r>
              <w:rPr>
                <w:rFonts w:ascii="Arial" w:cs="Arial" w:eastAsia="Arial" w:hAnsi="Arial"/>
                <w:sz w:val="14"/>
                <w:szCs w:val="14"/>
                <w:b w:val="1"/>
                <w:bCs w:val="1"/>
                <w:color w:val="51555C"/>
              </w:rPr>
              <w:t>GAAP revenue growth</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4.1 %</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3.8 %</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9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Less: Non-GAAP revenue from divested businesses</w:t>
            </w:r>
            <w:r>
              <w:rPr>
                <w:rFonts w:ascii="Arial" w:cs="Arial" w:eastAsia="Arial" w:hAnsi="Arial"/>
                <w:sz w:val="18"/>
                <w:szCs w:val="18"/>
                <w:color w:val="51555C"/>
                <w:vertAlign w:val="superscript"/>
              </w:rPr>
              <w:t>(1)</w:t>
            </w:r>
          </w:p>
        </w:tc>
        <w:tc>
          <w:tcPr>
            <w:tcW w:w="460" w:type="dxa"/>
            <w:vAlign w:val="bottom"/>
            <w:tcBorders>
              <w:bottom w:val="single" w:sz="8" w:color="51555C"/>
            </w:tcBorders>
            <w:shd w:val="clear" w:color="auto" w:fill="EBFBFF"/>
          </w:tcPr>
          <w:p>
            <w:pPr>
              <w:spacing w:after="0"/>
              <w:rPr>
                <w:sz w:val="20"/>
                <w:szCs w:val="20"/>
                <w:color w:val="auto"/>
              </w:rPr>
            </w:pPr>
          </w:p>
        </w:tc>
        <w:tc>
          <w:tcPr>
            <w:tcW w:w="90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51555C"/>
            </w:tcBorders>
            <w:shd w:val="clear" w:color="auto" w:fill="EBFBFF"/>
          </w:tcPr>
          <w:p>
            <w:pPr>
              <w:spacing w:after="0"/>
              <w:rPr>
                <w:sz w:val="20"/>
                <w:szCs w:val="20"/>
                <w:color w:val="auto"/>
              </w:rPr>
            </w:pPr>
          </w:p>
        </w:tc>
        <w:tc>
          <w:tcPr>
            <w:tcW w:w="1080" w:type="dxa"/>
            <w:vAlign w:val="bottom"/>
            <w:tcBorders>
              <w:bottom w:val="single" w:sz="8" w:color="51555C"/>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w:t>
            </w:r>
          </w:p>
        </w:tc>
        <w:tc>
          <w:tcPr>
            <w:tcW w:w="80" w:type="dxa"/>
            <w:vAlign w:val="bottom"/>
            <w:shd w:val="clear" w:color="auto" w:fill="EBFBFF"/>
          </w:tcPr>
          <w:p>
            <w:pPr>
              <w:spacing w:after="0"/>
              <w:rPr>
                <w:sz w:val="20"/>
                <w:szCs w:val="20"/>
                <w:color w:val="auto"/>
              </w:rPr>
            </w:pPr>
          </w:p>
        </w:tc>
        <w:tc>
          <w:tcPr>
            <w:tcW w:w="460" w:type="dxa"/>
            <w:vAlign w:val="bottom"/>
            <w:tcBorders>
              <w:bottom w:val="single" w:sz="8" w:color="51555C"/>
            </w:tcBorders>
            <w:shd w:val="clear" w:color="auto" w:fill="EBFBFF"/>
          </w:tcPr>
          <w:p>
            <w:pPr>
              <w:spacing w:after="0"/>
              <w:rPr>
                <w:sz w:val="20"/>
                <w:szCs w:val="20"/>
                <w:color w:val="auto"/>
              </w:rPr>
            </w:pPr>
          </w:p>
        </w:tc>
        <w:tc>
          <w:tcPr>
            <w:tcW w:w="90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51555C"/>
            </w:tcBorders>
            <w:shd w:val="clear" w:color="auto" w:fill="EBFBFF"/>
          </w:tcPr>
          <w:p>
            <w:pPr>
              <w:spacing w:after="0"/>
              <w:rPr>
                <w:sz w:val="20"/>
                <w:szCs w:val="20"/>
                <w:color w:val="auto"/>
              </w:rPr>
            </w:pPr>
          </w:p>
        </w:tc>
        <w:tc>
          <w:tcPr>
            <w:tcW w:w="10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20"/>
                <w:szCs w:val="20"/>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292.6</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281.1</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864.4</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spacing w:after="0"/>
              <w:rPr>
                <w:sz w:val="20"/>
                <w:szCs w:val="20"/>
                <w:color w:val="auto"/>
              </w:rPr>
            </w:pPr>
            <w:r>
              <w:rPr>
                <w:rFonts w:ascii="Arial" w:cs="Arial" w:eastAsia="Arial" w:hAnsi="Arial"/>
                <w:sz w:val="14"/>
                <w:szCs w:val="14"/>
                <w:color w:val="51555C"/>
              </w:rPr>
              <w:t>833.1</w:t>
            </w:r>
          </w:p>
        </w:tc>
        <w:tc>
          <w:tcPr>
            <w:tcW w:w="20" w:type="dxa"/>
            <w:vAlign w:val="bottom"/>
          </w:tcPr>
          <w:p>
            <w:pPr>
              <w:spacing w:after="0"/>
              <w:rPr>
                <w:sz w:val="19"/>
                <w:szCs w:val="19"/>
                <w:color w:val="auto"/>
              </w:rPr>
            </w:pPr>
          </w:p>
        </w:tc>
      </w:tr>
      <w:tr>
        <w:trPr>
          <w:trHeight w:val="223"/>
        </w:trPr>
        <w:tc>
          <w:tcPr>
            <w:tcW w:w="5960" w:type="dxa"/>
            <w:vAlign w:val="bottom"/>
            <w:tcBorders>
              <w:top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revenue growth</w:t>
            </w:r>
          </w:p>
        </w:tc>
        <w:tc>
          <w:tcPr>
            <w:tcW w:w="460" w:type="dxa"/>
            <w:vAlign w:val="bottom"/>
            <w:tcBorders>
              <w:top w:val="single" w:sz="8" w:color="51555C"/>
            </w:tcBorders>
            <w:shd w:val="clear" w:color="auto" w:fill="EBFBFF"/>
          </w:tcPr>
          <w:p>
            <w:pPr>
              <w:spacing w:after="0"/>
              <w:rPr>
                <w:sz w:val="19"/>
                <w:szCs w:val="19"/>
                <w:color w:val="auto"/>
              </w:rPr>
            </w:pPr>
          </w:p>
        </w:tc>
        <w:tc>
          <w:tcPr>
            <w:tcW w:w="900" w:type="dxa"/>
            <w:vAlign w:val="bottom"/>
            <w:tcBorders>
              <w:top w:val="single" w:sz="8" w:color="51555C"/>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4.1 %</w:t>
            </w:r>
          </w:p>
        </w:tc>
        <w:tc>
          <w:tcPr>
            <w:tcW w:w="160" w:type="dxa"/>
            <w:vAlign w:val="bottom"/>
            <w:tcBorders>
              <w:top w:val="single" w:sz="8" w:color="51555C"/>
            </w:tcBorders>
            <w:shd w:val="clear" w:color="auto" w:fill="EBFBFF"/>
          </w:tcPr>
          <w:p>
            <w:pPr>
              <w:spacing w:after="0"/>
              <w:rPr>
                <w:sz w:val="19"/>
                <w:szCs w:val="19"/>
                <w:color w:val="auto"/>
              </w:rPr>
            </w:pPr>
          </w:p>
        </w:tc>
        <w:tc>
          <w:tcPr>
            <w:tcW w:w="1080" w:type="dxa"/>
            <w:vAlign w:val="bottom"/>
            <w:tcBorders>
              <w:top w:val="single" w:sz="8" w:color="51555C"/>
              <w:right w:val="single" w:sz="8" w:color="EBFBFF"/>
            </w:tcBorders>
            <w:shd w:val="clear" w:color="auto" w:fill="EBFBFF"/>
          </w:tcPr>
          <w:p>
            <w:pPr>
              <w:spacing w:after="0"/>
              <w:rPr>
                <w:sz w:val="19"/>
                <w:szCs w:val="19"/>
                <w:color w:val="auto"/>
              </w:rPr>
            </w:pPr>
          </w:p>
        </w:tc>
        <w:tc>
          <w:tcPr>
            <w:tcW w:w="80" w:type="dxa"/>
            <w:vAlign w:val="bottom"/>
            <w:tcBorders>
              <w:top w:val="single" w:sz="8" w:color="EBFBFF"/>
            </w:tcBorders>
            <w:shd w:val="clear" w:color="auto" w:fill="EBFBFF"/>
          </w:tcPr>
          <w:p>
            <w:pPr>
              <w:spacing w:after="0"/>
              <w:rPr>
                <w:sz w:val="19"/>
                <w:szCs w:val="19"/>
                <w:color w:val="auto"/>
              </w:rPr>
            </w:pPr>
          </w:p>
        </w:tc>
        <w:tc>
          <w:tcPr>
            <w:tcW w:w="460" w:type="dxa"/>
            <w:vAlign w:val="bottom"/>
            <w:tcBorders>
              <w:top w:val="single" w:sz="8" w:color="51555C"/>
            </w:tcBorders>
            <w:shd w:val="clear" w:color="auto" w:fill="EBFBFF"/>
          </w:tcPr>
          <w:p>
            <w:pPr>
              <w:spacing w:after="0"/>
              <w:rPr>
                <w:sz w:val="19"/>
                <w:szCs w:val="19"/>
                <w:color w:val="auto"/>
              </w:rPr>
            </w:pPr>
          </w:p>
        </w:tc>
        <w:tc>
          <w:tcPr>
            <w:tcW w:w="900" w:type="dxa"/>
            <w:vAlign w:val="bottom"/>
            <w:tcBorders>
              <w:top w:val="single" w:sz="8" w:color="51555C"/>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3.8 %</w:t>
            </w:r>
          </w:p>
        </w:tc>
        <w:tc>
          <w:tcPr>
            <w:tcW w:w="160" w:type="dxa"/>
            <w:vAlign w:val="bottom"/>
            <w:tcBorders>
              <w:top w:val="single" w:sz="8" w:color="51555C"/>
            </w:tcBorders>
            <w:shd w:val="clear" w:color="auto" w:fill="EBFBFF"/>
          </w:tcPr>
          <w:p>
            <w:pPr>
              <w:spacing w:after="0"/>
              <w:rPr>
                <w:sz w:val="19"/>
                <w:szCs w:val="19"/>
                <w:color w:val="auto"/>
              </w:rPr>
            </w:pPr>
          </w:p>
        </w:tc>
        <w:tc>
          <w:tcPr>
            <w:tcW w:w="1080" w:type="dxa"/>
            <w:vAlign w:val="bottom"/>
            <w:tcBorders>
              <w:top w:val="single" w:sz="8" w:color="51555C"/>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149"/>
        </w:trPr>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(2)</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292.6</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281.1</w:t>
            </w:r>
          </w:p>
        </w:tc>
        <w:tc>
          <w:tcPr>
            <w:tcW w:w="540" w:type="dxa"/>
            <w:vAlign w:val="bottom"/>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864.4</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833.1</w:t>
            </w:r>
          </w:p>
        </w:tc>
        <w:tc>
          <w:tcPr>
            <w:tcW w:w="20" w:type="dxa"/>
            <w:vAlign w:val="bottom"/>
          </w:tcPr>
          <w:p>
            <w:pPr>
              <w:spacing w:after="0"/>
              <w:rPr>
                <w:sz w:val="19"/>
                <w:szCs w:val="19"/>
                <w:color w:val="auto"/>
              </w:rPr>
            </w:pPr>
          </w:p>
        </w:tc>
      </w:tr>
      <w:tr>
        <w:trPr>
          <w:trHeight w:val="230"/>
        </w:trPr>
        <w:tc>
          <w:tcPr>
            <w:tcW w:w="596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Foreign currency impact on non-GAAP organic revenue</w:t>
            </w:r>
            <w:r>
              <w:rPr>
                <w:rFonts w:ascii="Arial" w:cs="Arial" w:eastAsia="Arial" w:hAnsi="Arial"/>
                <w:sz w:val="18"/>
                <w:szCs w:val="18"/>
                <w:color w:val="51555C"/>
                <w:vertAlign w:val="superscript"/>
              </w:rPr>
              <w:t>(3)</w:t>
            </w: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(0.2)</w:t>
            </w:r>
          </w:p>
        </w:tc>
        <w:tc>
          <w:tcPr>
            <w:tcW w:w="1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w:t>
            </w:r>
          </w:p>
        </w:tc>
        <w:tc>
          <w:tcPr>
            <w:tcW w:w="8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(3.2)</w:t>
            </w:r>
          </w:p>
        </w:tc>
        <w:tc>
          <w:tcPr>
            <w:tcW w:w="1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 on constant currency basis</w:t>
            </w:r>
            <w:r>
              <w:rPr>
                <w:rFonts w:ascii="Arial" w:cs="Arial" w:eastAsia="Arial" w:hAnsi="Arial"/>
                <w:sz w:val="18"/>
                <w:szCs w:val="18"/>
                <w:color w:val="51555C"/>
                <w:vertAlign w:val="superscript"/>
              </w:rPr>
              <w:t>(3)</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292.4</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281.1</w:t>
            </w:r>
          </w:p>
        </w:tc>
        <w:tc>
          <w:tcPr>
            <w:tcW w:w="540" w:type="dxa"/>
            <w:vAlign w:val="bottom"/>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861.2</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833.1</w:t>
            </w:r>
          </w:p>
        </w:tc>
        <w:tc>
          <w:tcPr>
            <w:tcW w:w="20" w:type="dxa"/>
            <w:vAlign w:val="bottom"/>
          </w:tcPr>
          <w:p>
            <w:pPr>
              <w:spacing w:after="0"/>
              <w:rPr>
                <w:sz w:val="19"/>
                <w:szCs w:val="19"/>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revenue growth on constant currency basis</w:t>
            </w:r>
          </w:p>
        </w:tc>
        <w:tc>
          <w:tcPr>
            <w:tcW w:w="4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4.0 %</w:t>
            </w:r>
          </w:p>
        </w:tc>
        <w:tc>
          <w:tcPr>
            <w:tcW w:w="1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3.4 %</w:t>
            </w:r>
          </w:p>
        </w:tc>
        <w:tc>
          <w:tcPr>
            <w:tcW w:w="1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5960" w:type="dxa"/>
            <w:vAlign w:val="bottom"/>
            <w:shd w:val="clear" w:color="auto" w:fill="EBFBFF"/>
          </w:tcPr>
          <w:p>
            <w:pPr>
              <w:spacing w:after="0"/>
              <w:rPr>
                <w:sz w:val="13"/>
                <w:szCs w:val="13"/>
                <w:color w:val="auto"/>
              </w:rPr>
            </w:pPr>
          </w:p>
        </w:tc>
        <w:tc>
          <w:tcPr>
            <w:tcW w:w="460" w:type="dxa"/>
            <w:vAlign w:val="bottom"/>
            <w:shd w:val="clear" w:color="auto" w:fill="EBFBFF"/>
          </w:tcPr>
          <w:p>
            <w:pPr>
              <w:spacing w:after="0"/>
              <w:rPr>
                <w:sz w:val="13"/>
                <w:szCs w:val="13"/>
                <w:color w:val="auto"/>
              </w:rPr>
            </w:pPr>
          </w:p>
        </w:tc>
        <w:tc>
          <w:tcPr>
            <w:tcW w:w="900" w:type="dxa"/>
            <w:vAlign w:val="bottom"/>
            <w:shd w:val="clear" w:color="auto" w:fill="EBFBFF"/>
          </w:tcPr>
          <w:p>
            <w:pPr>
              <w:spacing w:after="0"/>
              <w:rPr>
                <w:sz w:val="13"/>
                <w:szCs w:val="13"/>
                <w:color w:val="auto"/>
              </w:rPr>
            </w:pPr>
          </w:p>
        </w:tc>
        <w:tc>
          <w:tcPr>
            <w:tcW w:w="160" w:type="dxa"/>
            <w:vAlign w:val="bottom"/>
            <w:shd w:val="clear" w:color="auto" w:fill="EBFBFF"/>
          </w:tcPr>
          <w:p>
            <w:pPr>
              <w:spacing w:after="0"/>
              <w:rPr>
                <w:sz w:val="13"/>
                <w:szCs w:val="13"/>
                <w:color w:val="auto"/>
              </w:rPr>
            </w:pPr>
          </w:p>
        </w:tc>
        <w:tc>
          <w:tcPr>
            <w:tcW w:w="1080" w:type="dxa"/>
            <w:vAlign w:val="bottom"/>
            <w:tcBorders>
              <w:right w:val="single" w:sz="8" w:color="EBFBFF"/>
            </w:tcBorders>
            <w:shd w:val="clear" w:color="auto" w:fill="EBFBFF"/>
          </w:tcPr>
          <w:p>
            <w:pPr>
              <w:spacing w:after="0"/>
              <w:rPr>
                <w:sz w:val="13"/>
                <w:szCs w:val="13"/>
                <w:color w:val="auto"/>
              </w:rPr>
            </w:pPr>
          </w:p>
        </w:tc>
        <w:tc>
          <w:tcPr>
            <w:tcW w:w="80" w:type="dxa"/>
            <w:vAlign w:val="bottom"/>
            <w:shd w:val="clear" w:color="auto" w:fill="EBFBFF"/>
          </w:tcPr>
          <w:p>
            <w:pPr>
              <w:spacing w:after="0"/>
              <w:rPr>
                <w:sz w:val="13"/>
                <w:szCs w:val="13"/>
                <w:color w:val="auto"/>
              </w:rPr>
            </w:pPr>
          </w:p>
        </w:tc>
        <w:tc>
          <w:tcPr>
            <w:tcW w:w="460" w:type="dxa"/>
            <w:vAlign w:val="bottom"/>
            <w:shd w:val="clear" w:color="auto" w:fill="EBFBFF"/>
          </w:tcPr>
          <w:p>
            <w:pPr>
              <w:spacing w:after="0"/>
              <w:rPr>
                <w:sz w:val="13"/>
                <w:szCs w:val="13"/>
                <w:color w:val="auto"/>
              </w:rPr>
            </w:pPr>
          </w:p>
        </w:tc>
        <w:tc>
          <w:tcPr>
            <w:tcW w:w="900" w:type="dxa"/>
            <w:vAlign w:val="bottom"/>
            <w:shd w:val="clear" w:color="auto" w:fill="EBFBFF"/>
          </w:tcPr>
          <w:p>
            <w:pPr>
              <w:spacing w:after="0"/>
              <w:rPr>
                <w:sz w:val="13"/>
                <w:szCs w:val="13"/>
                <w:color w:val="auto"/>
              </w:rPr>
            </w:pPr>
          </w:p>
        </w:tc>
        <w:tc>
          <w:tcPr>
            <w:tcW w:w="160" w:type="dxa"/>
            <w:vAlign w:val="bottom"/>
            <w:shd w:val="clear" w:color="auto" w:fill="EBFBFF"/>
          </w:tcPr>
          <w:p>
            <w:pPr>
              <w:spacing w:after="0"/>
              <w:rPr>
                <w:sz w:val="13"/>
                <w:szCs w:val="13"/>
                <w:color w:val="auto"/>
              </w:rPr>
            </w:pPr>
          </w:p>
        </w:tc>
        <w:tc>
          <w:tcPr>
            <w:tcW w:w="1080" w:type="dxa"/>
            <w:vAlign w:val="bottom"/>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208"/>
        </w:trPr>
        <w:tc>
          <w:tcPr>
            <w:tcW w:w="5960" w:type="dxa"/>
            <w:vAlign w:val="bottom"/>
          </w:tcPr>
          <w:p>
            <w:pPr>
              <w:ind w:left="20"/>
              <w:spacing w:after="0"/>
              <w:rPr>
                <w:sz w:val="20"/>
                <w:szCs w:val="20"/>
                <w:color w:val="auto"/>
              </w:rPr>
            </w:pPr>
            <w:r>
              <w:rPr>
                <w:rFonts w:ascii="Arial" w:cs="Arial" w:eastAsia="Arial" w:hAnsi="Arial"/>
                <w:sz w:val="14"/>
                <w:szCs w:val="14"/>
                <w:color w:val="51555C"/>
              </w:rPr>
              <w:t>GAAP recurring revenue</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287.0</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275.8</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848.8</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spacing w:after="0"/>
              <w:rPr>
                <w:sz w:val="20"/>
                <w:szCs w:val="20"/>
                <w:color w:val="auto"/>
              </w:rPr>
            </w:pPr>
            <w:r>
              <w:rPr>
                <w:rFonts w:ascii="Arial" w:cs="Arial" w:eastAsia="Arial" w:hAnsi="Arial"/>
                <w:sz w:val="14"/>
                <w:szCs w:val="14"/>
                <w:color w:val="51555C"/>
              </w:rPr>
              <w:t>815.4</w:t>
            </w:r>
          </w:p>
        </w:tc>
        <w:tc>
          <w:tcPr>
            <w:tcW w:w="20" w:type="dxa"/>
            <w:vAlign w:val="bottom"/>
          </w:tcPr>
          <w:p>
            <w:pPr>
              <w:spacing w:after="0"/>
              <w:rPr>
                <w:sz w:val="18"/>
                <w:szCs w:val="18"/>
                <w:color w:val="auto"/>
              </w:rPr>
            </w:pPr>
          </w:p>
        </w:tc>
      </w:tr>
      <w:tr>
        <w:trPr>
          <w:trHeight w:val="22"/>
        </w:trPr>
        <w:tc>
          <w:tcPr>
            <w:tcW w:w="5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9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recurring revenue growth</w:t>
            </w: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4.1 %</w:t>
            </w:r>
          </w:p>
        </w:tc>
        <w:tc>
          <w:tcPr>
            <w:tcW w:w="160" w:type="dxa"/>
            <w:vAlign w:val="bottom"/>
            <w:shd w:val="clear" w:color="auto" w:fill="EBFBFF"/>
          </w:tcPr>
          <w:p>
            <w:pPr>
              <w:spacing w:after="0"/>
              <w:rPr>
                <w:sz w:val="19"/>
                <w:szCs w:val="19"/>
                <w:color w:val="auto"/>
              </w:rPr>
            </w:pPr>
          </w:p>
        </w:tc>
        <w:tc>
          <w:tcPr>
            <w:tcW w:w="1080" w:type="dxa"/>
            <w:vAlign w:val="bottom"/>
            <w:tcBorders>
              <w:right w:val="single" w:sz="8" w:color="EBFBFF"/>
            </w:tcBorders>
            <w:shd w:val="clear" w:color="auto" w:fill="EBFBFF"/>
          </w:tcPr>
          <w:p>
            <w:pPr>
              <w:spacing w:after="0"/>
              <w:rPr>
                <w:sz w:val="19"/>
                <w:szCs w:val="19"/>
                <w:color w:val="auto"/>
              </w:rPr>
            </w:pPr>
          </w:p>
        </w:tc>
        <w:tc>
          <w:tcPr>
            <w:tcW w:w="80" w:type="dxa"/>
            <w:vAlign w:val="bottom"/>
            <w:shd w:val="clear" w:color="auto" w:fill="EBFBFF"/>
          </w:tcPr>
          <w:p>
            <w:pPr>
              <w:spacing w:after="0"/>
              <w:rPr>
                <w:sz w:val="19"/>
                <w:szCs w:val="19"/>
                <w:color w:val="auto"/>
              </w:rPr>
            </w:pP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4.1 %</w:t>
            </w:r>
          </w:p>
        </w:tc>
        <w:tc>
          <w:tcPr>
            <w:tcW w:w="160" w:type="dxa"/>
            <w:vAlign w:val="bottom"/>
            <w:shd w:val="clear" w:color="auto" w:fill="EBFBFF"/>
          </w:tcPr>
          <w:p>
            <w:pPr>
              <w:spacing w:after="0"/>
              <w:rPr>
                <w:sz w:val="19"/>
                <w:szCs w:val="19"/>
                <w:color w:val="auto"/>
              </w:rPr>
            </w:pPr>
          </w:p>
        </w:tc>
        <w:tc>
          <w:tcPr>
            <w:tcW w:w="10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96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Less: Non-GAAP recurring revenue from divested businesses</w:t>
            </w:r>
            <w:r>
              <w:rPr>
                <w:rFonts w:ascii="Arial" w:cs="Arial" w:eastAsia="Arial" w:hAnsi="Arial"/>
                <w:sz w:val="18"/>
                <w:szCs w:val="18"/>
                <w:color w:val="51555C"/>
                <w:vertAlign w:val="superscript"/>
              </w:rPr>
              <w:t>(1)</w:t>
            </w: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w:t>
            </w:r>
          </w:p>
        </w:tc>
        <w:tc>
          <w:tcPr>
            <w:tcW w:w="8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(2)</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287.0</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275.8</w:t>
            </w:r>
          </w:p>
        </w:tc>
        <w:tc>
          <w:tcPr>
            <w:tcW w:w="540" w:type="dxa"/>
            <w:vAlign w:val="bottom"/>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848.8</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815.4</w:t>
            </w:r>
          </w:p>
        </w:tc>
        <w:tc>
          <w:tcPr>
            <w:tcW w:w="20" w:type="dxa"/>
            <w:vAlign w:val="bottom"/>
          </w:tcPr>
          <w:p>
            <w:pPr>
              <w:spacing w:after="0"/>
              <w:rPr>
                <w:sz w:val="19"/>
                <w:szCs w:val="19"/>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recurring revenue growth</w:t>
            </w:r>
          </w:p>
        </w:tc>
        <w:tc>
          <w:tcPr>
            <w:tcW w:w="4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4.1 %</w:t>
            </w:r>
          </w:p>
        </w:tc>
        <w:tc>
          <w:tcPr>
            <w:tcW w:w="1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4.1 %</w:t>
            </w:r>
          </w:p>
        </w:tc>
        <w:tc>
          <w:tcPr>
            <w:tcW w:w="160" w:type="dxa"/>
            <w:vAlign w:val="bottom"/>
            <w:tcBorders>
              <w:top w:val="single" w:sz="8" w:color="51555C"/>
            </w:tcBorders>
          </w:tcPr>
          <w:p>
            <w:pPr>
              <w:spacing w:after="0"/>
              <w:rPr>
                <w:sz w:val="18"/>
                <w:szCs w:val="18"/>
                <w:color w:val="auto"/>
              </w:rPr>
            </w:pPr>
          </w:p>
        </w:tc>
        <w:tc>
          <w:tcPr>
            <w:tcW w:w="1080" w:type="dxa"/>
            <w:vAlign w:val="bottom"/>
            <w:tcBorders>
              <w:top w:val="single" w:sz="8" w:color="51555C"/>
            </w:tcBorders>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5960" w:type="dxa"/>
            <w:vAlign w:val="bottom"/>
            <w:shd w:val="clear" w:color="auto" w:fill="EBFBFF"/>
          </w:tcPr>
          <w:p>
            <w:pPr>
              <w:spacing w:after="0"/>
              <w:rPr>
                <w:sz w:val="13"/>
                <w:szCs w:val="13"/>
                <w:color w:val="auto"/>
              </w:rPr>
            </w:pPr>
          </w:p>
        </w:tc>
        <w:tc>
          <w:tcPr>
            <w:tcW w:w="460" w:type="dxa"/>
            <w:vAlign w:val="bottom"/>
            <w:shd w:val="clear" w:color="auto" w:fill="EBFBFF"/>
          </w:tcPr>
          <w:p>
            <w:pPr>
              <w:spacing w:after="0"/>
              <w:rPr>
                <w:sz w:val="13"/>
                <w:szCs w:val="13"/>
                <w:color w:val="auto"/>
              </w:rPr>
            </w:pPr>
          </w:p>
        </w:tc>
        <w:tc>
          <w:tcPr>
            <w:tcW w:w="900" w:type="dxa"/>
            <w:vAlign w:val="bottom"/>
            <w:shd w:val="clear" w:color="auto" w:fill="EBFBFF"/>
          </w:tcPr>
          <w:p>
            <w:pPr>
              <w:spacing w:after="0"/>
              <w:rPr>
                <w:sz w:val="13"/>
                <w:szCs w:val="13"/>
                <w:color w:val="auto"/>
              </w:rPr>
            </w:pPr>
          </w:p>
        </w:tc>
        <w:tc>
          <w:tcPr>
            <w:tcW w:w="160" w:type="dxa"/>
            <w:vAlign w:val="bottom"/>
            <w:shd w:val="clear" w:color="auto" w:fill="EBFBFF"/>
          </w:tcPr>
          <w:p>
            <w:pPr>
              <w:spacing w:after="0"/>
              <w:rPr>
                <w:sz w:val="13"/>
                <w:szCs w:val="13"/>
                <w:color w:val="auto"/>
              </w:rPr>
            </w:pPr>
          </w:p>
        </w:tc>
        <w:tc>
          <w:tcPr>
            <w:tcW w:w="1080" w:type="dxa"/>
            <w:vAlign w:val="bottom"/>
            <w:tcBorders>
              <w:right w:val="single" w:sz="8" w:color="EBFBFF"/>
            </w:tcBorders>
            <w:shd w:val="clear" w:color="auto" w:fill="EBFBFF"/>
          </w:tcPr>
          <w:p>
            <w:pPr>
              <w:spacing w:after="0"/>
              <w:rPr>
                <w:sz w:val="13"/>
                <w:szCs w:val="13"/>
                <w:color w:val="auto"/>
              </w:rPr>
            </w:pPr>
          </w:p>
        </w:tc>
        <w:tc>
          <w:tcPr>
            <w:tcW w:w="80" w:type="dxa"/>
            <w:vAlign w:val="bottom"/>
            <w:shd w:val="clear" w:color="auto" w:fill="EBFBFF"/>
          </w:tcPr>
          <w:p>
            <w:pPr>
              <w:spacing w:after="0"/>
              <w:rPr>
                <w:sz w:val="13"/>
                <w:szCs w:val="13"/>
                <w:color w:val="auto"/>
              </w:rPr>
            </w:pPr>
          </w:p>
        </w:tc>
        <w:tc>
          <w:tcPr>
            <w:tcW w:w="460" w:type="dxa"/>
            <w:vAlign w:val="bottom"/>
            <w:shd w:val="clear" w:color="auto" w:fill="EBFBFF"/>
          </w:tcPr>
          <w:p>
            <w:pPr>
              <w:spacing w:after="0"/>
              <w:rPr>
                <w:sz w:val="13"/>
                <w:szCs w:val="13"/>
                <w:color w:val="auto"/>
              </w:rPr>
            </w:pPr>
          </w:p>
        </w:tc>
        <w:tc>
          <w:tcPr>
            <w:tcW w:w="900" w:type="dxa"/>
            <w:vAlign w:val="bottom"/>
            <w:shd w:val="clear" w:color="auto" w:fill="EBFBFF"/>
          </w:tcPr>
          <w:p>
            <w:pPr>
              <w:spacing w:after="0"/>
              <w:rPr>
                <w:sz w:val="13"/>
                <w:szCs w:val="13"/>
                <w:color w:val="auto"/>
              </w:rPr>
            </w:pPr>
          </w:p>
        </w:tc>
        <w:tc>
          <w:tcPr>
            <w:tcW w:w="160" w:type="dxa"/>
            <w:vAlign w:val="bottom"/>
            <w:shd w:val="clear" w:color="auto" w:fill="EBFBFF"/>
          </w:tcPr>
          <w:p>
            <w:pPr>
              <w:spacing w:after="0"/>
              <w:rPr>
                <w:sz w:val="13"/>
                <w:szCs w:val="13"/>
                <w:color w:val="auto"/>
              </w:rPr>
            </w:pPr>
          </w:p>
        </w:tc>
        <w:tc>
          <w:tcPr>
            <w:tcW w:w="1080" w:type="dxa"/>
            <w:vAlign w:val="bottom"/>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287.0</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275.8</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848.8</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spacing w:after="0"/>
              <w:rPr>
                <w:sz w:val="20"/>
                <w:szCs w:val="20"/>
                <w:color w:val="auto"/>
              </w:rPr>
            </w:pPr>
            <w:r>
              <w:rPr>
                <w:rFonts w:ascii="Arial" w:cs="Arial" w:eastAsia="Arial" w:hAnsi="Arial"/>
                <w:sz w:val="14"/>
                <w:szCs w:val="14"/>
                <w:color w:val="51555C"/>
              </w:rPr>
              <w:t>815.4</w:t>
            </w:r>
          </w:p>
        </w:tc>
        <w:tc>
          <w:tcPr>
            <w:tcW w:w="20" w:type="dxa"/>
            <w:vAlign w:val="bottom"/>
          </w:tcPr>
          <w:p>
            <w:pPr>
              <w:spacing w:after="0"/>
              <w:rPr>
                <w:sz w:val="19"/>
                <w:szCs w:val="19"/>
                <w:color w:val="auto"/>
              </w:rPr>
            </w:pPr>
          </w:p>
        </w:tc>
      </w:tr>
      <w:tr>
        <w:trPr>
          <w:trHeight w:val="230"/>
        </w:trPr>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Foreign currency impact on non-GAAP organic recurring revenue</w:t>
            </w:r>
            <w:r>
              <w:rPr>
                <w:rFonts w:ascii="Arial" w:cs="Arial" w:eastAsia="Arial" w:hAnsi="Arial"/>
                <w:sz w:val="18"/>
                <w:szCs w:val="18"/>
                <w:color w:val="51555C"/>
                <w:vertAlign w:val="superscript"/>
              </w:rPr>
              <w:t>(3)</w:t>
            </w: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(0.2)</w:t>
            </w:r>
          </w:p>
        </w:tc>
        <w:tc>
          <w:tcPr>
            <w:tcW w:w="1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w:t>
            </w:r>
          </w:p>
        </w:tc>
        <w:tc>
          <w:tcPr>
            <w:tcW w:w="80" w:type="dxa"/>
            <w:vAlign w:val="bottom"/>
            <w:shd w:val="clear" w:color="auto" w:fill="EBFBFF"/>
          </w:tcPr>
          <w:p>
            <w:pPr>
              <w:spacing w:after="0"/>
              <w:rPr>
                <w:sz w:val="19"/>
                <w:szCs w:val="19"/>
                <w:color w:val="auto"/>
              </w:rPr>
            </w:pP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(3.1)</w:t>
            </w:r>
          </w:p>
        </w:tc>
        <w:tc>
          <w:tcPr>
            <w:tcW w:w="1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4"/>
                <w:szCs w:val="14"/>
                <w:color w:val="51555C"/>
              </w:rPr>
              <w:t>Non-GAAP organic recurring revenue on constant currency basis</w:t>
            </w:r>
            <w:r>
              <w:rPr>
                <w:rFonts w:ascii="Arial" w:cs="Arial" w:eastAsia="Arial" w:hAnsi="Arial"/>
                <w:sz w:val="18"/>
                <w:szCs w:val="18"/>
                <w:color w:val="51555C"/>
                <w:vertAlign w:val="superscript"/>
              </w:rPr>
              <w:t>(3)</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286.8</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275.8</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845.7</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spacing w:after="0"/>
              <w:rPr>
                <w:sz w:val="20"/>
                <w:szCs w:val="20"/>
                <w:color w:val="auto"/>
              </w:rPr>
            </w:pPr>
            <w:r>
              <w:rPr>
                <w:rFonts w:ascii="Arial" w:cs="Arial" w:eastAsia="Arial" w:hAnsi="Arial"/>
                <w:sz w:val="14"/>
                <w:szCs w:val="14"/>
                <w:color w:val="51555C"/>
              </w:rPr>
              <w:t>815.4</w:t>
            </w:r>
          </w:p>
        </w:tc>
        <w:tc>
          <w:tcPr>
            <w:tcW w:w="20" w:type="dxa"/>
            <w:vAlign w:val="bottom"/>
          </w:tcPr>
          <w:p>
            <w:pPr>
              <w:spacing w:after="0"/>
              <w:rPr>
                <w:sz w:val="19"/>
                <w:szCs w:val="19"/>
                <w:color w:val="auto"/>
              </w:rPr>
            </w:pPr>
          </w:p>
        </w:tc>
      </w:tr>
      <w:tr>
        <w:trPr>
          <w:trHeight w:val="216"/>
        </w:trPr>
        <w:tc>
          <w:tcPr>
            <w:tcW w:w="5960" w:type="dxa"/>
            <w:vAlign w:val="bottom"/>
            <w:tcBorders>
              <w:top w:val="single" w:sz="8" w:color="EBFBFF"/>
              <w:bottom w:val="single" w:sz="8" w:color="0CD973"/>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recurring revenue growth on constant currency basis</w:t>
            </w:r>
          </w:p>
        </w:tc>
        <w:tc>
          <w:tcPr>
            <w:tcW w:w="460" w:type="dxa"/>
            <w:vAlign w:val="bottom"/>
            <w:tcBorders>
              <w:top w:val="single" w:sz="8" w:color="51555C"/>
              <w:bottom w:val="single" w:sz="8" w:color="0CD973"/>
            </w:tcBorders>
            <w:shd w:val="clear" w:color="auto" w:fill="EBFBFF"/>
          </w:tcPr>
          <w:p>
            <w:pPr>
              <w:spacing w:after="0"/>
              <w:rPr>
                <w:sz w:val="18"/>
                <w:szCs w:val="18"/>
                <w:color w:val="auto"/>
              </w:rPr>
            </w:pPr>
          </w:p>
        </w:tc>
        <w:tc>
          <w:tcPr>
            <w:tcW w:w="90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4.0 %</w:t>
            </w:r>
          </w:p>
        </w:tc>
        <w:tc>
          <w:tcPr>
            <w:tcW w:w="160" w:type="dxa"/>
            <w:vAlign w:val="bottom"/>
            <w:tcBorders>
              <w:top w:val="single" w:sz="8" w:color="51555C"/>
              <w:bottom w:val="single" w:sz="8" w:color="0CD973"/>
            </w:tcBorders>
            <w:shd w:val="clear" w:color="auto" w:fill="EBFBFF"/>
          </w:tcPr>
          <w:p>
            <w:pPr>
              <w:spacing w:after="0"/>
              <w:rPr>
                <w:sz w:val="18"/>
                <w:szCs w:val="18"/>
                <w:color w:val="auto"/>
              </w:rPr>
            </w:pPr>
          </w:p>
        </w:tc>
        <w:tc>
          <w:tcPr>
            <w:tcW w:w="1080" w:type="dxa"/>
            <w:vAlign w:val="bottom"/>
            <w:tcBorders>
              <w:top w:val="single" w:sz="8" w:color="51555C"/>
              <w:bottom w:val="single" w:sz="8" w:color="0CD973"/>
              <w:right w:val="single" w:sz="8" w:color="EBFBFF"/>
            </w:tcBorders>
            <w:shd w:val="clear" w:color="auto" w:fill="EBFBFF"/>
          </w:tcPr>
          <w:p>
            <w:pPr>
              <w:spacing w:after="0"/>
              <w:rPr>
                <w:sz w:val="18"/>
                <w:szCs w:val="18"/>
                <w:color w:val="auto"/>
              </w:rPr>
            </w:pPr>
          </w:p>
        </w:tc>
        <w:tc>
          <w:tcPr>
            <w:tcW w:w="80" w:type="dxa"/>
            <w:vAlign w:val="bottom"/>
            <w:tcBorders>
              <w:top w:val="single" w:sz="8" w:color="EBFBFF"/>
              <w:bottom w:val="single" w:sz="8" w:color="0CD973"/>
            </w:tcBorders>
            <w:shd w:val="clear" w:color="auto" w:fill="EBFBFF"/>
          </w:tcPr>
          <w:p>
            <w:pPr>
              <w:spacing w:after="0"/>
              <w:rPr>
                <w:sz w:val="18"/>
                <w:szCs w:val="18"/>
                <w:color w:val="auto"/>
              </w:rPr>
            </w:pPr>
          </w:p>
        </w:tc>
        <w:tc>
          <w:tcPr>
            <w:tcW w:w="460" w:type="dxa"/>
            <w:vAlign w:val="bottom"/>
            <w:tcBorders>
              <w:top w:val="single" w:sz="8" w:color="51555C"/>
              <w:bottom w:val="single" w:sz="8" w:color="0CD973"/>
            </w:tcBorders>
            <w:shd w:val="clear" w:color="auto" w:fill="EBFBFF"/>
          </w:tcPr>
          <w:p>
            <w:pPr>
              <w:spacing w:after="0"/>
              <w:rPr>
                <w:sz w:val="18"/>
                <w:szCs w:val="18"/>
                <w:color w:val="auto"/>
              </w:rPr>
            </w:pPr>
          </w:p>
        </w:tc>
        <w:tc>
          <w:tcPr>
            <w:tcW w:w="900" w:type="dxa"/>
            <w:vAlign w:val="bottom"/>
            <w:tcBorders>
              <w:top w:val="single" w:sz="8" w:color="51555C"/>
              <w:bottom w:val="single" w:sz="8" w:color="0CD973"/>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3.7 %</w:t>
            </w:r>
          </w:p>
        </w:tc>
        <w:tc>
          <w:tcPr>
            <w:tcW w:w="160" w:type="dxa"/>
            <w:vAlign w:val="bottom"/>
            <w:tcBorders>
              <w:top w:val="single" w:sz="8" w:color="51555C"/>
              <w:bottom w:val="single" w:sz="8" w:color="0CD973"/>
            </w:tcBorders>
            <w:shd w:val="clear" w:color="auto" w:fill="EBFBFF"/>
          </w:tcPr>
          <w:p>
            <w:pPr>
              <w:spacing w:after="0"/>
              <w:rPr>
                <w:sz w:val="18"/>
                <w:szCs w:val="18"/>
                <w:color w:val="auto"/>
              </w:rPr>
            </w:pPr>
          </w:p>
        </w:tc>
        <w:tc>
          <w:tcPr>
            <w:tcW w:w="1080" w:type="dxa"/>
            <w:vAlign w:val="bottom"/>
            <w:tcBorders>
              <w:top w:val="single" w:sz="8" w:color="51555C"/>
              <w:bottom w:val="single" w:sz="8" w:color="0CD973"/>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-3222625</wp:posOffset>
            </wp:positionV>
            <wp:extent cx="33604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2" w:lineRule="exact"/>
        <w:rPr>
          <w:sz w:val="20"/>
          <w:szCs w:val="20"/>
          <w:color w:val="auto"/>
        </w:rPr>
      </w:pPr>
    </w:p>
    <w:p>
      <w:pPr>
        <w:ind w:left="340" w:right="20" w:hanging="332"/>
        <w:spacing w:after="0" w:line="261" w:lineRule="auto"/>
        <w:tabs>
          <w:tab w:leader="none" w:pos="354"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54"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right="20" w:hanging="332"/>
        <w:spacing w:after="0" w:line="262" w:lineRule="auto"/>
        <w:tabs>
          <w:tab w:leader="none" w:pos="354" w:val="left"/>
        </w:tabs>
        <w:numPr>
          <w:ilvl w:val="0"/>
          <w:numId w:val="30"/>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302"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32</w:t>
      </w:r>
      <w:r>
        <w:rPr>
          <w:sz w:val="20"/>
          <w:szCs w:val="20"/>
          <w:color w:val="auto"/>
        </w:rPr>
        <w:tab/>
      </w:r>
      <w:r>
        <w:rPr>
          <w:sz w:val="1"/>
          <w:szCs w:val="1"/>
          <w:color w:val="auto"/>
        </w:rPr>
        <w:drawing>
          <wp:inline distT="0" distB="0" distL="0" distR="0">
            <wp:extent cx="651510" cy="1714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Rule of 40</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global workforce transition costs; acquisition and disposition-related costs; Security Incident-related costs; and impairment and disposition charges.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21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21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6"/>
        </w:trPr>
        <w:tc>
          <w:tcPr>
            <w:tcW w:w="598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52"/>
        </w:trPr>
        <w:tc>
          <w:tcPr>
            <w:tcW w:w="59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21"/>
                <w:szCs w:val="21"/>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1"/>
                <w:szCs w:val="21"/>
                <w:color w:val="auto"/>
              </w:rPr>
            </w:pPr>
          </w:p>
        </w:tc>
        <w:tc>
          <w:tcPr>
            <w:tcW w:w="1060" w:type="dxa"/>
            <w:vAlign w:val="bottom"/>
            <w:tcBorders>
              <w:bottom w:val="single" w:sz="8" w:color="004054"/>
            </w:tcBorders>
            <w:shd w:val="clear" w:color="auto" w:fill="004054"/>
          </w:tcPr>
          <w:p>
            <w:pPr>
              <w:jc w:val="center"/>
              <w:ind w:left="628"/>
              <w:spacing w:after="0"/>
              <w:rPr>
                <w:sz w:val="20"/>
                <w:szCs w:val="20"/>
                <w:color w:val="auto"/>
              </w:rPr>
            </w:pPr>
            <w:r>
              <w:rPr>
                <w:rFonts w:ascii="Arial" w:cs="Arial" w:eastAsia="Arial" w:hAnsi="Arial"/>
                <w:sz w:val="14"/>
                <w:szCs w:val="14"/>
                <w:b w:val="1"/>
                <w:bCs w:val="1"/>
                <w:color w:val="FFFFFF"/>
              </w:rPr>
              <w:t>2025</w:t>
            </w:r>
          </w:p>
        </w:tc>
        <w:tc>
          <w:tcPr>
            <w:tcW w:w="100" w:type="dxa"/>
            <w:vAlign w:val="bottom"/>
            <w:tcBorders>
              <w:bottom w:val="single" w:sz="8" w:color="EBFBFF"/>
            </w:tcBorders>
          </w:tcPr>
          <w:p>
            <w:pPr>
              <w:spacing w:after="0"/>
              <w:rPr>
                <w:sz w:val="21"/>
                <w:szCs w:val="21"/>
                <w:color w:val="auto"/>
              </w:rPr>
            </w:pPr>
          </w:p>
        </w:tc>
        <w:tc>
          <w:tcPr>
            <w:tcW w:w="460" w:type="dxa"/>
            <w:vAlign w:val="bottom"/>
            <w:tcBorders>
              <w:bottom w:val="single" w:sz="8" w:color="004054"/>
            </w:tcBorders>
            <w:shd w:val="clear" w:color="auto" w:fill="004054"/>
          </w:tcPr>
          <w:p>
            <w:pPr>
              <w:spacing w:after="0"/>
              <w:rPr>
                <w:sz w:val="21"/>
                <w:szCs w:val="21"/>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60" w:type="dxa"/>
            <w:vAlign w:val="bottom"/>
            <w:tcBorders>
              <w:bottom w:val="single" w:sz="8" w:color="004054"/>
            </w:tcBorders>
            <w:shd w:val="clear" w:color="auto" w:fill="004054"/>
          </w:tcPr>
          <w:p>
            <w:pPr>
              <w:spacing w:after="0"/>
              <w:rPr>
                <w:sz w:val="21"/>
                <w:szCs w:val="21"/>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09"/>
        </w:trPr>
        <w:tc>
          <w:tcPr>
            <w:tcW w:w="5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net income</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46.1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47.5</w:t>
            </w:r>
          </w:p>
        </w:tc>
        <w:tc>
          <w:tcPr>
            <w:tcW w:w="56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112.6</w:t>
            </w:r>
          </w:p>
        </w:tc>
        <w:tc>
          <w:tcPr>
            <w:tcW w:w="1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78.3</w:t>
            </w:r>
          </w:p>
        </w:tc>
      </w:tr>
      <w:tr>
        <w:trPr>
          <w:trHeight w:val="208"/>
        </w:trPr>
        <w:tc>
          <w:tcPr>
            <w:tcW w:w="598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
        </w:trPr>
        <w:tc>
          <w:tcPr>
            <w:tcW w:w="5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59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Interest, net</w:t>
            </w:r>
          </w:p>
        </w:tc>
        <w:tc>
          <w:tcPr>
            <w:tcW w:w="46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13.9</w:t>
            </w:r>
          </w:p>
        </w:tc>
        <w:tc>
          <w:tcPr>
            <w:tcW w:w="1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14.4</w:t>
            </w:r>
          </w:p>
        </w:tc>
        <w:tc>
          <w:tcPr>
            <w:tcW w:w="100" w:type="dxa"/>
            <w:vAlign w:val="bottom"/>
            <w:tcBorders>
              <w:bottom w:val="single" w:sz="8" w:color="EBFBFF"/>
            </w:tcBorders>
            <w:shd w:val="clear" w:color="auto" w:fill="EBFBFF"/>
          </w:tcPr>
          <w:p>
            <w:pPr>
              <w:spacing w:after="0"/>
              <w:rPr>
                <w:sz w:val="18"/>
                <w:szCs w:val="18"/>
                <w:color w:val="auto"/>
              </w:rPr>
            </w:pPr>
          </w:p>
        </w:tc>
        <w:tc>
          <w:tcPr>
            <w:tcW w:w="46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43.9</w:t>
            </w:r>
          </w:p>
        </w:tc>
        <w:tc>
          <w:tcPr>
            <w:tcW w:w="1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46.1</w:t>
            </w:r>
          </w:p>
        </w:tc>
      </w:tr>
      <w:tr>
        <w:trPr>
          <w:trHeight w:val="208"/>
        </w:trPr>
        <w:tc>
          <w:tcPr>
            <w:tcW w:w="5980" w:type="dxa"/>
            <w:vAlign w:val="bottom"/>
          </w:tcPr>
          <w:p>
            <w:pPr>
              <w:ind w:left="140"/>
              <w:spacing w:after="0"/>
              <w:rPr>
                <w:sz w:val="20"/>
                <w:szCs w:val="20"/>
                <w:color w:val="auto"/>
              </w:rPr>
            </w:pPr>
            <w:r>
              <w:rPr>
                <w:rFonts w:ascii="Arial" w:cs="Arial" w:eastAsia="Arial" w:hAnsi="Arial"/>
                <w:sz w:val="14"/>
                <w:szCs w:val="14"/>
                <w:color w:val="51555C"/>
              </w:rPr>
              <w:t>Add: GAAP income tax provision (benefit)</w:t>
            </w:r>
          </w:p>
        </w:tc>
        <w:tc>
          <w:tcPr>
            <w:tcW w:w="4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0.4</w:t>
            </w:r>
          </w:p>
        </w:tc>
        <w:tc>
          <w:tcPr>
            <w:tcW w:w="160" w:type="dxa"/>
            <w:vAlign w:val="bottom"/>
          </w:tcPr>
          <w:p>
            <w:pPr>
              <w:spacing w:after="0"/>
              <w:rPr>
                <w:sz w:val="18"/>
                <w:szCs w:val="18"/>
                <w:color w:val="auto"/>
              </w:rPr>
            </w:pPr>
          </w:p>
        </w:tc>
        <w:tc>
          <w:tcPr>
            <w:tcW w:w="1060" w:type="dxa"/>
            <w:vAlign w:val="bottom"/>
          </w:tcPr>
          <w:p>
            <w:pPr>
              <w:jc w:val="center"/>
              <w:ind w:left="648"/>
              <w:spacing w:after="0"/>
              <w:rPr>
                <w:sz w:val="20"/>
                <w:szCs w:val="20"/>
                <w:color w:val="auto"/>
              </w:rPr>
            </w:pPr>
            <w:r>
              <w:rPr>
                <w:rFonts w:ascii="Arial" w:cs="Arial" w:eastAsia="Arial" w:hAnsi="Arial"/>
                <w:sz w:val="14"/>
                <w:szCs w:val="14"/>
                <w:color w:val="51555C"/>
              </w:rPr>
              <w:t>(6.4)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18.1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7.7</w:t>
            </w:r>
          </w:p>
        </w:tc>
      </w:tr>
      <w:tr>
        <w:trPr>
          <w:trHeight w:val="22"/>
        </w:trPr>
        <w:tc>
          <w:tcPr>
            <w:tcW w:w="5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59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Depreciation</w:t>
            </w:r>
          </w:p>
        </w:tc>
        <w:tc>
          <w:tcPr>
            <w:tcW w:w="46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3.2</w:t>
            </w:r>
          </w:p>
        </w:tc>
        <w:tc>
          <w:tcPr>
            <w:tcW w:w="1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2.2</w:t>
            </w:r>
          </w:p>
        </w:tc>
        <w:tc>
          <w:tcPr>
            <w:tcW w:w="100" w:type="dxa"/>
            <w:vAlign w:val="bottom"/>
            <w:tcBorders>
              <w:bottom w:val="single" w:sz="8" w:color="EBFBFF"/>
            </w:tcBorders>
            <w:shd w:val="clear" w:color="auto" w:fill="EBFBFF"/>
          </w:tcPr>
          <w:p>
            <w:pPr>
              <w:spacing w:after="0"/>
              <w:rPr>
                <w:sz w:val="18"/>
                <w:szCs w:val="18"/>
                <w:color w:val="auto"/>
              </w:rPr>
            </w:pPr>
          </w:p>
        </w:tc>
        <w:tc>
          <w:tcPr>
            <w:tcW w:w="46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8.2</w:t>
            </w:r>
          </w:p>
        </w:tc>
        <w:tc>
          <w:tcPr>
            <w:tcW w:w="1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7.8</w:t>
            </w:r>
          </w:p>
        </w:tc>
      </w:tr>
      <w:tr>
        <w:trPr>
          <w:trHeight w:val="208"/>
        </w:trPr>
        <w:tc>
          <w:tcPr>
            <w:tcW w:w="598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4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6.0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18.8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22.6</w:t>
            </w:r>
          </w:p>
        </w:tc>
      </w:tr>
      <w:tr>
        <w:trPr>
          <w:trHeight w:val="22"/>
        </w:trPr>
        <w:tc>
          <w:tcPr>
            <w:tcW w:w="5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59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software development costs</w:t>
            </w:r>
            <w:r>
              <w:rPr>
                <w:rFonts w:ascii="Arial" w:cs="Arial" w:eastAsia="Arial" w:hAnsi="Arial"/>
                <w:sz w:val="18"/>
                <w:szCs w:val="18"/>
                <w:color w:val="51555C"/>
                <w:vertAlign w:val="superscript"/>
              </w:rPr>
              <w:t>(1)</w:t>
            </w: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13.0</w:t>
            </w:r>
          </w:p>
        </w:tc>
        <w:tc>
          <w:tcPr>
            <w:tcW w:w="16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12.6</w:t>
            </w:r>
          </w:p>
        </w:tc>
        <w:tc>
          <w:tcPr>
            <w:tcW w:w="100" w:type="dxa"/>
            <w:vAlign w:val="bottom"/>
            <w:shd w:val="clear" w:color="auto" w:fill="EBFBFF"/>
          </w:tcPr>
          <w:p>
            <w:pPr>
              <w:spacing w:after="0"/>
              <w:rPr>
                <w:sz w:val="19"/>
                <w:szCs w:val="19"/>
                <w:color w:val="auto"/>
              </w:rPr>
            </w:pP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38.2</w:t>
            </w:r>
          </w:p>
        </w:tc>
        <w:tc>
          <w:tcPr>
            <w:tcW w:w="16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36.8</w:t>
            </w:r>
          </w:p>
        </w:tc>
      </w:tr>
      <w:tr>
        <w:trPr>
          <w:trHeight w:val="223"/>
        </w:trPr>
        <w:tc>
          <w:tcPr>
            <w:tcW w:w="598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36.4</w:t>
            </w:r>
          </w:p>
        </w:tc>
        <w:tc>
          <w:tcPr>
            <w:tcW w:w="160" w:type="dxa"/>
            <w:vAlign w:val="bottom"/>
            <w:tcBorders>
              <w:bottom w:val="single" w:sz="8" w:color="51555C"/>
            </w:tcBorders>
          </w:tcPr>
          <w:p>
            <w:pPr>
              <w:spacing w:after="0"/>
              <w:rPr>
                <w:sz w:val="19"/>
                <w:szCs w:val="19"/>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30.1</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127.2</w:t>
            </w:r>
          </w:p>
        </w:tc>
        <w:tc>
          <w:tcPr>
            <w:tcW w:w="160" w:type="dxa"/>
            <w:vAlign w:val="bottom"/>
            <w:tcBorders>
              <w:bottom w:val="single" w:sz="8" w:color="51555C"/>
            </w:tcBorders>
          </w:tcPr>
          <w:p>
            <w:pPr>
              <w:spacing w:after="0"/>
              <w:rPr>
                <w:sz w:val="19"/>
                <w:szCs w:val="19"/>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121.0</w:t>
            </w:r>
          </w:p>
        </w:tc>
      </w:tr>
      <w:tr>
        <w:trPr>
          <w:trHeight w:val="223"/>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EBITDA</w:t>
            </w:r>
            <w:r>
              <w:rPr>
                <w:rFonts w:ascii="Arial" w:cs="Arial" w:eastAsia="Arial" w:hAnsi="Arial"/>
                <w:sz w:val="18"/>
                <w:szCs w:val="18"/>
                <w:color w:val="51555C"/>
                <w:vertAlign w:val="superscript"/>
              </w:rPr>
              <w:t>(2)</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82.5</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77.6</w:t>
            </w:r>
          </w:p>
        </w:tc>
        <w:tc>
          <w:tcPr>
            <w:tcW w:w="560" w:type="dxa"/>
            <w:vAlign w:val="bottom"/>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239.8</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199.2</w:t>
            </w:r>
          </w:p>
        </w:tc>
      </w:tr>
      <w:tr>
        <w:trPr>
          <w:trHeight w:val="223"/>
        </w:trPr>
        <w:tc>
          <w:tcPr>
            <w:tcW w:w="5980" w:type="dxa"/>
            <w:vAlign w:val="bottom"/>
          </w:tcPr>
          <w:p>
            <w:pPr>
              <w:ind w:left="140"/>
              <w:spacing w:after="0"/>
              <w:rPr>
                <w:sz w:val="20"/>
                <w:szCs w:val="20"/>
                <w:color w:val="auto"/>
              </w:rPr>
            </w:pPr>
            <w:r>
              <w:rPr>
                <w:rFonts w:ascii="Arial" w:cs="Arial" w:eastAsia="Arial" w:hAnsi="Arial"/>
                <w:sz w:val="14"/>
                <w:szCs w:val="14"/>
                <w:color w:val="51555C"/>
              </w:rPr>
              <w:t>Non-GAAP EBITDA margin</w:t>
            </w:r>
            <w:r>
              <w:rPr>
                <w:rFonts w:ascii="Arial" w:cs="Arial" w:eastAsia="Arial" w:hAnsi="Arial"/>
                <w:sz w:val="18"/>
                <w:szCs w:val="18"/>
                <w:color w:val="51555C"/>
                <w:vertAlign w:val="superscript"/>
              </w:rPr>
              <w:t>(3)</w:t>
            </w:r>
          </w:p>
        </w:tc>
        <w:tc>
          <w:tcPr>
            <w:tcW w:w="460" w:type="dxa"/>
            <w:vAlign w:val="bottom"/>
            <w:tcBorders>
              <w:top w:val="single" w:sz="8" w:color="51555C"/>
            </w:tcBorders>
          </w:tcPr>
          <w:p>
            <w:pPr>
              <w:spacing w:after="0"/>
              <w:rPr>
                <w:sz w:val="19"/>
                <w:szCs w:val="19"/>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28.2 %</w:t>
            </w:r>
          </w:p>
        </w:tc>
        <w:tc>
          <w:tcPr>
            <w:tcW w:w="160" w:type="dxa"/>
            <w:vAlign w:val="bottom"/>
            <w:tcBorders>
              <w:top w:val="single" w:sz="8" w:color="51555C"/>
            </w:tcBorders>
          </w:tcPr>
          <w:p>
            <w:pPr>
              <w:spacing w:after="0"/>
              <w:rPr>
                <w:sz w:val="19"/>
                <w:szCs w:val="19"/>
                <w:color w:val="auto"/>
              </w:rPr>
            </w:pPr>
          </w:p>
        </w:tc>
        <w:tc>
          <w:tcPr>
            <w:tcW w:w="1060" w:type="dxa"/>
            <w:vAlign w:val="bottom"/>
            <w:tcBorders>
              <w:top w:val="single" w:sz="8" w:color="51555C"/>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51555C"/>
            </w:tcBorders>
          </w:tcPr>
          <w:p>
            <w:pPr>
              <w:spacing w:after="0"/>
              <w:rPr>
                <w:sz w:val="19"/>
                <w:szCs w:val="19"/>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27.7 %</w:t>
            </w:r>
          </w:p>
        </w:tc>
        <w:tc>
          <w:tcPr>
            <w:tcW w:w="160" w:type="dxa"/>
            <w:vAlign w:val="bottom"/>
            <w:tcBorders>
              <w:top w:val="single" w:sz="8" w:color="51555C"/>
            </w:tcBorders>
          </w:tcPr>
          <w:p>
            <w:pPr>
              <w:spacing w:after="0"/>
              <w:rPr>
                <w:sz w:val="19"/>
                <w:szCs w:val="19"/>
                <w:color w:val="auto"/>
              </w:rPr>
            </w:pPr>
          </w:p>
        </w:tc>
        <w:tc>
          <w:tcPr>
            <w:tcW w:w="1060" w:type="dxa"/>
            <w:vAlign w:val="bottom"/>
            <w:tcBorders>
              <w:top w:val="single" w:sz="8" w:color="51555C"/>
            </w:tcBorders>
          </w:tcPr>
          <w:p>
            <w:pPr>
              <w:spacing w:after="0"/>
              <w:rPr>
                <w:sz w:val="19"/>
                <w:szCs w:val="19"/>
                <w:color w:val="auto"/>
              </w:rPr>
            </w:pPr>
          </w:p>
        </w:tc>
      </w:tr>
      <w:tr>
        <w:trPr>
          <w:trHeight w:val="149"/>
        </w:trPr>
        <w:tc>
          <w:tcPr>
            <w:tcW w:w="598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900" w:type="dxa"/>
            <w:vAlign w:val="bottom"/>
            <w:shd w:val="clear" w:color="auto" w:fill="EBFBFF"/>
          </w:tcPr>
          <w:p>
            <w:pPr>
              <w:spacing w:after="0"/>
              <w:rPr>
                <w:sz w:val="12"/>
                <w:szCs w:val="12"/>
                <w:color w:val="auto"/>
              </w:rPr>
            </w:pPr>
          </w:p>
        </w:tc>
        <w:tc>
          <w:tcPr>
            <w:tcW w:w="160" w:type="dxa"/>
            <w:vAlign w:val="bottom"/>
            <w:shd w:val="clear" w:color="auto" w:fill="EBFBFF"/>
          </w:tcPr>
          <w:p>
            <w:pPr>
              <w:spacing w:after="0"/>
              <w:rPr>
                <w:sz w:val="12"/>
                <w:szCs w:val="12"/>
                <w:color w:val="auto"/>
              </w:rPr>
            </w:pPr>
          </w:p>
        </w:tc>
        <w:tc>
          <w:tcPr>
            <w:tcW w:w="1060" w:type="dxa"/>
            <w:vAlign w:val="bottom"/>
            <w:shd w:val="clear" w:color="auto" w:fill="EBFBFF"/>
          </w:tcPr>
          <w:p>
            <w:pPr>
              <w:spacing w:after="0"/>
              <w:rPr>
                <w:sz w:val="12"/>
                <w:szCs w:val="12"/>
                <w:color w:val="auto"/>
              </w:rPr>
            </w:pPr>
          </w:p>
        </w:tc>
        <w:tc>
          <w:tcPr>
            <w:tcW w:w="10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900" w:type="dxa"/>
            <w:vAlign w:val="bottom"/>
            <w:shd w:val="clear" w:color="auto" w:fill="EBFBFF"/>
          </w:tcPr>
          <w:p>
            <w:pPr>
              <w:spacing w:after="0"/>
              <w:rPr>
                <w:sz w:val="12"/>
                <w:szCs w:val="12"/>
                <w:color w:val="auto"/>
              </w:rPr>
            </w:pPr>
          </w:p>
        </w:tc>
        <w:tc>
          <w:tcPr>
            <w:tcW w:w="160" w:type="dxa"/>
            <w:vAlign w:val="bottom"/>
            <w:shd w:val="clear" w:color="auto" w:fill="EBFBFF"/>
          </w:tcPr>
          <w:p>
            <w:pPr>
              <w:spacing w:after="0"/>
              <w:rPr>
                <w:sz w:val="12"/>
                <w:szCs w:val="12"/>
                <w:color w:val="auto"/>
              </w:rPr>
            </w:pPr>
          </w:p>
        </w:tc>
        <w:tc>
          <w:tcPr>
            <w:tcW w:w="1060" w:type="dxa"/>
            <w:vAlign w:val="bottom"/>
            <w:shd w:val="clear" w:color="auto" w:fill="EBFBFF"/>
          </w:tcPr>
          <w:p>
            <w:pPr>
              <w:spacing w:after="0"/>
              <w:rPr>
                <w:sz w:val="12"/>
                <w:szCs w:val="12"/>
                <w:color w:val="auto"/>
              </w:rPr>
            </w:pPr>
          </w:p>
        </w:tc>
      </w:tr>
      <w:tr>
        <w:trPr>
          <w:trHeight w:val="208"/>
        </w:trPr>
        <w:tc>
          <w:tcPr>
            <w:tcW w:w="598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
        </w:trPr>
        <w:tc>
          <w:tcPr>
            <w:tcW w:w="5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59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Stock-based compensation expense</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22.1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21.7</w:t>
            </w:r>
          </w:p>
        </w:tc>
        <w:tc>
          <w:tcPr>
            <w:tcW w:w="56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68.7</w:t>
            </w:r>
          </w:p>
        </w:tc>
        <w:tc>
          <w:tcPr>
            <w:tcW w:w="1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71.1</w:t>
            </w:r>
          </w:p>
        </w:tc>
      </w:tr>
      <w:tr>
        <w:trPr>
          <w:trHeight w:val="208"/>
        </w:trPr>
        <w:tc>
          <w:tcPr>
            <w:tcW w:w="598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4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8"/>
                <w:szCs w:val="18"/>
                <w:color w:val="auto"/>
              </w:rPr>
            </w:pPr>
          </w:p>
        </w:tc>
        <w:tc>
          <w:tcPr>
            <w:tcW w:w="1060" w:type="dxa"/>
            <w:vAlign w:val="bottom"/>
          </w:tcPr>
          <w:p>
            <w:pPr>
              <w:jc w:val="center"/>
              <w:ind w:left="648"/>
              <w:spacing w:after="0"/>
              <w:rPr>
                <w:sz w:val="20"/>
                <w:szCs w:val="20"/>
                <w:color w:val="auto"/>
              </w:rPr>
            </w:pPr>
            <w:r>
              <w:rPr>
                <w:rFonts w:ascii="Arial" w:cs="Arial" w:eastAsia="Arial" w:hAnsi="Arial"/>
                <w:sz w:val="14"/>
                <w:szCs w:val="14"/>
                <w:color w:val="51555C"/>
              </w:rPr>
              <w:t>(0.2)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1.9</w:t>
            </w:r>
          </w:p>
        </w:tc>
      </w:tr>
      <w:tr>
        <w:trPr>
          <w:trHeight w:val="22"/>
        </w:trPr>
        <w:tc>
          <w:tcPr>
            <w:tcW w:w="5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59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Global workforce transition costs</w:t>
            </w:r>
            <w:r>
              <w:rPr>
                <w:rFonts w:ascii="Arial" w:cs="Arial" w:eastAsia="Arial" w:hAnsi="Arial"/>
                <w:sz w:val="18"/>
                <w:szCs w:val="18"/>
                <w:color w:val="51555C"/>
                <w:vertAlign w:val="superscript"/>
              </w:rPr>
              <w:t>(4)</w:t>
            </w: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5.4</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0" w:type="dxa"/>
            <w:vAlign w:val="bottom"/>
            <w:shd w:val="clear" w:color="auto" w:fill="EBFBFF"/>
          </w:tcPr>
          <w:p>
            <w:pPr>
              <w:spacing w:after="0"/>
              <w:rPr>
                <w:sz w:val="19"/>
                <w:szCs w:val="19"/>
                <w:color w:val="auto"/>
              </w:rPr>
            </w:pP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8.4</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r>
      <w:tr>
        <w:trPr>
          <w:trHeight w:val="230"/>
        </w:trPr>
        <w:tc>
          <w:tcPr>
            <w:tcW w:w="5980" w:type="dxa"/>
            <w:vAlign w:val="bottom"/>
          </w:tcPr>
          <w:p>
            <w:pPr>
              <w:ind w:left="140"/>
              <w:spacing w:after="0"/>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(4)</w:t>
            </w:r>
          </w:p>
        </w:tc>
        <w:tc>
          <w:tcPr>
            <w:tcW w:w="460" w:type="dxa"/>
            <w:vAlign w:val="bottom"/>
          </w:tcPr>
          <w:p>
            <w:pPr>
              <w:spacing w:after="0"/>
              <w:rPr>
                <w:sz w:val="19"/>
                <w:szCs w:val="19"/>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0.2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1.3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25.8</w:t>
            </w:r>
          </w:p>
        </w:tc>
      </w:tr>
      <w:tr>
        <w:trPr>
          <w:trHeight w:val="230"/>
        </w:trPr>
        <w:tc>
          <w:tcPr>
            <w:tcW w:w="59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costs</w:t>
            </w:r>
            <w:r>
              <w:rPr>
                <w:rFonts w:ascii="Arial" w:cs="Arial" w:eastAsia="Arial" w:hAnsi="Arial"/>
                <w:sz w:val="18"/>
                <w:szCs w:val="18"/>
                <w:color w:val="51555C"/>
                <w:vertAlign w:val="superscript"/>
              </w:rPr>
              <w:t>(4)</w:t>
            </w: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0.9</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0.2</w:t>
            </w:r>
          </w:p>
        </w:tc>
        <w:tc>
          <w:tcPr>
            <w:tcW w:w="100" w:type="dxa"/>
            <w:vAlign w:val="bottom"/>
            <w:shd w:val="clear" w:color="auto" w:fill="EBFBFF"/>
          </w:tcPr>
          <w:p>
            <w:pPr>
              <w:spacing w:after="0"/>
              <w:rPr>
                <w:sz w:val="19"/>
                <w:szCs w:val="19"/>
                <w:color w:val="auto"/>
              </w:rPr>
            </w:pP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0.9</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2.8</w:t>
            </w:r>
          </w:p>
        </w:tc>
      </w:tr>
      <w:tr>
        <w:trPr>
          <w:trHeight w:val="208"/>
        </w:trPr>
        <w:tc>
          <w:tcPr>
            <w:tcW w:w="5980" w:type="dxa"/>
            <w:vAlign w:val="bottom"/>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4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1.1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w:t>
            </w:r>
          </w:p>
        </w:tc>
      </w:tr>
      <w:tr>
        <w:trPr>
          <w:trHeight w:val="21"/>
        </w:trPr>
        <w:tc>
          <w:tcPr>
            <w:tcW w:w="5980" w:type="dxa"/>
            <w:vAlign w:val="bottom"/>
            <w:tcBorders>
              <w:bottom w:val="single" w:sz="8" w:color="EBFBFF"/>
            </w:tcBorders>
          </w:tcPr>
          <w:p>
            <w:pPr>
              <w:spacing w:after="0" w:line="20" w:lineRule="exact"/>
              <w:rPr>
                <w:sz w:val="1"/>
                <w:szCs w:val="1"/>
                <w:color w:val="auto"/>
              </w:rPr>
            </w:pPr>
          </w:p>
        </w:tc>
        <w:tc>
          <w:tcPr>
            <w:tcW w:w="460" w:type="dxa"/>
            <w:vAlign w:val="bottom"/>
            <w:tcBorders>
              <w:bottom w:val="single" w:sz="8" w:color="51555C"/>
            </w:tcBorders>
          </w:tcPr>
          <w:p>
            <w:pPr>
              <w:spacing w:after="0" w:line="20" w:lineRule="exact"/>
              <w:rPr>
                <w:sz w:val="1"/>
                <w:szCs w:val="1"/>
                <w:color w:val="auto"/>
              </w:rPr>
            </w:pPr>
          </w:p>
        </w:tc>
        <w:tc>
          <w:tcPr>
            <w:tcW w:w="900" w:type="dxa"/>
            <w:vAlign w:val="bottom"/>
            <w:tcBorders>
              <w:bottom w:val="single" w:sz="8" w:color="51555C"/>
            </w:tcBorders>
          </w:tcPr>
          <w:p>
            <w:pPr>
              <w:spacing w:after="0" w:line="20" w:lineRule="exact"/>
              <w:rPr>
                <w:sz w:val="1"/>
                <w:szCs w:val="1"/>
                <w:color w:val="auto"/>
              </w:rPr>
            </w:pPr>
          </w:p>
        </w:tc>
        <w:tc>
          <w:tcPr>
            <w:tcW w:w="160" w:type="dxa"/>
            <w:vAlign w:val="bottom"/>
            <w:tcBorders>
              <w:bottom w:val="single" w:sz="8" w:color="51555C"/>
            </w:tcBorders>
          </w:tcPr>
          <w:p>
            <w:pPr>
              <w:spacing w:after="0" w:line="20" w:lineRule="exact"/>
              <w:rPr>
                <w:sz w:val="1"/>
                <w:szCs w:val="1"/>
                <w:color w:val="auto"/>
              </w:rPr>
            </w:pPr>
          </w:p>
        </w:tc>
        <w:tc>
          <w:tcPr>
            <w:tcW w:w="1060" w:type="dxa"/>
            <w:vAlign w:val="bottom"/>
            <w:tcBorders>
              <w:bottom w:val="single" w:sz="8" w:color="51555C"/>
            </w:tcBorders>
          </w:tcPr>
          <w:p>
            <w:pPr>
              <w:spacing w:after="0" w:line="20" w:lineRule="exact"/>
              <w:rPr>
                <w:sz w:val="1"/>
                <w:szCs w:val="1"/>
                <w:color w:val="auto"/>
              </w:rPr>
            </w:pPr>
          </w:p>
        </w:tc>
        <w:tc>
          <w:tcPr>
            <w:tcW w:w="100" w:type="dxa"/>
            <w:vAlign w:val="bottom"/>
            <w:tcBorders>
              <w:bottom w:val="single" w:sz="8" w:color="EBFBFF"/>
            </w:tcBorders>
          </w:tcPr>
          <w:p>
            <w:pPr>
              <w:spacing w:after="0" w:line="20" w:lineRule="exact"/>
              <w:rPr>
                <w:sz w:val="1"/>
                <w:szCs w:val="1"/>
                <w:color w:val="auto"/>
              </w:rPr>
            </w:pPr>
          </w:p>
        </w:tc>
        <w:tc>
          <w:tcPr>
            <w:tcW w:w="460" w:type="dxa"/>
            <w:vAlign w:val="bottom"/>
            <w:tcBorders>
              <w:bottom w:val="single" w:sz="8" w:color="51555C"/>
            </w:tcBorders>
          </w:tcPr>
          <w:p>
            <w:pPr>
              <w:spacing w:after="0" w:line="20" w:lineRule="exact"/>
              <w:rPr>
                <w:sz w:val="1"/>
                <w:szCs w:val="1"/>
                <w:color w:val="auto"/>
              </w:rPr>
            </w:pPr>
          </w:p>
        </w:tc>
        <w:tc>
          <w:tcPr>
            <w:tcW w:w="900" w:type="dxa"/>
            <w:vAlign w:val="bottom"/>
            <w:tcBorders>
              <w:bottom w:val="single" w:sz="8" w:color="51555C"/>
            </w:tcBorders>
          </w:tcPr>
          <w:p>
            <w:pPr>
              <w:spacing w:after="0" w:line="20" w:lineRule="exact"/>
              <w:rPr>
                <w:sz w:val="1"/>
                <w:szCs w:val="1"/>
                <w:color w:val="auto"/>
              </w:rPr>
            </w:pPr>
          </w:p>
        </w:tc>
        <w:tc>
          <w:tcPr>
            <w:tcW w:w="160" w:type="dxa"/>
            <w:vAlign w:val="bottom"/>
            <w:tcBorders>
              <w:bottom w:val="single" w:sz="8" w:color="51555C"/>
            </w:tcBorders>
          </w:tcPr>
          <w:p>
            <w:pPr>
              <w:spacing w:after="0" w:line="20" w:lineRule="exact"/>
              <w:rPr>
                <w:sz w:val="1"/>
                <w:szCs w:val="1"/>
                <w:color w:val="auto"/>
              </w:rPr>
            </w:pPr>
          </w:p>
        </w:tc>
        <w:tc>
          <w:tcPr>
            <w:tcW w:w="1060" w:type="dxa"/>
            <w:vAlign w:val="bottom"/>
            <w:tcBorders>
              <w:bottom w:val="single" w:sz="8" w:color="51555C"/>
            </w:tcBorders>
          </w:tcPr>
          <w:p>
            <w:pPr>
              <w:spacing w:after="0" w:line="20" w:lineRule="exact"/>
              <w:rPr>
                <w:sz w:val="1"/>
                <w:szCs w:val="1"/>
                <w:color w:val="auto"/>
              </w:rPr>
            </w:pPr>
          </w:p>
        </w:tc>
      </w:tr>
      <w:tr>
        <w:trPr>
          <w:trHeight w:val="223"/>
        </w:trPr>
        <w:tc>
          <w:tcPr>
            <w:tcW w:w="598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28.6</w:t>
            </w:r>
          </w:p>
        </w:tc>
        <w:tc>
          <w:tcPr>
            <w:tcW w:w="16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22.0</w:t>
            </w:r>
          </w:p>
        </w:tc>
        <w:tc>
          <w:tcPr>
            <w:tcW w:w="100" w:type="dxa"/>
            <w:vAlign w:val="bottom"/>
            <w:shd w:val="clear" w:color="auto" w:fill="EBFBFF"/>
          </w:tcPr>
          <w:p>
            <w:pPr>
              <w:spacing w:after="0"/>
              <w:rPr>
                <w:sz w:val="19"/>
                <w:szCs w:val="19"/>
                <w:color w:val="auto"/>
              </w:rPr>
            </w:pP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80.3</w:t>
            </w:r>
          </w:p>
        </w:tc>
        <w:tc>
          <w:tcPr>
            <w:tcW w:w="16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101.6</w:t>
            </w:r>
          </w:p>
        </w:tc>
      </w:tr>
      <w:tr>
        <w:trPr>
          <w:trHeight w:val="223"/>
        </w:trPr>
        <w:tc>
          <w:tcPr>
            <w:tcW w:w="5980" w:type="dxa"/>
            <w:vAlign w:val="bottom"/>
          </w:tcPr>
          <w:p>
            <w:pPr>
              <w:ind w:left="20"/>
              <w:spacing w:after="0"/>
              <w:rPr>
                <w:sz w:val="20"/>
                <w:szCs w:val="20"/>
                <w:color w:val="auto"/>
              </w:rPr>
            </w:pPr>
            <w:r>
              <w:rPr>
                <w:rFonts w:ascii="Arial" w:cs="Arial" w:eastAsia="Arial" w:hAnsi="Arial"/>
                <w:sz w:val="14"/>
                <w:szCs w:val="14"/>
                <w:color w:val="51555C"/>
              </w:rPr>
              <w:t>Non-GAAP adjusted EBITDA</w:t>
            </w:r>
            <w:r>
              <w:rPr>
                <w:rFonts w:ascii="Arial" w:cs="Arial" w:eastAsia="Arial" w:hAnsi="Arial"/>
                <w:sz w:val="18"/>
                <w:szCs w:val="18"/>
                <w:color w:val="51555C"/>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111.1</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60" w:type="dxa"/>
            <w:vAlign w:val="bottom"/>
          </w:tcPr>
          <w:p>
            <w:pPr>
              <w:jc w:val="right"/>
              <w:spacing w:after="0"/>
              <w:rPr>
                <w:sz w:val="20"/>
                <w:szCs w:val="20"/>
                <w:color w:val="auto"/>
              </w:rPr>
            </w:pPr>
            <w:r>
              <w:rPr>
                <w:rFonts w:ascii="Arial" w:cs="Arial" w:eastAsia="Arial" w:hAnsi="Arial"/>
                <w:sz w:val="14"/>
                <w:szCs w:val="14"/>
                <w:color w:val="51555C"/>
              </w:rPr>
              <w:t>99.7</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320.1</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51555C"/>
              </w:rPr>
              <w:t>300.8</w:t>
            </w:r>
          </w:p>
        </w:tc>
      </w:tr>
      <w:tr>
        <w:trPr>
          <w:trHeight w:val="223"/>
        </w:trPr>
        <w:tc>
          <w:tcPr>
            <w:tcW w:w="5980" w:type="dxa"/>
            <w:vAlign w:val="bottom"/>
            <w:tcBorders>
              <w:top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adjusted EBITDA margin</w:t>
            </w:r>
            <w:r>
              <w:rPr>
                <w:rFonts w:ascii="Arial" w:cs="Arial" w:eastAsia="Arial" w:hAnsi="Arial"/>
                <w:sz w:val="18"/>
                <w:szCs w:val="18"/>
                <w:b w:val="1"/>
                <w:bCs w:val="1"/>
                <w:color w:val="51555C"/>
                <w:vertAlign w:val="superscript"/>
              </w:rPr>
              <w:t>(5)</w:t>
            </w:r>
          </w:p>
        </w:tc>
        <w:tc>
          <w:tcPr>
            <w:tcW w:w="460" w:type="dxa"/>
            <w:vAlign w:val="bottom"/>
            <w:tcBorders>
              <w:top w:val="single" w:sz="8" w:color="51555C"/>
            </w:tcBorders>
            <w:shd w:val="clear" w:color="auto" w:fill="EBFBFF"/>
          </w:tcPr>
          <w:p>
            <w:pPr>
              <w:spacing w:after="0"/>
              <w:rPr>
                <w:sz w:val="19"/>
                <w:szCs w:val="19"/>
                <w:color w:val="auto"/>
              </w:rPr>
            </w:pPr>
          </w:p>
        </w:tc>
        <w:tc>
          <w:tcPr>
            <w:tcW w:w="900" w:type="dxa"/>
            <w:vAlign w:val="bottom"/>
            <w:tcBorders>
              <w:top w:val="single" w:sz="8" w:color="51555C"/>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38.0 %</w:t>
            </w:r>
          </w:p>
        </w:tc>
        <w:tc>
          <w:tcPr>
            <w:tcW w:w="160" w:type="dxa"/>
            <w:vAlign w:val="bottom"/>
            <w:tcBorders>
              <w:top w:val="single" w:sz="8" w:color="51555C"/>
            </w:tcBorders>
            <w:shd w:val="clear" w:color="auto" w:fill="EBFBFF"/>
          </w:tcPr>
          <w:p>
            <w:pPr>
              <w:spacing w:after="0"/>
              <w:rPr>
                <w:sz w:val="19"/>
                <w:szCs w:val="19"/>
                <w:color w:val="auto"/>
              </w:rPr>
            </w:pPr>
          </w:p>
        </w:tc>
        <w:tc>
          <w:tcPr>
            <w:tcW w:w="1060" w:type="dxa"/>
            <w:vAlign w:val="bottom"/>
            <w:tcBorders>
              <w:top w:val="single" w:sz="8" w:color="51555C"/>
            </w:tcBorders>
            <w:shd w:val="clear" w:color="auto" w:fill="EBFBFF"/>
          </w:tcPr>
          <w:p>
            <w:pPr>
              <w:spacing w:after="0"/>
              <w:rPr>
                <w:sz w:val="19"/>
                <w:szCs w:val="19"/>
                <w:color w:val="auto"/>
              </w:rPr>
            </w:pPr>
          </w:p>
        </w:tc>
        <w:tc>
          <w:tcPr>
            <w:tcW w:w="100" w:type="dxa"/>
            <w:vAlign w:val="bottom"/>
            <w:tcBorders>
              <w:top w:val="single" w:sz="8" w:color="EBFBFF"/>
            </w:tcBorders>
            <w:shd w:val="clear" w:color="auto" w:fill="EBFBFF"/>
          </w:tcPr>
          <w:p>
            <w:pPr>
              <w:spacing w:after="0"/>
              <w:rPr>
                <w:sz w:val="19"/>
                <w:szCs w:val="19"/>
                <w:color w:val="auto"/>
              </w:rPr>
            </w:pPr>
          </w:p>
        </w:tc>
        <w:tc>
          <w:tcPr>
            <w:tcW w:w="460" w:type="dxa"/>
            <w:vAlign w:val="bottom"/>
            <w:tcBorders>
              <w:top w:val="single" w:sz="8" w:color="51555C"/>
            </w:tcBorders>
            <w:shd w:val="clear" w:color="auto" w:fill="EBFBFF"/>
          </w:tcPr>
          <w:p>
            <w:pPr>
              <w:spacing w:after="0"/>
              <w:rPr>
                <w:sz w:val="19"/>
                <w:szCs w:val="19"/>
                <w:color w:val="auto"/>
              </w:rPr>
            </w:pPr>
          </w:p>
        </w:tc>
        <w:tc>
          <w:tcPr>
            <w:tcW w:w="900" w:type="dxa"/>
            <w:vAlign w:val="bottom"/>
            <w:tcBorders>
              <w:top w:val="single" w:sz="8" w:color="51555C"/>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37.0 %</w:t>
            </w:r>
          </w:p>
        </w:tc>
        <w:tc>
          <w:tcPr>
            <w:tcW w:w="160" w:type="dxa"/>
            <w:vAlign w:val="bottom"/>
            <w:tcBorders>
              <w:top w:val="single" w:sz="8" w:color="51555C"/>
            </w:tcBorders>
            <w:shd w:val="clear" w:color="auto" w:fill="EBFBFF"/>
          </w:tcPr>
          <w:p>
            <w:pPr>
              <w:spacing w:after="0"/>
              <w:rPr>
                <w:sz w:val="19"/>
                <w:szCs w:val="19"/>
                <w:color w:val="auto"/>
              </w:rPr>
            </w:pPr>
          </w:p>
        </w:tc>
        <w:tc>
          <w:tcPr>
            <w:tcW w:w="1060" w:type="dxa"/>
            <w:vAlign w:val="bottom"/>
            <w:tcBorders>
              <w:top w:val="single" w:sz="8" w:color="51555C"/>
            </w:tcBorders>
            <w:shd w:val="clear" w:color="auto" w:fill="EBFBFF"/>
          </w:tcPr>
          <w:p>
            <w:pPr>
              <w:spacing w:after="0"/>
              <w:rPr>
                <w:sz w:val="19"/>
                <w:szCs w:val="19"/>
                <w:color w:val="auto"/>
              </w:rPr>
            </w:pPr>
          </w:p>
        </w:tc>
      </w:tr>
      <w:tr>
        <w:trPr>
          <w:trHeight w:val="95"/>
        </w:trPr>
        <w:tc>
          <w:tcPr>
            <w:tcW w:w="5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30"/>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Rule of 40</w:t>
            </w:r>
            <w:r>
              <w:rPr>
                <w:rFonts w:ascii="Arial" w:cs="Arial" w:eastAsia="Arial" w:hAnsi="Arial"/>
                <w:sz w:val="18"/>
                <w:szCs w:val="18"/>
                <w:b w:val="1"/>
                <w:bCs w:val="1"/>
                <w:color w:val="51555C"/>
                <w:vertAlign w:val="superscript"/>
              </w:rPr>
              <w:t>(6)</w:t>
            </w: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42.1 %</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spacing w:after="0"/>
              <w:rPr>
                <w:sz w:val="19"/>
                <w:szCs w:val="19"/>
                <w:color w:val="auto"/>
              </w:rPr>
            </w:pPr>
          </w:p>
        </w:tc>
        <w:tc>
          <w:tcPr>
            <w:tcW w:w="100" w:type="dxa"/>
            <w:vAlign w:val="bottom"/>
            <w:shd w:val="clear" w:color="auto" w:fill="EBFBFF"/>
          </w:tcPr>
          <w:p>
            <w:pPr>
              <w:spacing w:after="0"/>
              <w:rPr>
                <w:sz w:val="19"/>
                <w:szCs w:val="19"/>
                <w:color w:val="auto"/>
              </w:rPr>
            </w:pP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40.8 %</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5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Non-GAAP adjusted EBITDA</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111.1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99.7</w:t>
            </w:r>
          </w:p>
        </w:tc>
        <w:tc>
          <w:tcPr>
            <w:tcW w:w="56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320.1</w:t>
            </w:r>
          </w:p>
        </w:tc>
        <w:tc>
          <w:tcPr>
            <w:tcW w:w="1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300.8</w:t>
            </w:r>
          </w:p>
        </w:tc>
      </w:tr>
      <w:tr>
        <w:trPr>
          <w:trHeight w:val="229"/>
        </w:trPr>
        <w:tc>
          <w:tcPr>
            <w:tcW w:w="598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Foreign currency impact on Non-GAAP adjusted EBITDA</w:t>
            </w:r>
            <w:r>
              <w:rPr>
                <w:rFonts w:ascii="Arial" w:cs="Arial" w:eastAsia="Arial" w:hAnsi="Arial"/>
                <w:sz w:val="18"/>
                <w:szCs w:val="18"/>
                <w:color w:val="51555C"/>
                <w:vertAlign w:val="superscript"/>
              </w:rPr>
              <w:t>(7)</w:t>
            </w: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(0.1)</w:t>
            </w:r>
          </w:p>
        </w:tc>
        <w:tc>
          <w:tcPr>
            <w:tcW w:w="160" w:type="dxa"/>
            <w:vAlign w:val="bottom"/>
            <w:tcBorders>
              <w:bottom w:val="single" w:sz="8" w:color="51555C"/>
            </w:tcBorders>
          </w:tcPr>
          <w:p>
            <w:pPr>
              <w:spacing w:after="0"/>
              <w:rPr>
                <w:sz w:val="19"/>
                <w:szCs w:val="19"/>
                <w:color w:val="auto"/>
              </w:rPr>
            </w:pPr>
          </w:p>
        </w:tc>
        <w:tc>
          <w:tcPr>
            <w:tcW w:w="1060" w:type="dxa"/>
            <w:vAlign w:val="bottom"/>
            <w:tcBorders>
              <w:bottom w:val="single" w:sz="8" w:color="51555C"/>
            </w:tcBorders>
          </w:tcPr>
          <w:p>
            <w:pPr>
              <w:jc w:val="center"/>
              <w:ind w:left="648"/>
              <w:spacing w:after="0"/>
              <w:rPr>
                <w:sz w:val="20"/>
                <w:szCs w:val="20"/>
                <w:color w:val="auto"/>
              </w:rPr>
            </w:pPr>
            <w:r>
              <w:rPr>
                <w:rFonts w:ascii="Arial" w:cs="Arial" w:eastAsia="Arial" w:hAnsi="Arial"/>
                <w:sz w:val="14"/>
                <w:szCs w:val="14"/>
                <w:color w:val="51555C"/>
              </w:rPr>
              <w:t>(0.5)</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(1.3)</w:t>
            </w:r>
          </w:p>
        </w:tc>
        <w:tc>
          <w:tcPr>
            <w:tcW w:w="160" w:type="dxa"/>
            <w:vAlign w:val="bottom"/>
            <w:tcBorders>
              <w:bottom w:val="single" w:sz="8" w:color="51555C"/>
            </w:tcBorders>
          </w:tcPr>
          <w:p>
            <w:pPr>
              <w:spacing w:after="0"/>
              <w:rPr>
                <w:sz w:val="19"/>
                <w:szCs w:val="19"/>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(1.4)</w:t>
            </w:r>
          </w:p>
        </w:tc>
      </w:tr>
      <w:tr>
        <w:trPr>
          <w:trHeight w:val="223"/>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adjusted EBITDA on constant currency basis</w:t>
            </w:r>
            <w:r>
              <w:rPr>
                <w:rFonts w:ascii="Arial" w:cs="Arial" w:eastAsia="Arial" w:hAnsi="Arial"/>
                <w:sz w:val="18"/>
                <w:szCs w:val="18"/>
                <w:color w:val="51555C"/>
                <w:vertAlign w:val="superscript"/>
              </w:rPr>
              <w:t>(7)</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111.0</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99.1</w:t>
            </w:r>
          </w:p>
        </w:tc>
        <w:tc>
          <w:tcPr>
            <w:tcW w:w="560" w:type="dxa"/>
            <w:vAlign w:val="bottom"/>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318.8</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299.4</w:t>
            </w:r>
          </w:p>
        </w:tc>
      </w:tr>
      <w:tr>
        <w:trPr>
          <w:trHeight w:val="215"/>
        </w:trPr>
        <w:tc>
          <w:tcPr>
            <w:tcW w:w="5980" w:type="dxa"/>
            <w:vAlign w:val="bottom"/>
          </w:tcPr>
          <w:p>
            <w:pPr>
              <w:ind w:left="140"/>
              <w:spacing w:after="0"/>
              <w:rPr>
                <w:sz w:val="20"/>
                <w:szCs w:val="20"/>
                <w:color w:val="auto"/>
              </w:rPr>
            </w:pPr>
            <w:r>
              <w:rPr>
                <w:rFonts w:ascii="Arial" w:cs="Arial" w:eastAsia="Arial" w:hAnsi="Arial"/>
                <w:sz w:val="14"/>
                <w:szCs w:val="14"/>
                <w:b w:val="1"/>
                <w:bCs w:val="1"/>
                <w:color w:val="51555C"/>
              </w:rPr>
              <w:t>Non-GAAP adjusted EBITDA margin on constant currency basis</w:t>
            </w:r>
          </w:p>
        </w:tc>
        <w:tc>
          <w:tcPr>
            <w:tcW w:w="4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38.0 %</w:t>
            </w:r>
          </w:p>
        </w:tc>
        <w:tc>
          <w:tcPr>
            <w:tcW w:w="160" w:type="dxa"/>
            <w:vAlign w:val="bottom"/>
            <w:tcBorders>
              <w:top w:val="single" w:sz="8" w:color="51555C"/>
            </w:tcBorders>
          </w:tcPr>
          <w:p>
            <w:pPr>
              <w:spacing w:after="0"/>
              <w:rPr>
                <w:sz w:val="18"/>
                <w:szCs w:val="18"/>
                <w:color w:val="auto"/>
              </w:rPr>
            </w:pPr>
          </w:p>
        </w:tc>
        <w:tc>
          <w:tcPr>
            <w:tcW w:w="1060" w:type="dxa"/>
            <w:vAlign w:val="bottom"/>
            <w:tcBorders>
              <w:top w:val="single" w:sz="8" w:color="51555C"/>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37.0 %</w:t>
            </w:r>
          </w:p>
        </w:tc>
        <w:tc>
          <w:tcPr>
            <w:tcW w:w="160" w:type="dxa"/>
            <w:vAlign w:val="bottom"/>
            <w:tcBorders>
              <w:top w:val="single" w:sz="8" w:color="51555C"/>
            </w:tcBorders>
          </w:tcPr>
          <w:p>
            <w:pPr>
              <w:spacing w:after="0"/>
              <w:rPr>
                <w:sz w:val="18"/>
                <w:szCs w:val="18"/>
                <w:color w:val="auto"/>
              </w:rPr>
            </w:pPr>
          </w:p>
        </w:tc>
        <w:tc>
          <w:tcPr>
            <w:tcW w:w="1060" w:type="dxa"/>
            <w:vAlign w:val="bottom"/>
            <w:tcBorders>
              <w:top w:val="single" w:sz="8" w:color="51555C"/>
            </w:tcBorders>
          </w:tcPr>
          <w:p>
            <w:pPr>
              <w:spacing w:after="0"/>
              <w:rPr>
                <w:sz w:val="18"/>
                <w:szCs w:val="18"/>
                <w:color w:val="auto"/>
              </w:rPr>
            </w:pPr>
          </w:p>
        </w:tc>
      </w:tr>
      <w:tr>
        <w:trPr>
          <w:trHeight w:val="102"/>
        </w:trPr>
        <w:tc>
          <w:tcPr>
            <w:tcW w:w="5980" w:type="dxa"/>
            <w:vAlign w:val="bottom"/>
            <w:shd w:val="clear" w:color="auto" w:fill="EBFBFF"/>
          </w:tcPr>
          <w:p>
            <w:pPr>
              <w:spacing w:after="0"/>
              <w:rPr>
                <w:sz w:val="8"/>
                <w:szCs w:val="8"/>
                <w:color w:val="auto"/>
              </w:rPr>
            </w:pPr>
          </w:p>
        </w:tc>
        <w:tc>
          <w:tcPr>
            <w:tcW w:w="460" w:type="dxa"/>
            <w:vAlign w:val="bottom"/>
            <w:shd w:val="clear" w:color="auto" w:fill="EBFBFF"/>
          </w:tcPr>
          <w:p>
            <w:pPr>
              <w:spacing w:after="0"/>
              <w:rPr>
                <w:sz w:val="8"/>
                <w:szCs w:val="8"/>
                <w:color w:val="auto"/>
              </w:rPr>
            </w:pPr>
          </w:p>
        </w:tc>
        <w:tc>
          <w:tcPr>
            <w:tcW w:w="900" w:type="dxa"/>
            <w:vAlign w:val="bottom"/>
            <w:shd w:val="clear" w:color="auto" w:fill="EBFBFF"/>
          </w:tcPr>
          <w:p>
            <w:pPr>
              <w:spacing w:after="0"/>
              <w:rPr>
                <w:sz w:val="8"/>
                <w:szCs w:val="8"/>
                <w:color w:val="auto"/>
              </w:rPr>
            </w:pPr>
          </w:p>
        </w:tc>
        <w:tc>
          <w:tcPr>
            <w:tcW w:w="160" w:type="dxa"/>
            <w:vAlign w:val="bottom"/>
            <w:shd w:val="clear" w:color="auto" w:fill="EBFBFF"/>
          </w:tcPr>
          <w:p>
            <w:pPr>
              <w:spacing w:after="0"/>
              <w:rPr>
                <w:sz w:val="8"/>
                <w:szCs w:val="8"/>
                <w:color w:val="auto"/>
              </w:rPr>
            </w:pPr>
          </w:p>
        </w:tc>
        <w:tc>
          <w:tcPr>
            <w:tcW w:w="1060" w:type="dxa"/>
            <w:vAlign w:val="bottom"/>
            <w:shd w:val="clear" w:color="auto" w:fill="EBFBFF"/>
          </w:tcPr>
          <w:p>
            <w:pPr>
              <w:spacing w:after="0"/>
              <w:rPr>
                <w:sz w:val="8"/>
                <w:szCs w:val="8"/>
                <w:color w:val="auto"/>
              </w:rPr>
            </w:pPr>
          </w:p>
        </w:tc>
        <w:tc>
          <w:tcPr>
            <w:tcW w:w="100" w:type="dxa"/>
            <w:vAlign w:val="bottom"/>
            <w:shd w:val="clear" w:color="auto" w:fill="EBFBFF"/>
          </w:tcPr>
          <w:p>
            <w:pPr>
              <w:spacing w:after="0"/>
              <w:rPr>
                <w:sz w:val="8"/>
                <w:szCs w:val="8"/>
                <w:color w:val="auto"/>
              </w:rPr>
            </w:pPr>
          </w:p>
        </w:tc>
        <w:tc>
          <w:tcPr>
            <w:tcW w:w="460" w:type="dxa"/>
            <w:vAlign w:val="bottom"/>
            <w:shd w:val="clear" w:color="auto" w:fill="EBFBFF"/>
          </w:tcPr>
          <w:p>
            <w:pPr>
              <w:spacing w:after="0"/>
              <w:rPr>
                <w:sz w:val="8"/>
                <w:szCs w:val="8"/>
                <w:color w:val="auto"/>
              </w:rPr>
            </w:pPr>
          </w:p>
        </w:tc>
        <w:tc>
          <w:tcPr>
            <w:tcW w:w="900" w:type="dxa"/>
            <w:vAlign w:val="bottom"/>
            <w:shd w:val="clear" w:color="auto" w:fill="EBFBFF"/>
          </w:tcPr>
          <w:p>
            <w:pPr>
              <w:spacing w:after="0"/>
              <w:rPr>
                <w:sz w:val="8"/>
                <w:szCs w:val="8"/>
                <w:color w:val="auto"/>
              </w:rPr>
            </w:pPr>
          </w:p>
        </w:tc>
        <w:tc>
          <w:tcPr>
            <w:tcW w:w="160" w:type="dxa"/>
            <w:vAlign w:val="bottom"/>
            <w:shd w:val="clear" w:color="auto" w:fill="EBFBFF"/>
          </w:tcPr>
          <w:p>
            <w:pPr>
              <w:spacing w:after="0"/>
              <w:rPr>
                <w:sz w:val="8"/>
                <w:szCs w:val="8"/>
                <w:color w:val="auto"/>
              </w:rPr>
            </w:pPr>
          </w:p>
        </w:tc>
        <w:tc>
          <w:tcPr>
            <w:tcW w:w="1060" w:type="dxa"/>
            <w:vAlign w:val="bottom"/>
            <w:shd w:val="clear" w:color="auto" w:fill="EBFBFF"/>
          </w:tcPr>
          <w:p>
            <w:pPr>
              <w:spacing w:after="0"/>
              <w:rPr>
                <w:sz w:val="8"/>
                <w:szCs w:val="8"/>
                <w:color w:val="auto"/>
              </w:rPr>
            </w:pPr>
          </w:p>
        </w:tc>
      </w:tr>
      <w:tr>
        <w:trPr>
          <w:trHeight w:val="230"/>
        </w:trPr>
        <w:tc>
          <w:tcPr>
            <w:tcW w:w="5980" w:type="dxa"/>
            <w:vAlign w:val="bottom"/>
            <w:tcBorders>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Rule of 40 on constant currency basis</w:t>
            </w:r>
            <w:r>
              <w:rPr>
                <w:rFonts w:ascii="Arial" w:cs="Arial" w:eastAsia="Arial" w:hAnsi="Arial"/>
                <w:sz w:val="18"/>
                <w:szCs w:val="18"/>
                <w:b w:val="1"/>
                <w:bCs w:val="1"/>
                <w:color w:val="51555C"/>
                <w:vertAlign w:val="superscript"/>
              </w:rPr>
              <w:t>(8)</w:t>
            </w:r>
          </w:p>
        </w:tc>
        <w:tc>
          <w:tcPr>
            <w:tcW w:w="460" w:type="dxa"/>
            <w:vAlign w:val="bottom"/>
            <w:tcBorders>
              <w:bottom w:val="single" w:sz="8" w:color="0CD973"/>
            </w:tcBorders>
          </w:tcPr>
          <w:p>
            <w:pPr>
              <w:spacing w:after="0"/>
              <w:rPr>
                <w:sz w:val="19"/>
                <w:szCs w:val="19"/>
                <w:color w:val="auto"/>
              </w:rPr>
            </w:pPr>
          </w:p>
        </w:tc>
        <w:tc>
          <w:tcPr>
            <w:tcW w:w="90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42.0 %</w:t>
            </w:r>
          </w:p>
        </w:tc>
        <w:tc>
          <w:tcPr>
            <w:tcW w:w="160" w:type="dxa"/>
            <w:vAlign w:val="bottom"/>
            <w:tcBorders>
              <w:bottom w:val="single" w:sz="8" w:color="0CD973"/>
            </w:tcBorders>
          </w:tcPr>
          <w:p>
            <w:pPr>
              <w:spacing w:after="0"/>
              <w:rPr>
                <w:sz w:val="19"/>
                <w:szCs w:val="19"/>
                <w:color w:val="auto"/>
              </w:rPr>
            </w:pPr>
          </w:p>
        </w:tc>
        <w:tc>
          <w:tcPr>
            <w:tcW w:w="1060" w:type="dxa"/>
            <w:vAlign w:val="bottom"/>
            <w:tcBorders>
              <w:bottom w:val="single" w:sz="8" w:color="0CD973"/>
            </w:tcBorders>
          </w:tcPr>
          <w:p>
            <w:pPr>
              <w:spacing w:after="0"/>
              <w:rPr>
                <w:sz w:val="19"/>
                <w:szCs w:val="19"/>
                <w:color w:val="auto"/>
              </w:rPr>
            </w:pPr>
          </w:p>
        </w:tc>
        <w:tc>
          <w:tcPr>
            <w:tcW w:w="100" w:type="dxa"/>
            <w:vAlign w:val="bottom"/>
            <w:tcBorders>
              <w:bottom w:val="single" w:sz="8" w:color="0CD973"/>
            </w:tcBorders>
          </w:tcPr>
          <w:p>
            <w:pPr>
              <w:spacing w:after="0"/>
              <w:rPr>
                <w:sz w:val="19"/>
                <w:szCs w:val="19"/>
                <w:color w:val="auto"/>
              </w:rPr>
            </w:pPr>
          </w:p>
        </w:tc>
        <w:tc>
          <w:tcPr>
            <w:tcW w:w="460" w:type="dxa"/>
            <w:vAlign w:val="bottom"/>
            <w:tcBorders>
              <w:bottom w:val="single" w:sz="8" w:color="0CD973"/>
            </w:tcBorders>
          </w:tcPr>
          <w:p>
            <w:pPr>
              <w:spacing w:after="0"/>
              <w:rPr>
                <w:sz w:val="19"/>
                <w:szCs w:val="19"/>
                <w:color w:val="auto"/>
              </w:rPr>
            </w:pPr>
          </w:p>
        </w:tc>
        <w:tc>
          <w:tcPr>
            <w:tcW w:w="90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40.4 %</w:t>
            </w:r>
          </w:p>
        </w:tc>
        <w:tc>
          <w:tcPr>
            <w:tcW w:w="160" w:type="dxa"/>
            <w:vAlign w:val="bottom"/>
            <w:tcBorders>
              <w:bottom w:val="single" w:sz="8" w:color="0CD973"/>
            </w:tcBorders>
          </w:tcPr>
          <w:p>
            <w:pPr>
              <w:spacing w:after="0"/>
              <w:rPr>
                <w:sz w:val="19"/>
                <w:szCs w:val="19"/>
                <w:color w:val="auto"/>
              </w:rPr>
            </w:pPr>
          </w:p>
        </w:tc>
        <w:tc>
          <w:tcPr>
            <w:tcW w:w="1060" w:type="dxa"/>
            <w:vAlign w:val="bottom"/>
            <w:tcBorders>
              <w:bottom w:val="single" w:sz="8" w:color="0CD973"/>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-4379595</wp:posOffset>
            </wp:positionV>
            <wp:extent cx="33343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development costs and amortization expense from capitalized cloud computing implementation costs.</w:t>
      </w:r>
    </w:p>
    <w:p>
      <w:pPr>
        <w:spacing w:after="0" w:line="15" w:lineRule="exact"/>
        <w:rPr>
          <w:rFonts w:ascii="Arial" w:cs="Arial" w:eastAsia="Arial" w:hAnsi="Arial"/>
          <w:sz w:val="14"/>
          <w:szCs w:val="14"/>
          <w:color w:val="51555C"/>
        </w:rPr>
      </w:pPr>
    </w:p>
    <w:p>
      <w:pPr>
        <w:ind w:left="340" w:hanging="332"/>
        <w:spacing w:after="0" w:line="261" w:lineRule="auto"/>
        <w:tabs>
          <w:tab w:leader="none" w:pos="354"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EBITDA, non-GAAP adjusted EBITDA or non-GAAP adjusted EBITDA on a constant currency basis due to rounding.</w:t>
      </w: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Measured by non-GAAP EBITDA divided by non-GAAP organic revenue.</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See additional details in the reconciliation of GAAP to non-GAAP operating income above.</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Measured by non-GAAP adjusted EBITDA divided by non-GAAP organic revenue.</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4" w:lineRule="exact"/>
        <w:rPr>
          <w:rFonts w:ascii="Arial" w:cs="Arial" w:eastAsia="Arial" w:hAnsi="Arial"/>
          <w:sz w:val="14"/>
          <w:szCs w:val="14"/>
          <w:color w:val="51555C"/>
        </w:rPr>
      </w:pPr>
    </w:p>
    <w:p>
      <w:pPr>
        <w:jc w:val="both"/>
        <w:ind w:left="340" w:hanging="332"/>
        <w:spacing w:after="0" w:line="261" w:lineRule="auto"/>
        <w:tabs>
          <w:tab w:leader="none" w:pos="354"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40" w:hanging="332"/>
        <w:spacing w:after="0" w:line="264" w:lineRule="auto"/>
        <w:tabs>
          <w:tab w:leader="none" w:pos="354"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 See Non-GAAP organic revenue growth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217805</wp:posOffset>
            </wp:positionV>
            <wp:extent cx="65976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33</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free cash flow</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Non-GAAP free cash flow is defined as operating cash flow less capital expenditures, including costs required to be capitalized for software development, and capital expenditures for property and equipment. We believe non-GAAP free cash flow provides a useful measure of the Company's operating performance.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shd w:val="clear" w:color="auto" w:fill="004054"/>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920" w:type="dxa"/>
            <w:vAlign w:val="bottom"/>
            <w:shd w:val="clear" w:color="auto" w:fill="004054"/>
          </w:tcPr>
          <w:p>
            <w:pPr>
              <w:spacing w:after="0"/>
              <w:rPr>
                <w:sz w:val="17"/>
                <w:szCs w:val="17"/>
                <w:color w:val="auto"/>
              </w:rPr>
            </w:pPr>
          </w:p>
        </w:tc>
        <w:tc>
          <w:tcPr>
            <w:tcW w:w="13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6"/>
        </w:trPr>
        <w:tc>
          <w:tcPr>
            <w:tcW w:w="8520" w:type="dxa"/>
            <w:vAlign w:val="bottom"/>
            <w:shd w:val="clear" w:color="auto" w:fill="004054"/>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920" w:type="dxa"/>
            <w:vAlign w:val="bottom"/>
            <w:shd w:val="clear" w:color="auto" w:fill="004054"/>
          </w:tcPr>
          <w:p>
            <w:pPr>
              <w:spacing w:after="0"/>
              <w:rPr>
                <w:sz w:val="17"/>
                <w:szCs w:val="17"/>
                <w:color w:val="auto"/>
              </w:rPr>
            </w:pPr>
          </w:p>
        </w:tc>
        <w:tc>
          <w:tcPr>
            <w:tcW w:w="22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52"/>
        </w:trPr>
        <w:tc>
          <w:tcPr>
            <w:tcW w:w="85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Borders>
              <w:bottom w:val="single" w:sz="8" w:color="004054"/>
            </w:tcBorders>
            <w:shd w:val="clear" w:color="auto" w:fill="004054"/>
          </w:tcPr>
          <w:p>
            <w:pPr>
              <w:spacing w:after="0"/>
              <w:rPr>
                <w:sz w:val="21"/>
                <w:szCs w:val="21"/>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20" w:type="dxa"/>
            <w:vAlign w:val="bottom"/>
            <w:tcBorders>
              <w:bottom w:val="single" w:sz="8" w:color="004054"/>
            </w:tcBorders>
            <w:shd w:val="clear" w:color="auto" w:fill="004054"/>
          </w:tcPr>
          <w:p>
            <w:pPr>
              <w:spacing w:after="0"/>
              <w:rPr>
                <w:sz w:val="21"/>
                <w:szCs w:val="21"/>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29"/>
        </w:trPr>
        <w:tc>
          <w:tcPr>
            <w:tcW w:w="85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cash provided by operating activities</w:t>
            </w:r>
          </w:p>
        </w:tc>
        <w:tc>
          <w:tcPr>
            <w:tcW w:w="440" w:type="dxa"/>
            <w:vAlign w:val="bottom"/>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9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284.2</w:t>
            </w:r>
          </w:p>
        </w:tc>
        <w:tc>
          <w:tcPr>
            <w:tcW w:w="22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207.5</w:t>
            </w:r>
          </w:p>
        </w:tc>
      </w:tr>
      <w:tr>
        <w:trPr>
          <w:trHeight w:val="222"/>
        </w:trPr>
        <w:tc>
          <w:tcPr>
            <w:tcW w:w="8520" w:type="dxa"/>
            <w:vAlign w:val="bottom"/>
          </w:tcPr>
          <w:p>
            <w:pPr>
              <w:ind w:left="140"/>
              <w:spacing w:after="0"/>
              <w:rPr>
                <w:sz w:val="20"/>
                <w:szCs w:val="20"/>
                <w:color w:val="auto"/>
              </w:rPr>
            </w:pPr>
            <w:r>
              <w:rPr>
                <w:rFonts w:ascii="Arial" w:cs="Arial" w:eastAsia="Arial" w:hAnsi="Arial"/>
                <w:sz w:val="14"/>
                <w:szCs w:val="14"/>
                <w:b w:val="1"/>
                <w:bCs w:val="1"/>
                <w:color w:val="51555C"/>
              </w:rPr>
              <w:t>GAAP operating cash flow margin</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32.9 %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51555C"/>
              </w:rPr>
              <w:t>24.9 %</w:t>
            </w:r>
          </w:p>
        </w:tc>
      </w:tr>
      <w:tr>
        <w:trPr>
          <w:trHeight w:val="237"/>
        </w:trPr>
        <w:tc>
          <w:tcPr>
            <w:tcW w:w="85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440" w:type="dxa"/>
            <w:vAlign w:val="bottom"/>
            <w:shd w:val="clear" w:color="auto" w:fill="EBFBFF"/>
          </w:tcPr>
          <w:p>
            <w:pPr>
              <w:spacing w:after="0"/>
              <w:rPr>
                <w:sz w:val="20"/>
                <w:szCs w:val="20"/>
                <w:color w:val="auto"/>
              </w:rPr>
            </w:pPr>
          </w:p>
        </w:tc>
        <w:tc>
          <w:tcPr>
            <w:tcW w:w="920" w:type="dxa"/>
            <w:vAlign w:val="bottom"/>
            <w:shd w:val="clear" w:color="auto" w:fill="EBFBFF"/>
          </w:tcPr>
          <w:p>
            <w:pPr>
              <w:spacing w:after="0"/>
              <w:rPr>
                <w:sz w:val="20"/>
                <w:szCs w:val="20"/>
                <w:color w:val="auto"/>
              </w:rPr>
            </w:pPr>
          </w:p>
        </w:tc>
        <w:tc>
          <w:tcPr>
            <w:tcW w:w="220" w:type="dxa"/>
            <w:vAlign w:val="bottom"/>
            <w:shd w:val="clear" w:color="auto" w:fill="EBFBFF"/>
          </w:tcPr>
          <w:p>
            <w:pPr>
              <w:spacing w:after="0"/>
              <w:rPr>
                <w:sz w:val="20"/>
                <w:szCs w:val="20"/>
                <w:color w:val="auto"/>
              </w:rPr>
            </w:pPr>
          </w:p>
        </w:tc>
        <w:tc>
          <w:tcPr>
            <w:tcW w:w="1140" w:type="dxa"/>
            <w:vAlign w:val="bottom"/>
            <w:shd w:val="clear" w:color="auto" w:fill="EBFBFF"/>
          </w:tcPr>
          <w:p>
            <w:pPr>
              <w:spacing w:after="0"/>
              <w:rPr>
                <w:sz w:val="20"/>
                <w:szCs w:val="20"/>
                <w:color w:val="auto"/>
              </w:rPr>
            </w:pPr>
          </w:p>
        </w:tc>
      </w:tr>
      <w:tr>
        <w:trPr>
          <w:trHeight w:val="208"/>
        </w:trPr>
        <w:tc>
          <w:tcPr>
            <w:tcW w:w="8520" w:type="dxa"/>
            <w:vAlign w:val="bottom"/>
          </w:tcPr>
          <w:p>
            <w:pPr>
              <w:ind w:left="140"/>
              <w:spacing w:after="0"/>
              <w:rPr>
                <w:sz w:val="20"/>
                <w:szCs w:val="20"/>
                <w:color w:val="auto"/>
              </w:rPr>
            </w:pPr>
            <w:r>
              <w:rPr>
                <w:rFonts w:ascii="Arial" w:cs="Arial" w:eastAsia="Arial" w:hAnsi="Arial"/>
                <w:sz w:val="14"/>
                <w:szCs w:val="14"/>
                <w:color w:val="51555C"/>
              </w:rPr>
              <w:t>Less: purchase of property and equipment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51555C"/>
              </w:rPr>
              <w:t>(7.3)</w:t>
            </w:r>
          </w:p>
        </w:tc>
        <w:tc>
          <w:tcPr>
            <w:tcW w:w="22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51555C"/>
              </w:rPr>
              <w:t>(4.8)</w:t>
            </w:r>
          </w:p>
        </w:tc>
      </w:tr>
      <w:tr>
        <w:trPr>
          <w:trHeight w:val="22"/>
        </w:trPr>
        <w:tc>
          <w:tcPr>
            <w:tcW w:w="8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Less: capitalized software development costs</w:t>
            </w:r>
          </w:p>
        </w:tc>
        <w:tc>
          <w:tcPr>
            <w:tcW w:w="44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(38.6)</w:t>
            </w:r>
          </w:p>
        </w:tc>
        <w:tc>
          <w:tcPr>
            <w:tcW w:w="220" w:type="dxa"/>
            <w:vAlign w:val="bottom"/>
            <w:tcBorders>
              <w:bottom w:val="single" w:sz="8" w:color="EBFBFF"/>
            </w:tcBorders>
            <w:shd w:val="clear" w:color="auto" w:fill="EBFBFF"/>
          </w:tcPr>
          <w:p>
            <w:pPr>
              <w:spacing w:after="0"/>
              <w:rPr>
                <w:sz w:val="19"/>
                <w:szCs w:val="19"/>
                <w:color w:val="auto"/>
              </w:rPr>
            </w:pPr>
          </w:p>
        </w:tc>
        <w:tc>
          <w:tcPr>
            <w:tcW w:w="11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(40.3)</w:t>
            </w:r>
          </w:p>
        </w:tc>
      </w:tr>
      <w:tr>
        <w:trPr>
          <w:trHeight w:val="223"/>
        </w:trPr>
        <w:tc>
          <w:tcPr>
            <w:tcW w:w="85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free cash flow</w:t>
            </w:r>
            <w:r>
              <w:rPr>
                <w:rFonts w:ascii="Arial" w:cs="Arial" w:eastAsia="Arial" w:hAnsi="Arial"/>
                <w:sz w:val="18"/>
                <w:szCs w:val="18"/>
                <w:b w:val="1"/>
                <w:bCs w:val="1"/>
                <w:color w:val="51555C"/>
                <w:vertAlign w:val="superscript"/>
              </w:rPr>
              <w:t>(1)</w:t>
            </w:r>
          </w:p>
        </w:tc>
        <w:tc>
          <w:tcPr>
            <w:tcW w:w="440" w:type="dxa"/>
            <w:vAlign w:val="bottom"/>
            <w:tcBorders>
              <w:top w:val="single" w:sz="8" w:color="51555C"/>
              <w:bottom w:val="single" w:sz="8" w:color="51555C"/>
            </w:tcBorders>
          </w:tcPr>
          <w:p>
            <w:pPr>
              <w:jc w:val="right"/>
              <w:ind w:right="268"/>
              <w:spacing w:after="0"/>
              <w:rPr>
                <w:sz w:val="20"/>
                <w:szCs w:val="20"/>
                <w:color w:val="auto"/>
              </w:rPr>
            </w:pPr>
            <w:r>
              <w:rPr>
                <w:rFonts w:ascii="Arial" w:cs="Arial" w:eastAsia="Arial" w:hAnsi="Arial"/>
                <w:sz w:val="14"/>
                <w:szCs w:val="14"/>
                <w:color w:val="51555C"/>
              </w:rPr>
              <w:t>$</w:t>
            </w:r>
          </w:p>
        </w:tc>
        <w:tc>
          <w:tcPr>
            <w:tcW w:w="920" w:type="dxa"/>
            <w:vAlign w:val="bottom"/>
            <w:tcBorders>
              <w:top w:val="single" w:sz="8" w:color="51555C"/>
              <w:bottom w:val="single" w:sz="8" w:color="51555C"/>
            </w:tcBorders>
          </w:tcPr>
          <w:p>
            <w:pPr>
              <w:jc w:val="right"/>
              <w:ind w:right="128"/>
              <w:spacing w:after="0"/>
              <w:rPr>
                <w:sz w:val="20"/>
                <w:szCs w:val="20"/>
                <w:color w:val="auto"/>
              </w:rPr>
            </w:pPr>
            <w:r>
              <w:rPr>
                <w:rFonts w:ascii="Arial" w:cs="Arial" w:eastAsia="Arial" w:hAnsi="Arial"/>
                <w:sz w:val="14"/>
                <w:szCs w:val="14"/>
                <w:color w:val="51555C"/>
              </w:rPr>
              <w:t>238.3</w:t>
            </w:r>
          </w:p>
        </w:tc>
        <w:tc>
          <w:tcPr>
            <w:tcW w:w="220" w:type="dxa"/>
            <w:vAlign w:val="bottom"/>
            <w:tcBorders>
              <w:top w:val="single" w:sz="8" w:color="51555C"/>
              <w:bottom w:val="single" w:sz="8" w:color="51555C"/>
            </w:tcBorders>
          </w:tcPr>
          <w:p>
            <w:pPr>
              <w:jc w:val="right"/>
              <w:ind w:right="48"/>
              <w:spacing w:after="0"/>
              <w:rPr>
                <w:sz w:val="20"/>
                <w:szCs w:val="20"/>
                <w:color w:val="auto"/>
              </w:rPr>
            </w:pPr>
            <w:r>
              <w:rPr>
                <w:rFonts w:ascii="Arial" w:cs="Arial" w:eastAsia="Arial" w:hAnsi="Arial"/>
                <w:sz w:val="14"/>
                <w:szCs w:val="14"/>
                <w:color w:val="51555C"/>
              </w:rPr>
              <w:t>$</w:t>
            </w:r>
          </w:p>
        </w:tc>
        <w:tc>
          <w:tcPr>
            <w:tcW w:w="1140" w:type="dxa"/>
            <w:vAlign w:val="bottom"/>
            <w:tcBorders>
              <w:top w:val="single" w:sz="8" w:color="51555C"/>
              <w:bottom w:val="single" w:sz="8" w:color="51555C"/>
            </w:tcBorders>
          </w:tcPr>
          <w:p>
            <w:pPr>
              <w:jc w:val="right"/>
              <w:ind w:right="108"/>
              <w:spacing w:after="0"/>
              <w:rPr>
                <w:sz w:val="20"/>
                <w:szCs w:val="20"/>
                <w:color w:val="auto"/>
              </w:rPr>
            </w:pPr>
            <w:r>
              <w:rPr>
                <w:rFonts w:ascii="Arial" w:cs="Arial" w:eastAsia="Arial" w:hAnsi="Arial"/>
                <w:sz w:val="14"/>
                <w:szCs w:val="14"/>
                <w:color w:val="51555C"/>
              </w:rPr>
              <w:t>162.5</w:t>
            </w:r>
          </w:p>
        </w:tc>
      </w:tr>
      <w:tr>
        <w:trPr>
          <w:trHeight w:val="217"/>
        </w:trPr>
        <w:tc>
          <w:tcPr>
            <w:tcW w:w="852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free cash flow margin</w:t>
            </w:r>
          </w:p>
        </w:tc>
        <w:tc>
          <w:tcPr>
            <w:tcW w:w="440" w:type="dxa"/>
            <w:vAlign w:val="bottom"/>
            <w:tcBorders>
              <w:bottom w:val="single" w:sz="8" w:color="0CD973"/>
            </w:tcBorders>
            <w:shd w:val="clear" w:color="auto" w:fill="EBFBFF"/>
          </w:tcPr>
          <w:p>
            <w:pPr>
              <w:spacing w:after="0"/>
              <w:rPr>
                <w:sz w:val="18"/>
                <w:szCs w:val="18"/>
                <w:color w:val="auto"/>
              </w:rPr>
            </w:pPr>
          </w:p>
        </w:tc>
        <w:tc>
          <w:tcPr>
            <w:tcW w:w="9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4"/>
                <w:szCs w:val="14"/>
                <w:color w:val="51555C"/>
              </w:rPr>
              <w:t>27.6 %</w:t>
            </w:r>
          </w:p>
        </w:tc>
        <w:tc>
          <w:tcPr>
            <w:tcW w:w="220" w:type="dxa"/>
            <w:vAlign w:val="bottom"/>
            <w:tcBorders>
              <w:bottom w:val="single" w:sz="8" w:color="0CD973"/>
            </w:tcBorders>
            <w:shd w:val="clear" w:color="auto" w:fill="EBFBFF"/>
          </w:tcPr>
          <w:p>
            <w:pPr>
              <w:spacing w:after="0"/>
              <w:rPr>
                <w:sz w:val="18"/>
                <w:szCs w:val="18"/>
                <w:color w:val="auto"/>
              </w:rPr>
            </w:pPr>
          </w:p>
        </w:tc>
        <w:tc>
          <w:tcPr>
            <w:tcW w:w="1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4"/>
                <w:szCs w:val="14"/>
                <w:color w:val="51555C"/>
              </w:rPr>
              <w:t>19.5 %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-1207770</wp:posOffset>
            </wp:positionV>
            <wp:extent cx="1731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free cash flow due to rounding.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Seasonality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December. In addition, deferred revenues can vary on a seasonal basis due to the timing of customer contract billings and renewals and student enrollments or significant acquisitions. Our cash flow from financing is negatively impacted in our first quarter when most of our equity awards vest, as we pay taxes on behalf of our employees related to the settlement or exercise of equity awards.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34</w:t>
      </w:r>
      <w:r>
        <w:rPr>
          <w:sz w:val="20"/>
          <w:szCs w:val="20"/>
          <w:color w:val="auto"/>
        </w:rPr>
        <w:tab/>
      </w:r>
      <w:r>
        <w:rPr>
          <w:sz w:val="1"/>
          <w:szCs w:val="1"/>
          <w:color w:val="auto"/>
        </w:rPr>
        <w:drawing>
          <wp:inline distT="0" distB="0" distL="0" distR="0">
            <wp:extent cx="651510" cy="1714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selected financial information about our financial position: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004054"/>
          </w:tcPr>
          <w:p>
            <w:pPr>
              <w:spacing w:after="0"/>
              <w:rPr>
                <w:sz w:val="16"/>
                <w:szCs w:val="16"/>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19"/>
        </w:trPr>
        <w:tc>
          <w:tcPr>
            <w:tcW w:w="71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004054"/>
            </w:tcBorders>
            <w:shd w:val="clear" w:color="auto" w:fill="004054"/>
          </w:tcPr>
          <w:p>
            <w:pPr>
              <w:spacing w:after="0"/>
              <w:rPr>
                <w:sz w:val="19"/>
                <w:szCs w:val="19"/>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60" w:type="dxa"/>
            <w:vAlign w:val="bottom"/>
            <w:tcBorders>
              <w:bottom w:val="single" w:sz="8" w:color="004054"/>
            </w:tcBorders>
            <w:shd w:val="clear" w:color="auto" w:fill="004054"/>
          </w:tcPr>
          <w:p>
            <w:pPr>
              <w:spacing w:after="0"/>
              <w:rPr>
                <w:sz w:val="19"/>
                <w:szCs w:val="19"/>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304"/>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Cash and cash equivalents</w:t>
            </w:r>
          </w:p>
        </w:tc>
        <w:tc>
          <w:tcPr>
            <w:tcW w:w="24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35.7</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38.9</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w:t>
            </w:r>
          </w:p>
        </w:tc>
        <w:tc>
          <w:tcPr>
            <w:tcW w:w="20" w:type="dxa"/>
            <w:vAlign w:val="bottom"/>
          </w:tcPr>
          <w:p>
            <w:pPr>
              <w:spacing w:after="0"/>
              <w:rPr>
                <w:sz w:val="24"/>
                <w:szCs w:val="24"/>
                <w:color w:val="auto"/>
              </w:rPr>
            </w:pPr>
          </w:p>
        </w:tc>
      </w:tr>
      <w:tr>
        <w:trPr>
          <w:trHeight w:val="301"/>
        </w:trPr>
        <w:tc>
          <w:tcPr>
            <w:tcW w:w="7100" w:type="dxa"/>
            <w:vAlign w:val="bottom"/>
          </w:tcPr>
          <w:p>
            <w:pPr>
              <w:ind w:left="20"/>
              <w:spacing w:after="0"/>
              <w:rPr>
                <w:sz w:val="20"/>
                <w:szCs w:val="20"/>
                <w:color w:val="auto"/>
              </w:rPr>
            </w:pPr>
            <w:r>
              <w:rPr>
                <w:rFonts w:ascii="Arial" w:cs="Arial" w:eastAsia="Arial" w:hAnsi="Arial"/>
                <w:sz w:val="18"/>
                <w:szCs w:val="18"/>
                <w:color w:val="51555C"/>
              </w:rPr>
              <w:t>Property and equipment, net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83.8</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85.1</w:t>
            </w:r>
          </w:p>
        </w:tc>
        <w:tc>
          <w:tcPr>
            <w:tcW w:w="1480" w:type="dxa"/>
            <w:vAlign w:val="bottom"/>
          </w:tcPr>
          <w:p>
            <w:pPr>
              <w:jc w:val="right"/>
              <w:spacing w:after="0"/>
              <w:rPr>
                <w:sz w:val="20"/>
                <w:szCs w:val="20"/>
                <w:color w:val="auto"/>
              </w:rPr>
            </w:pPr>
            <w:r>
              <w:rPr>
                <w:rFonts w:ascii="Arial" w:cs="Arial" w:eastAsia="Arial" w:hAnsi="Arial"/>
                <w:sz w:val="18"/>
                <w:szCs w:val="18"/>
                <w:color w:val="51555C"/>
              </w:rPr>
              <w:t>(1.5)%</w:t>
            </w:r>
          </w:p>
        </w:tc>
        <w:tc>
          <w:tcPr>
            <w:tcW w:w="20" w:type="dxa"/>
            <w:vAlign w:val="bottom"/>
          </w:tcPr>
          <w:p>
            <w:pPr>
              <w:spacing w:after="0"/>
              <w:rPr>
                <w:sz w:val="24"/>
                <w:szCs w:val="24"/>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Software development costs, net</w:t>
            </w:r>
          </w:p>
        </w:tc>
        <w:tc>
          <w:tcPr>
            <w:tcW w:w="24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159.0</w:t>
            </w:r>
          </w:p>
        </w:tc>
        <w:tc>
          <w:tcPr>
            <w:tcW w:w="2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155.8</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2.1 %</w:t>
            </w:r>
          </w:p>
        </w:tc>
        <w:tc>
          <w:tcPr>
            <w:tcW w:w="20" w:type="dxa"/>
            <w:vAlign w:val="bottom"/>
          </w:tcPr>
          <w:p>
            <w:pPr>
              <w:spacing w:after="0"/>
              <w:rPr>
                <w:sz w:val="24"/>
                <w:szCs w:val="24"/>
                <w:color w:val="auto"/>
              </w:rPr>
            </w:pPr>
          </w:p>
        </w:tc>
      </w:tr>
      <w:tr>
        <w:trPr>
          <w:trHeight w:val="301"/>
        </w:trPr>
        <w:tc>
          <w:tcPr>
            <w:tcW w:w="7100" w:type="dxa"/>
            <w:vAlign w:val="bottom"/>
          </w:tcPr>
          <w:p>
            <w:pPr>
              <w:ind w:left="20"/>
              <w:spacing w:after="0"/>
              <w:rPr>
                <w:sz w:val="20"/>
                <w:szCs w:val="20"/>
                <w:color w:val="auto"/>
              </w:rPr>
            </w:pPr>
            <w:r>
              <w:rPr>
                <w:rFonts w:ascii="Arial" w:cs="Arial" w:eastAsia="Arial" w:hAnsi="Arial"/>
                <w:sz w:val="18"/>
                <w:szCs w:val="18"/>
                <w:color w:val="51555C"/>
              </w:rPr>
              <w:t>Total carrying value of debt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1,044.8</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1,109.7</w:t>
            </w:r>
          </w:p>
        </w:tc>
        <w:tc>
          <w:tcPr>
            <w:tcW w:w="1480" w:type="dxa"/>
            <w:vAlign w:val="bottom"/>
          </w:tcPr>
          <w:p>
            <w:pPr>
              <w:jc w:val="right"/>
              <w:spacing w:after="0"/>
              <w:rPr>
                <w:sz w:val="20"/>
                <w:szCs w:val="20"/>
                <w:color w:val="auto"/>
              </w:rPr>
            </w:pPr>
            <w:r>
              <w:rPr>
                <w:rFonts w:ascii="Arial" w:cs="Arial" w:eastAsia="Arial" w:hAnsi="Arial"/>
                <w:sz w:val="18"/>
                <w:szCs w:val="18"/>
                <w:color w:val="51555C"/>
              </w:rPr>
              <w:t>(5.8)%</w:t>
            </w:r>
          </w:p>
        </w:tc>
        <w:tc>
          <w:tcPr>
            <w:tcW w:w="20" w:type="dxa"/>
            <w:vAlign w:val="bottom"/>
          </w:tcPr>
          <w:p>
            <w:pPr>
              <w:spacing w:after="0"/>
              <w:rPr>
                <w:sz w:val="24"/>
                <w:szCs w:val="24"/>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9"/>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Working capital</w:t>
            </w:r>
          </w:p>
        </w:tc>
        <w:tc>
          <w:tcPr>
            <w:tcW w:w="24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(293.7)</w:t>
            </w:r>
          </w:p>
        </w:tc>
        <w:tc>
          <w:tcPr>
            <w:tcW w:w="2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(252.0)</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(16.5)%</w:t>
            </w:r>
          </w:p>
        </w:tc>
        <w:tc>
          <w:tcPr>
            <w:tcW w:w="20" w:type="dxa"/>
            <w:vAlign w:val="bottom"/>
          </w:tcPr>
          <w:p>
            <w:pPr>
              <w:spacing w:after="0"/>
              <w:rPr>
                <w:sz w:val="24"/>
                <w:szCs w:val="24"/>
                <w:color w:val="auto"/>
              </w:rPr>
            </w:pPr>
          </w:p>
        </w:tc>
      </w:tr>
      <w:tr>
        <w:trPr>
          <w:trHeight w:val="457"/>
        </w:trPr>
        <w:tc>
          <w:tcPr>
            <w:tcW w:w="7100" w:type="dxa"/>
            <w:vAlign w:val="bottom"/>
            <w:tcBorders>
              <w:top w:val="single" w:sz="8" w:color="0CD973"/>
            </w:tcBorders>
          </w:tcPr>
          <w:p>
            <w:pPr>
              <w:spacing w:after="0"/>
              <w:rPr>
                <w:sz w:val="20"/>
                <w:szCs w:val="20"/>
                <w:color w:val="auto"/>
              </w:rPr>
            </w:pPr>
            <w:r>
              <w:rPr>
                <w:rFonts w:ascii="Arial" w:cs="Arial" w:eastAsia="Arial" w:hAnsi="Arial"/>
                <w:sz w:val="18"/>
                <w:szCs w:val="18"/>
                <w:color w:val="51555C"/>
              </w:rPr>
              <w:t>The following table presents selected financial information about our cash flows:</w:t>
            </w:r>
          </w:p>
        </w:tc>
        <w:tc>
          <w:tcPr>
            <w:tcW w:w="240" w:type="dxa"/>
            <w:vAlign w:val="bottom"/>
            <w:tcBorders>
              <w:top w:val="single" w:sz="8" w:color="0CD973"/>
            </w:tcBorders>
          </w:tcPr>
          <w:p>
            <w:pPr>
              <w:spacing w:after="0"/>
              <w:rPr>
                <w:sz w:val="24"/>
                <w:szCs w:val="24"/>
                <w:color w:val="auto"/>
              </w:rPr>
            </w:pPr>
          </w:p>
        </w:tc>
        <w:tc>
          <w:tcPr>
            <w:tcW w:w="1100" w:type="dxa"/>
            <w:vAlign w:val="bottom"/>
            <w:tcBorders>
              <w:top w:val="single" w:sz="8" w:color="0CD973"/>
            </w:tcBorders>
          </w:tcPr>
          <w:p>
            <w:pPr>
              <w:spacing w:after="0"/>
              <w:rPr>
                <w:sz w:val="24"/>
                <w:szCs w:val="24"/>
                <w:color w:val="auto"/>
              </w:rPr>
            </w:pPr>
          </w:p>
        </w:tc>
        <w:tc>
          <w:tcPr>
            <w:tcW w:w="260" w:type="dxa"/>
            <w:vAlign w:val="bottom"/>
            <w:tcBorders>
              <w:top w:val="single" w:sz="8" w:color="0CD973"/>
            </w:tcBorders>
          </w:tcPr>
          <w:p>
            <w:pPr>
              <w:spacing w:after="0"/>
              <w:rPr>
                <w:sz w:val="24"/>
                <w:szCs w:val="24"/>
                <w:color w:val="auto"/>
              </w:rPr>
            </w:pPr>
          </w:p>
        </w:tc>
        <w:tc>
          <w:tcPr>
            <w:tcW w:w="1060" w:type="dxa"/>
            <w:vAlign w:val="bottom"/>
            <w:tcBorders>
              <w:top w:val="single" w:sz="8" w:color="0CD973"/>
            </w:tcBorders>
          </w:tcPr>
          <w:p>
            <w:pPr>
              <w:spacing w:after="0"/>
              <w:rPr>
                <w:sz w:val="24"/>
                <w:szCs w:val="24"/>
                <w:color w:val="auto"/>
              </w:rPr>
            </w:pPr>
          </w:p>
        </w:tc>
        <w:tc>
          <w:tcPr>
            <w:tcW w:w="14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7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540" w:type="dxa"/>
            <w:vAlign w:val="bottom"/>
            <w:gridSpan w:val="2"/>
          </w:tcPr>
          <w:p>
            <w:pPr>
              <w:spacing w:after="0"/>
              <w:rPr>
                <w:sz w:val="6"/>
                <w:szCs w:val="6"/>
                <w:color w:val="auto"/>
              </w:rPr>
            </w:pPr>
          </w:p>
        </w:tc>
        <w:tc>
          <w:tcPr>
            <w:tcW w:w="20" w:type="dxa"/>
            <w:vAlign w:val="bottom"/>
          </w:tcPr>
          <w:p>
            <w:pPr>
              <w:spacing w:after="0"/>
              <w:rPr>
                <w:sz w:val="6"/>
                <w:szCs w:val="6"/>
                <w:color w:val="auto"/>
              </w:rPr>
            </w:pPr>
          </w:p>
        </w:tc>
      </w:tr>
      <w:tr>
        <w:trPr>
          <w:trHeight w:val="228"/>
        </w:trPr>
        <w:tc>
          <w:tcPr>
            <w:tcW w:w="710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1100" w:type="dxa"/>
            <w:vAlign w:val="bottom"/>
            <w:shd w:val="clear" w:color="auto" w:fill="004054"/>
          </w:tcPr>
          <w:p>
            <w:pPr>
              <w:spacing w:after="0"/>
              <w:rPr>
                <w:sz w:val="19"/>
                <w:szCs w:val="19"/>
                <w:color w:val="auto"/>
              </w:rPr>
            </w:pPr>
          </w:p>
        </w:tc>
        <w:tc>
          <w:tcPr>
            <w:tcW w:w="260" w:type="dxa"/>
            <w:vAlign w:val="bottom"/>
            <w:shd w:val="clear" w:color="auto" w:fill="004054"/>
          </w:tcPr>
          <w:p>
            <w:pPr>
              <w:spacing w:after="0"/>
              <w:rPr>
                <w:sz w:val="19"/>
                <w:szCs w:val="19"/>
                <w:color w:val="auto"/>
              </w:rPr>
            </w:pPr>
          </w:p>
        </w:tc>
        <w:tc>
          <w:tcPr>
            <w:tcW w:w="25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 September 30,</w:t>
            </w:r>
          </w:p>
        </w:tc>
        <w:tc>
          <w:tcPr>
            <w:tcW w:w="20" w:type="dxa"/>
            <w:vAlign w:val="bottom"/>
            <w:shd w:val="clear" w:color="auto" w:fill="004054"/>
          </w:tcPr>
          <w:p>
            <w:pPr>
              <w:spacing w:after="0"/>
              <w:rPr>
                <w:sz w:val="19"/>
                <w:szCs w:val="19"/>
                <w:color w:val="auto"/>
              </w:rPr>
            </w:pPr>
          </w:p>
        </w:tc>
      </w:tr>
      <w:tr>
        <w:trPr>
          <w:trHeight w:val="252"/>
        </w:trPr>
        <w:tc>
          <w:tcPr>
            <w:tcW w:w="71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004054"/>
            </w:tcBorders>
            <w:shd w:val="clear" w:color="auto" w:fill="004054"/>
          </w:tcPr>
          <w:p>
            <w:pPr>
              <w:spacing w:after="0"/>
              <w:rPr>
                <w:sz w:val="21"/>
                <w:szCs w:val="21"/>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60" w:type="dxa"/>
            <w:vAlign w:val="bottom"/>
            <w:tcBorders>
              <w:bottom w:val="single" w:sz="8" w:color="004054"/>
            </w:tcBorders>
            <w:shd w:val="clear" w:color="auto" w:fill="004054"/>
          </w:tcPr>
          <w:p>
            <w:pPr>
              <w:spacing w:after="0"/>
              <w:rPr>
                <w:sz w:val="21"/>
                <w:szCs w:val="21"/>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21"/>
                <w:szCs w:val="21"/>
                <w:color w:val="auto"/>
              </w:rPr>
            </w:pPr>
          </w:p>
        </w:tc>
      </w:tr>
      <w:tr>
        <w:trPr>
          <w:trHeight w:val="304"/>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provided by operating activities</w:t>
            </w:r>
          </w:p>
        </w:tc>
        <w:tc>
          <w:tcPr>
            <w:tcW w:w="24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284.2</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207.5</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37.0 %</w:t>
            </w:r>
          </w:p>
        </w:tc>
        <w:tc>
          <w:tcPr>
            <w:tcW w:w="20" w:type="dxa"/>
            <w:vAlign w:val="bottom"/>
          </w:tcPr>
          <w:p>
            <w:pPr>
              <w:spacing w:after="0"/>
              <w:rPr>
                <w:sz w:val="24"/>
                <w:szCs w:val="24"/>
                <w:color w:val="auto"/>
              </w:rPr>
            </w:pPr>
          </w:p>
        </w:tc>
      </w:tr>
      <w:tr>
        <w:trPr>
          <w:trHeight w:val="301"/>
        </w:trPr>
        <w:tc>
          <w:tcPr>
            <w:tcW w:w="7100" w:type="dxa"/>
            <w:vAlign w:val="bottom"/>
          </w:tcPr>
          <w:p>
            <w:pPr>
              <w:ind w:left="20"/>
              <w:spacing w:after="0"/>
              <w:rPr>
                <w:sz w:val="20"/>
                <w:szCs w:val="20"/>
                <w:color w:val="auto"/>
              </w:rPr>
            </w:pPr>
            <w:r>
              <w:rPr>
                <w:rFonts w:ascii="Arial" w:cs="Arial" w:eastAsia="Arial" w:hAnsi="Arial"/>
                <w:sz w:val="18"/>
                <w:szCs w:val="18"/>
                <w:color w:val="51555C"/>
              </w:rPr>
              <w:t>Net cash used in investing activities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(54.6)</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(57.3)</w:t>
            </w:r>
          </w:p>
        </w:tc>
        <w:tc>
          <w:tcPr>
            <w:tcW w:w="1480" w:type="dxa"/>
            <w:vAlign w:val="bottom"/>
          </w:tcPr>
          <w:p>
            <w:pPr>
              <w:jc w:val="right"/>
              <w:spacing w:after="0"/>
              <w:rPr>
                <w:sz w:val="20"/>
                <w:szCs w:val="20"/>
                <w:color w:val="auto"/>
              </w:rPr>
            </w:pPr>
            <w:r>
              <w:rPr>
                <w:rFonts w:ascii="Arial" w:cs="Arial" w:eastAsia="Arial" w:hAnsi="Arial"/>
                <w:sz w:val="18"/>
                <w:szCs w:val="18"/>
                <w:color w:val="51555C"/>
              </w:rPr>
              <w:t>(4.7)%</w:t>
            </w:r>
          </w:p>
        </w:tc>
        <w:tc>
          <w:tcPr>
            <w:tcW w:w="20" w:type="dxa"/>
            <w:vAlign w:val="bottom"/>
          </w:tcPr>
          <w:p>
            <w:pPr>
              <w:spacing w:after="0"/>
              <w:rPr>
                <w:sz w:val="24"/>
                <w:szCs w:val="24"/>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used in financing activities</w:t>
            </w:r>
          </w:p>
        </w:tc>
        <w:tc>
          <w:tcPr>
            <w:tcW w:w="24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(523.8)</w:t>
            </w:r>
          </w:p>
        </w:tc>
        <w:tc>
          <w:tcPr>
            <w:tcW w:w="2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(508.1)</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3.1 %</w:t>
            </w:r>
          </w:p>
        </w:tc>
        <w:tc>
          <w:tcPr>
            <w:tcW w:w="20" w:type="dxa"/>
            <w:vAlign w:val="bottom"/>
          </w:tcPr>
          <w:p>
            <w:pPr>
              <w:spacing w:after="0"/>
              <w:rPr>
                <w:sz w:val="24"/>
                <w:szCs w:val="24"/>
                <w:color w:val="auto"/>
              </w:rPr>
            </w:pPr>
          </w:p>
        </w:tc>
      </w:tr>
      <w:tr>
        <w:trPr>
          <w:trHeight w:val="20"/>
        </w:trPr>
        <w:tc>
          <w:tcPr>
            <w:tcW w:w="7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14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-788035</wp:posOffset>
            </wp:positionV>
            <wp:extent cx="26231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1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51555C"/>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we may require additional capital. In that context, we regularly evaluate opportunities to enhance our capital structure, including through potential debt or equity issuances.</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spacing w:after="0" w:line="1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51555C"/>
        </w:rPr>
        <w:t>At September 30, 2026, our total cash and cash equivalents balance included approximately $16.3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209550</wp:posOffset>
            </wp:positionV>
            <wp:extent cx="65976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35</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Operating Cash Flow</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Working capital changes are composed of changes in accounts receivable, prepaid expenses and other assets, trade accounts payable, accrued expenses and other liabilities, and deferred revenue.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Net cash provided by operating activities increased by $ 76.7 million during the nine months ended September 30, 2026, when compared to the same period in 2025, primarily due to a $ 58.1 million increase in net income adjusted for non-cash expenses and a $18.6 million increase in cash flow from operations associated with working capital.</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The increase in cash flow from operations associated with working capital during the nine months ended September 30, 2026, when compared to the same period in 2025, was primarily due to:</w:t>
      </w:r>
    </w:p>
    <w:p>
      <w:pPr>
        <w:spacing w:after="0" w:line="99"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8"/>
          <w:szCs w:val="18"/>
          <w:color w:val="51555C"/>
        </w:rPr>
      </w:pPr>
      <w:r>
        <w:rPr>
          <w:rFonts w:ascii="Arial" w:cs="Arial" w:eastAsia="Arial" w:hAnsi="Arial"/>
          <w:sz w:val="18"/>
          <w:szCs w:val="18"/>
          <w:color w:val="51555C"/>
        </w:rPr>
        <w:t>fluctuations in the timing of vendor payments;</w:t>
      </w:r>
    </w:p>
    <w:p>
      <w:pPr>
        <w:spacing w:after="0" w:line="171" w:lineRule="exact"/>
        <w:rPr>
          <w:rFonts w:ascii="Arial" w:cs="Arial" w:eastAsia="Arial" w:hAnsi="Arial"/>
          <w:sz w:val="18"/>
          <w:szCs w:val="18"/>
          <w:color w:val="51555C"/>
        </w:rPr>
      </w:pPr>
    </w:p>
    <w:p>
      <w:pPr>
        <w:ind w:left="620" w:hanging="288"/>
        <w:spacing w:after="0"/>
        <w:tabs>
          <w:tab w:leader="none" w:pos="620" w:val="left"/>
        </w:tabs>
        <w:numPr>
          <w:ilvl w:val="0"/>
          <w:numId w:val="33"/>
        </w:numPr>
        <w:rPr>
          <w:rFonts w:ascii="Arial" w:cs="Arial" w:eastAsia="Arial" w:hAnsi="Arial"/>
          <w:sz w:val="18"/>
          <w:szCs w:val="18"/>
          <w:color w:val="51555C"/>
        </w:rPr>
      </w:pPr>
      <w:r>
        <w:rPr>
          <w:rFonts w:ascii="Arial" w:cs="Arial" w:eastAsia="Arial" w:hAnsi="Arial"/>
          <w:sz w:val="18"/>
          <w:szCs w:val="18"/>
          <w:color w:val="51555C"/>
        </w:rPr>
        <w:t>an increase in accruals related to commissions, salaries and payroll-related expenses; partially offset by</w:t>
      </w:r>
    </w:p>
    <w:p>
      <w:pPr>
        <w:spacing w:after="0" w:line="171" w:lineRule="exact"/>
        <w:rPr>
          <w:rFonts w:ascii="Arial" w:cs="Arial" w:eastAsia="Arial" w:hAnsi="Arial"/>
          <w:sz w:val="18"/>
          <w:szCs w:val="18"/>
          <w:color w:val="51555C"/>
        </w:rPr>
      </w:pPr>
    </w:p>
    <w:p>
      <w:pPr>
        <w:ind w:left="620" w:hanging="288"/>
        <w:spacing w:after="0"/>
        <w:tabs>
          <w:tab w:leader="none" w:pos="620" w:val="left"/>
        </w:tabs>
        <w:numPr>
          <w:ilvl w:val="0"/>
          <w:numId w:val="33"/>
        </w:numPr>
        <w:rPr>
          <w:rFonts w:ascii="Arial" w:cs="Arial" w:eastAsia="Arial" w:hAnsi="Arial"/>
          <w:sz w:val="18"/>
          <w:szCs w:val="18"/>
          <w:color w:val="51555C"/>
        </w:rPr>
      </w:pPr>
      <w:r>
        <w:rPr>
          <w:rFonts w:ascii="Arial" w:cs="Arial" w:eastAsia="Arial" w:hAnsi="Arial"/>
          <w:sz w:val="18"/>
          <w:szCs w:val="18"/>
          <w:color w:val="51555C"/>
        </w:rPr>
        <w:t>deferred revenue recognition outpacing deferred revenue billings growth.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On July 4, 2025, the United States enacted the OBBBA, which introduced significant changes to U.S. tax law. See Note 9 to our unaudited, condensed consolidated financial statements in this report for more information. OBBBA's restoration of 100% bonus depreciation and immediate expensing of domestic research and experimental expenditures, together with our utilization of net operating loss carryforwards, meaningfully reduced U.S. cash taxes in 2025 and 2026. U.S. state OBBBA conformity considerations (which continue to evolve as the states address the 2025 Federal tax legislation) is expected to, in part, offset these cash tax reductions in 2026 and 2027.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Investing Cash Flow</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Net cash used in investing activities of $54.6 million decreased by $2.7 million during the nine months ended September 30, 2026, when compared to the same period in 2025.</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During the nine months ended September 30, 2026, we used cash of $38.6 million for software development costs, which was a decrease of $1.6 million when compared to the same period in 2025. We spent $7.3 million for purchases of property and equipment during the nine months ended September 30, 2026, which was an increase of $2.5 million when compared to the same period in 2025. Also, we used $8.7 million for a minority investment in a business during the nine months ended September 30, 2026.</w:t>
      </w:r>
    </w:p>
    <w:p>
      <w:pPr>
        <w:spacing w:after="0" w:line="122" w:lineRule="exact"/>
        <w:rPr>
          <w:sz w:val="20"/>
          <w:szCs w:val="20"/>
          <w:color w:val="auto"/>
        </w:rPr>
      </w:pPr>
    </w:p>
    <w:p>
      <w:pPr>
        <w:ind w:right="1760"/>
        <w:spacing w:after="0" w:line="438" w:lineRule="auto"/>
        <w:rPr>
          <w:sz w:val="20"/>
          <w:szCs w:val="20"/>
          <w:color w:val="auto"/>
        </w:rPr>
      </w:pPr>
      <w:r>
        <w:rPr>
          <w:rFonts w:ascii="Arial" w:cs="Arial" w:eastAsia="Arial" w:hAnsi="Arial"/>
          <w:sz w:val="18"/>
          <w:szCs w:val="18"/>
          <w:color w:val="51555C"/>
        </w:rPr>
        <w:t xml:space="preserve">During the nine months ended September 30, 2025, we used net cash of $12.2 million for the disposition of a business. </w:t>
      </w:r>
      <w:r>
        <w:rPr>
          <w:rFonts w:ascii="Arial" w:cs="Arial" w:eastAsia="Arial" w:hAnsi="Arial"/>
          <w:sz w:val="18"/>
          <w:szCs w:val="18"/>
          <w:b w:val="1"/>
          <w:bCs w:val="1"/>
          <w:color w:val="51555C"/>
        </w:rPr>
        <w:t>Financing Cash Flow</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During the nine months ended September 30, 2026, we had a net decrease in borrowings of $77.1 million, primarily due to the use of operating cash flow to pay back debt, offset by our stock repurchase program and satisfying tax obligations of employees upon settlement of equity awards (see discussion below).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paid $25.7 million to satisfy tax obligations of employees upon settlement of equity awards during the nine months ended September 30, 2026 compared to $39.7 million during the same period in 2025.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During the nine months ended September 30, 2026, cash flow from financing activities associated with changes in restricted cash due to customers decreased $288.4 million, compared to a decrease of $323.5 million during the same period in 2025. This line in the statement of cash flows represents the change in the amount of restricted cash held and payable by us to customers from one period to the next. This restricted cash due to customers is not available to us for operational purposes.</w:t>
      </w:r>
    </w:p>
    <w:p>
      <w:pPr>
        <w:spacing w:after="0" w:line="30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36</w:t>
      </w:r>
      <w:r>
        <w:rPr>
          <w:sz w:val="20"/>
          <w:szCs w:val="20"/>
          <w:color w:val="auto"/>
        </w:rPr>
        <w:tab/>
      </w:r>
      <w:r>
        <w:rPr>
          <w:sz w:val="1"/>
          <w:szCs w:val="1"/>
          <w:color w:val="auto"/>
        </w:rPr>
        <w:drawing>
          <wp:inline distT="0" distB="0" distL="0" distR="0">
            <wp:extent cx="651510" cy="1714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Stock repurchase program</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 December 1, 2025, our Board of Directors reauthorized, expanded and replenished our stock repurchase program by expanding the total capacity under the program to $1.0 billion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w:t>
      </w:r>
    </w:p>
    <w:p>
      <w:pPr>
        <w:spacing w:after="0" w:line="1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51555C"/>
        </w:rPr>
        <w:t>In February 2026, we announced our intention to repurchase between 5% and 10% of our outstanding common stock as of December 31, 2025 during the course of 2026 under our stock repurchase program. During the three months ended September 30, 2026, we repurchased an aggregate of 448,000 shares for $ 18.3 million. During the nine months ended September 30, 2026, we repurchased an aggregate of 2,846,852 shares for $128.4 million. Including net share settlement of employee stock compensation, these repurchases represent approximately 7.2% of our outstanding common stock as of December 31, 2025. As of September 30, 2026, $832.1 million remained available under our stock repurchase program. Over the long term, we expect stock repurchases to remain an important component of our capital allocation strategy, subject to market conditions, business performance, leverage considerations, U.S. excise taxes and other factors. We anticipate utilizing at least 50% of our free cash flow from 2026 to 2030 for stock repurchases. See discussion of our Non</w:t>
      </w:r>
      <w:r>
        <w:rPr>
          <w:rFonts w:ascii="MS PGothic" w:cs="MS PGothic" w:eastAsia="MS PGothic" w:hAnsi="MS PGothic"/>
          <w:sz w:val="18"/>
          <w:szCs w:val="18"/>
          <w:color w:val="51555C"/>
        </w:rPr>
        <w:t>‑</w:t>
      </w:r>
      <w:r>
        <w:rPr>
          <w:rFonts w:ascii="Arial" w:cs="Arial" w:eastAsia="Arial" w:hAnsi="Arial"/>
          <w:sz w:val="18"/>
          <w:szCs w:val="18"/>
          <w:color w:val="51555C"/>
        </w:rPr>
        <w:t>GAAP Financial Measures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2024 Credit Facilities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Historically, we have drawn on our credit facility from time to time to help us meet financial needs, primarily due to the seasonality of our cash flows from operations and financing for business acquisitions. At September 30, 2026, our available borrowing capacity under the 2024 Credit Facilities was $474.2 million. The 2024 Credit Facilities mature in April 2029.</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At September 30, 2026, the carrying amount of our debt under the 2024 Credit Facilities was $1.0 billion. Our average daily borrowings during the three and nine months ended September 30, 2026 were $1.0 billion and $1.1 billion,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is a summary of the financial covenants under the 2024 Credit Facilities: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9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Ratio as of September 30, 2026</w:t>
            </w:r>
          </w:p>
        </w:tc>
      </w:tr>
      <w:tr>
        <w:trPr>
          <w:trHeight w:val="324"/>
        </w:trPr>
        <w:tc>
          <w:tcPr>
            <w:tcW w:w="499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Net leverage ratio</w:t>
            </w:r>
            <w:r>
              <w:rPr>
                <w:rFonts w:ascii="Arial" w:cs="Arial" w:eastAsia="Arial" w:hAnsi="Arial"/>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 3.75 to 1.00</w:t>
            </w:r>
          </w:p>
        </w:tc>
        <w:tc>
          <w:tcPr>
            <w:tcW w:w="337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8"/>
              </w:rPr>
              <w:t>2.29 to 1.00</w:t>
            </w:r>
          </w:p>
        </w:tc>
      </w:tr>
      <w:tr>
        <w:trPr>
          <w:trHeight w:val="301"/>
        </w:trPr>
        <w:tc>
          <w:tcPr>
            <w:tcW w:w="4990" w:type="dxa"/>
            <w:vAlign w:val="bottom"/>
          </w:tcPr>
          <w:p>
            <w:pPr>
              <w:ind w:left="20"/>
              <w:spacing w:after="0"/>
              <w:rPr>
                <w:sz w:val="20"/>
                <w:szCs w:val="20"/>
                <w:color w:val="auto"/>
              </w:rPr>
            </w:pPr>
            <w:r>
              <w:rPr>
                <w:rFonts w:ascii="Arial" w:cs="Arial" w:eastAsia="Arial" w:hAnsi="Arial"/>
                <w:sz w:val="18"/>
                <w:szCs w:val="18"/>
                <w:color w:val="51555C"/>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51555C"/>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51555C"/>
                <w:w w:val="98"/>
              </w:rPr>
              <w:t>6.74 to 1.00</w:t>
            </w:r>
          </w:p>
        </w:tc>
      </w:tr>
      <w:tr>
        <w:trPr>
          <w:trHeight w:val="23"/>
        </w:trPr>
        <w:tc>
          <w:tcPr>
            <w:tcW w:w="4990" w:type="dxa"/>
            <w:vAlign w:val="bottom"/>
            <w:tcBorders>
              <w:bottom w:val="single" w:sz="8" w:color="0CD973"/>
            </w:tcBorders>
          </w:tcPr>
          <w:p>
            <w:pPr>
              <w:spacing w:after="0"/>
              <w:rPr>
                <w:sz w:val="2"/>
                <w:szCs w:val="2"/>
                <w:color w:val="auto"/>
              </w:rPr>
            </w:pPr>
          </w:p>
        </w:tc>
        <w:tc>
          <w:tcPr>
            <w:tcW w:w="2860" w:type="dxa"/>
            <w:vAlign w:val="bottom"/>
            <w:tcBorders>
              <w:bottom w:val="single" w:sz="8" w:color="0CD973"/>
            </w:tcBorders>
          </w:tcPr>
          <w:p>
            <w:pPr>
              <w:spacing w:after="0"/>
              <w:rPr>
                <w:sz w:val="2"/>
                <w:szCs w:val="2"/>
                <w:color w:val="auto"/>
              </w:rPr>
            </w:pPr>
          </w:p>
        </w:tc>
        <w:tc>
          <w:tcPr>
            <w:tcW w:w="3370" w:type="dxa"/>
            <w:vAlign w:val="bottom"/>
            <w:tcBorders>
              <w:bottom w:val="single" w:sz="8" w:color="0CD973"/>
            </w:tcBorders>
          </w:tcPr>
          <w:p>
            <w:pPr>
              <w:spacing w:after="0"/>
              <w:rPr>
                <w:sz w:val="2"/>
                <w:szCs w:val="2"/>
                <w:color w:val="auto"/>
              </w:rPr>
            </w:pPr>
          </w:p>
        </w:tc>
      </w:tr>
    </w:tbl>
    <w:p>
      <w:pPr>
        <w:spacing w:after="0" w:line="85" w:lineRule="exact"/>
        <w:rPr>
          <w:sz w:val="20"/>
          <w:szCs w:val="20"/>
          <w:color w:val="auto"/>
        </w:rPr>
      </w:pPr>
    </w:p>
    <w:p>
      <w:pPr>
        <w:ind w:left="340" w:right="20" w:hanging="332"/>
        <w:spacing w:after="0" w:line="285" w:lineRule="auto"/>
        <w:tabs>
          <w:tab w:leader="none" w:pos="354"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Under the terms of the 2024 Credit Facilities, the Net Leverage Ratio requirement may be increased by up to 0.50 provided we satisfy certain requirements, including a permitted business acquisition, and provided that the maximum Net Leverage Ratio shall not exceed 4.25 to 1.00.</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share repurchase. At September 30, 2026, we were in compliance with our debt covenants under the 2024 Credit Facilities. See Note 6 to our unaudited, condensed consolidated financial statements in this report for additional information regarding the 2024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221615</wp:posOffset>
            </wp:positionV>
            <wp:extent cx="65976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37</w:t>
            </w:r>
          </w:p>
        </w:tc>
      </w:tr>
      <w:tr>
        <w:trPr>
          <w:trHeight w:val="31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As of September 30, 2026, we had contractual obligations with future minimum commitments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2700" w:type="dxa"/>
            <w:vAlign w:val="bottom"/>
            <w:gridSpan w:val="4"/>
            <w:shd w:val="clear" w:color="auto" w:fill="004054"/>
          </w:tcPr>
          <w:p>
            <w:pPr>
              <w:jc w:val="right"/>
              <w:ind w:right="15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004054"/>
          </w:tcPr>
          <w:p>
            <w:pPr>
              <w:spacing w:after="0"/>
              <w:rPr>
                <w:sz w:val="19"/>
                <w:szCs w:val="19"/>
                <w:color w:val="auto"/>
              </w:rPr>
            </w:pPr>
          </w:p>
        </w:tc>
        <w:tc>
          <w:tcPr>
            <w:tcW w:w="9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004054"/>
          </w:tcPr>
          <w:p>
            <w:pPr>
              <w:spacing w:after="0"/>
              <w:rPr>
                <w:sz w:val="19"/>
                <w:szCs w:val="19"/>
                <w:color w:val="auto"/>
              </w:rPr>
            </w:pPr>
          </w:p>
        </w:tc>
        <w:tc>
          <w:tcPr>
            <w:tcW w:w="920" w:type="dxa"/>
            <w:vAlign w:val="bottom"/>
            <w:vMerge w:val="continue"/>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2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Recorded contractual obligations:</w:t>
            </w:r>
          </w:p>
        </w:tc>
        <w:tc>
          <w:tcPr>
            <w:tcW w:w="380" w:type="dxa"/>
            <w:vAlign w:val="bottom"/>
            <w:shd w:val="clear" w:color="auto" w:fill="EBFBFF"/>
          </w:tcPr>
          <w:p>
            <w:pPr>
              <w:spacing w:after="0"/>
              <w:rPr>
                <w:sz w:val="24"/>
                <w:szCs w:val="24"/>
                <w:color w:val="auto"/>
              </w:rPr>
            </w:pPr>
          </w:p>
        </w:tc>
        <w:tc>
          <w:tcPr>
            <w:tcW w:w="940" w:type="dxa"/>
            <w:vAlign w:val="bottom"/>
            <w:shd w:val="clear" w:color="auto" w:fill="EBFBFF"/>
          </w:tcPr>
          <w:p>
            <w:pPr>
              <w:spacing w:after="0"/>
              <w:rPr>
                <w:sz w:val="24"/>
                <w:szCs w:val="24"/>
                <w:color w:val="auto"/>
              </w:rPr>
            </w:pPr>
          </w:p>
        </w:tc>
        <w:tc>
          <w:tcPr>
            <w:tcW w:w="380" w:type="dxa"/>
            <w:vAlign w:val="bottom"/>
            <w:shd w:val="clear" w:color="auto" w:fill="EBFBFF"/>
          </w:tcPr>
          <w:p>
            <w:pPr>
              <w:spacing w:after="0"/>
              <w:rPr>
                <w:sz w:val="24"/>
                <w:szCs w:val="24"/>
                <w:color w:val="auto"/>
              </w:rPr>
            </w:pPr>
          </w:p>
        </w:tc>
        <w:tc>
          <w:tcPr>
            <w:tcW w:w="960" w:type="dxa"/>
            <w:vAlign w:val="bottom"/>
            <w:shd w:val="clear" w:color="auto" w:fill="EBFBFF"/>
          </w:tcPr>
          <w:p>
            <w:pPr>
              <w:spacing w:after="0"/>
              <w:rPr>
                <w:sz w:val="24"/>
                <w:szCs w:val="24"/>
                <w:color w:val="auto"/>
              </w:rPr>
            </w:pPr>
          </w:p>
        </w:tc>
        <w:tc>
          <w:tcPr>
            <w:tcW w:w="420" w:type="dxa"/>
            <w:vAlign w:val="bottom"/>
            <w:shd w:val="clear" w:color="auto" w:fill="EBFBFF"/>
          </w:tcPr>
          <w:p>
            <w:pPr>
              <w:spacing w:after="0"/>
              <w:rPr>
                <w:sz w:val="24"/>
                <w:szCs w:val="24"/>
                <w:color w:val="auto"/>
              </w:rPr>
            </w:pPr>
          </w:p>
        </w:tc>
        <w:tc>
          <w:tcPr>
            <w:tcW w:w="9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240" w:type="dxa"/>
            <w:vAlign w:val="bottom"/>
          </w:tcPr>
          <w:p>
            <w:pPr>
              <w:ind w:left="140"/>
              <w:spacing w:after="0"/>
              <w:rPr>
                <w:sz w:val="20"/>
                <w:szCs w:val="20"/>
                <w:color w:val="auto"/>
              </w:rPr>
            </w:pPr>
            <w:r>
              <w:rPr>
                <w:rFonts w:ascii="Arial" w:cs="Arial" w:eastAsia="Arial" w:hAnsi="Arial"/>
                <w:sz w:val="18"/>
                <w:szCs w:val="18"/>
                <w:color w:val="51555C"/>
              </w:rPr>
              <w:t>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940" w:type="dxa"/>
            <w:vAlign w:val="bottom"/>
          </w:tcPr>
          <w:p>
            <w:pPr>
              <w:jc w:val="right"/>
              <w:spacing w:after="0"/>
              <w:rPr>
                <w:sz w:val="20"/>
                <w:szCs w:val="20"/>
                <w:color w:val="auto"/>
              </w:rPr>
            </w:pPr>
            <w:r>
              <w:rPr>
                <w:rFonts w:ascii="Arial" w:cs="Arial" w:eastAsia="Arial" w:hAnsi="Arial"/>
                <w:sz w:val="18"/>
                <w:szCs w:val="18"/>
                <w:color w:val="51555C"/>
              </w:rPr>
              <w:t>23.5</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Pr>
          <w:p>
            <w:pPr>
              <w:jc w:val="right"/>
              <w:spacing w:after="0"/>
              <w:rPr>
                <w:sz w:val="20"/>
                <w:szCs w:val="20"/>
                <w:color w:val="auto"/>
              </w:rPr>
            </w:pPr>
            <w:r>
              <w:rPr>
                <w:rFonts w:ascii="Arial" w:cs="Arial" w:eastAsia="Arial" w:hAnsi="Arial"/>
                <w:sz w:val="18"/>
                <w:szCs w:val="18"/>
                <w:color w:val="51555C"/>
              </w:rPr>
              <w:t>1,023.0</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1,046.5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leases</w:t>
            </w:r>
          </w:p>
        </w:tc>
        <w:tc>
          <w:tcPr>
            <w:tcW w:w="380" w:type="dxa"/>
            <w:vAlign w:val="bottom"/>
            <w:tcBorders>
              <w:bottom w:val="single" w:sz="8" w:color="EBFBFF"/>
            </w:tcBorders>
            <w:shd w:val="clear" w:color="auto" w:fill="EBFBFF"/>
          </w:tcPr>
          <w:p>
            <w:pPr>
              <w:spacing w:after="0"/>
              <w:rPr>
                <w:sz w:val="24"/>
                <w:szCs w:val="24"/>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w:t>
            </w:r>
          </w:p>
        </w:tc>
        <w:tc>
          <w:tcPr>
            <w:tcW w:w="38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5.4</w:t>
            </w:r>
          </w:p>
        </w:tc>
        <w:tc>
          <w:tcPr>
            <w:tcW w:w="420" w:type="dxa"/>
            <w:vAlign w:val="bottom"/>
            <w:tcBorders>
              <w:bottom w:val="single" w:sz="8" w:color="EBFBFF"/>
            </w:tcBorders>
            <w:shd w:val="clear" w:color="auto" w:fill="EBFBFF"/>
          </w:tcPr>
          <w:p>
            <w:pPr>
              <w:spacing w:after="0"/>
              <w:rPr>
                <w:sz w:val="24"/>
                <w:szCs w:val="24"/>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240" w:type="dxa"/>
            <w:vAlign w:val="bottom"/>
          </w:tcPr>
          <w:p>
            <w:pPr>
              <w:ind w:left="20"/>
              <w:spacing w:after="0"/>
              <w:rPr>
                <w:sz w:val="20"/>
                <w:szCs w:val="20"/>
                <w:color w:val="auto"/>
              </w:rPr>
            </w:pPr>
            <w:r>
              <w:rPr>
                <w:rFonts w:ascii="Arial" w:cs="Arial" w:eastAsia="Arial" w:hAnsi="Arial"/>
                <w:sz w:val="18"/>
                <w:szCs w:val="18"/>
                <w:b w:val="1"/>
                <w:bCs w:val="1"/>
                <w:color w:val="51555C"/>
              </w:rPr>
              <w:t>Unrecorded contractual obligations: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Purchase obligations</w:t>
            </w:r>
          </w:p>
        </w:tc>
        <w:tc>
          <w:tcPr>
            <w:tcW w:w="380" w:type="dxa"/>
            <w:vAlign w:val="bottom"/>
            <w:tcBorders>
              <w:bottom w:val="single" w:sz="8" w:color="EBFBFF"/>
            </w:tcBorders>
            <w:shd w:val="clear" w:color="auto" w:fill="EBFBFF"/>
          </w:tcPr>
          <w:p>
            <w:pPr>
              <w:spacing w:after="0"/>
              <w:rPr>
                <w:sz w:val="24"/>
                <w:szCs w:val="24"/>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52.2</w:t>
            </w:r>
          </w:p>
        </w:tc>
        <w:tc>
          <w:tcPr>
            <w:tcW w:w="38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37.7</w:t>
            </w:r>
          </w:p>
        </w:tc>
        <w:tc>
          <w:tcPr>
            <w:tcW w:w="420" w:type="dxa"/>
            <w:vAlign w:val="bottom"/>
            <w:tcBorders>
              <w:bottom w:val="single" w:sz="8" w:color="EBFBFF"/>
            </w:tcBorders>
            <w:shd w:val="clear" w:color="auto" w:fill="EBFBFF"/>
          </w:tcPr>
          <w:p>
            <w:pPr>
              <w:spacing w:after="0"/>
              <w:rPr>
                <w:sz w:val="24"/>
                <w:szCs w:val="24"/>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240" w:type="dxa"/>
            <w:vAlign w:val="bottom"/>
          </w:tcPr>
          <w:p>
            <w:pPr>
              <w:ind w:left="140"/>
              <w:spacing w:after="0"/>
              <w:rPr>
                <w:sz w:val="20"/>
                <w:szCs w:val="20"/>
                <w:color w:val="auto"/>
              </w:rPr>
            </w:pPr>
            <w:r>
              <w:rPr>
                <w:rFonts w:ascii="Arial" w:cs="Arial" w:eastAsia="Arial" w:hAnsi="Arial"/>
                <w:sz w:val="18"/>
                <w:szCs w:val="18"/>
                <w:color w:val="51555C"/>
              </w:rPr>
              <w:t>Interest payments on debt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58.6</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108.0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166.6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4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42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Total contractual obligations</w:t>
            </w:r>
            <w:r>
              <w:rPr>
                <w:rFonts w:ascii="Arial" w:cs="Arial" w:eastAsia="Arial" w:hAnsi="Arial"/>
                <w:sz w:val="23"/>
                <w:szCs w:val="23"/>
                <w:b w:val="1"/>
                <w:bCs w:val="1"/>
                <w:color w:val="51555C"/>
                <w:vertAlign w:val="superscript"/>
              </w:rPr>
              <w:t>(1)</w:t>
            </w:r>
          </w:p>
        </w:tc>
        <w:tc>
          <w:tcPr>
            <w:tcW w:w="380" w:type="dxa"/>
            <w:vAlign w:val="bottom"/>
            <w:tcBorders>
              <w:bottom w:val="single" w:sz="8" w:color="0CD973"/>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136.8</w:t>
            </w:r>
          </w:p>
        </w:tc>
        <w:tc>
          <w:tcPr>
            <w:tcW w:w="380" w:type="dxa"/>
            <w:vAlign w:val="bottom"/>
            <w:tcBorders>
              <w:bottom w:val="single" w:sz="8" w:color="0CD973"/>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1,174.1</w:t>
            </w:r>
          </w:p>
        </w:tc>
        <w:tc>
          <w:tcPr>
            <w:tcW w:w="420" w:type="dxa"/>
            <w:vAlign w:val="bottom"/>
            <w:tcBorders>
              <w:bottom w:val="single" w:sz="8" w:color="0CD973"/>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1,310.8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-1731010</wp:posOffset>
            </wp:positionV>
            <wp:extent cx="25546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51555C"/>
        </w:rPr>
      </w:pPr>
      <w:r>
        <w:rPr>
          <w:rFonts w:ascii="Arial" w:cs="Arial" w:eastAsia="Arial" w:hAnsi="Arial"/>
          <w:sz w:val="14"/>
          <w:szCs w:val="14"/>
          <w:color w:val="51555C"/>
        </w:rPr>
        <w:t>The individual amounts may not sum to the total due to rounding.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Debt</w:t>
      </w:r>
    </w:p>
    <w:p>
      <w:pPr>
        <w:spacing w:after="0" w:line="16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As of September 30, 2026, we had total remaining principal payments of approximately $ 1.0 billion. These payments represent principal payments only, under the following assumptions: (i) that the amounts outstanding under the 2024 Credit Facilities, our real estate loans and our other debt at September 30, 2026 will remain outstanding until maturity, with minimum payments occurring as currently scheduled, and</w:t>
      </w:r>
    </w:p>
    <w:p>
      <w:pPr>
        <w:spacing w:after="0" w:line="1" w:lineRule="exact"/>
        <w:rPr>
          <w:sz w:val="20"/>
          <w:szCs w:val="20"/>
          <w:color w:val="auto"/>
        </w:rPr>
      </w:pPr>
    </w:p>
    <w:p>
      <w:pPr>
        <w:jc w:val="both"/>
        <w:ind w:right="20" w:firstLine="8"/>
        <w:spacing w:after="0" w:line="258" w:lineRule="auto"/>
        <w:tabs>
          <w:tab w:leader="none" w:pos="292"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that there are no assumed future borrowings on the revolving credit loans under the 2024 Revolving Facility for the purposes of determining minimum commitment amounts. See Note 6 to our unaudited, condensed consolidated financial statements in this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Interest payments on debt</w:t>
      </w:r>
    </w:p>
    <w:p>
      <w:pPr>
        <w:spacing w:after="0" w:line="16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51555C"/>
        </w:rPr>
        <w:t>In addition to principal payments, as of September 30, 2026, we expect to pay interest expense over the life of our debt obligations of approximately $166.6 million. These payments represent our estimated future interest payments on debt using our debt balances and the related weighted average effective interest rates as of September 30, 2026,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Operating leases</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September 30, 2026, we had remaining operating lease payments of $7.9 million. These payments have not been reduced by sublease income, incentive payments, reimbursement of leasehold improvements or the amount representing imputed interest. Our operating leases are generally for corporate offices, subleased offices and certain equipment and furniture. Given our remote-flexible workforce strategy and real estate footprint optimization efforts, we do not anticipate entering any new, material operating leases for offices for the foreseeable future. See Note 8 to our unaudited, condensed consolidated financial statements in this report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Purchase obligations</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51555C"/>
        </w:rPr>
        <w:t>As of September 30, 2026, we had remaining purchase obligations of $89.9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September 30, 2026, as we had not received the related services. See Note 8 to our unaudited, condensed consolidated financial statements in this report for more information.</w:t>
      </w:r>
    </w:p>
    <w:p>
      <w:pPr>
        <w:spacing w:after="0" w:line="31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38</w:t>
      </w:r>
      <w:r>
        <w:rPr>
          <w:sz w:val="20"/>
          <w:szCs w:val="20"/>
          <w:color w:val="auto"/>
        </w:rPr>
        <w:tab/>
      </w:r>
      <w:r>
        <w:rPr>
          <w:sz w:val="1"/>
          <w:szCs w:val="1"/>
          <w:color w:val="auto"/>
        </w:rPr>
        <w:drawing>
          <wp:inline distT="0" distB="0" distL="0" distR="0">
            <wp:extent cx="651510"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Other commitments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51555C"/>
        </w:rPr>
        <w:t>In connection with the settlement of the multi-state Attorneys General investigation, the California Attorney General investigation and the FTC investigation relating to the Security Incident, as discussed in Note 11 to our audited consolidated financial statements contained in our Annual Report on Form 10-K for the fiscal year ended December 31, 2024, we have agreed to implement and improve certain of our cybersecurity programs and tools through May 2044. The currently anticipated costs in connection with these efforts are primarily expected to be expensed as incurred.</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Approximately 18% of our total revenue for the nine months ended September 30, 2026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income (loss) as a component of stockholders’ equity, was a loss of $5.5 million as of September 30, 2026 and a loss of $3.8 million as of December 31, 2025. We have entered into foreign currency forward contracts to hedge a portion of the foreign currency exposure that arises on translation of our investments denominated in British Pounds into U.S. dollars.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the nine months ended September 30, 2026,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nine months ended September 30, 2026, the fluctuation in foreign currency exchange rates increased our total revenue and our income from operations by $3.2 million and $3.2 million, respectively. We have entered into foreign currency forward contracts to hedge revenues denominated in Canadian dollars and operating expenses denominated in Indian rupees against fluctuations in exchange rates relative to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There have been no significant changes in our critical accounting policies and estimates during the nine months ended September 30, 2026 as compared to those disclosed in “Management’s Discussion and Analysis of Financial Condition and Results of Operations” included in our Annual Report on Form 10-K for the fiscal year ended December 31, 2025.</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194945</wp:posOffset>
            </wp:positionV>
            <wp:extent cx="65976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39</w:t>
            </w:r>
          </w:p>
        </w:tc>
      </w:tr>
      <w:tr>
        <w:trPr>
          <w:trHeight w:val="325"/>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8"/>
          <w:szCs w:val="28"/>
          <w:b w:val="1"/>
          <w:bCs w:val="1"/>
          <w:color w:val="004054"/>
        </w:rPr>
        <w:t>ITEM 3. 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51555C"/>
        </w:rPr>
        <w:t>We have market rate sensitivity for interest rates and foreign currency exchange rates.</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primary interest rate exposure is related to changes in SOFR rates. Due to the nature of our debt, the materiality of the fair values of the derivative instruments and the highly liquid, short-term nature and level of our cash and cash equivalents as of September 30, 2026, we believe that the risk of exposure to changing interest rates for those positions is immaterial. There were no significant changes in how we manage interest rate risk between December 31, 2025 and September 30, 2026.</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51555C"/>
        </w:rPr>
        <w:t>For a discussion of our exposure to foreign currency exchange rate fluctuations, see “Management’s Discussion and Analysis of Financial Condition and Results of Operations — Foreign Currency Exchange Rates”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4. CONTROLS AND PROCEDURES</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No changes in internal control over financial reporting occurred during the most recent fiscal quarter ended September 30, 2026 with respect to our operations, which have materially affected, or are reasonably likely to materially affect, our internal control over financial reporting.</w:t>
      </w:r>
    </w:p>
    <w:p>
      <w:pPr>
        <w:spacing w:after="0" w:line="27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40</w:t>
      </w:r>
      <w:r>
        <w:rPr>
          <w:sz w:val="20"/>
          <w:szCs w:val="20"/>
          <w:color w:val="auto"/>
        </w:rPr>
        <w:tab/>
      </w:r>
      <w:r>
        <w:rPr>
          <w:sz w:val="1"/>
          <w:szCs w:val="1"/>
          <w:color w:val="auto"/>
        </w:rPr>
        <w:drawing>
          <wp:inline distT="0" distB="0" distL="0" distR="0">
            <wp:extent cx="651510" cy="1714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381"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51555C"/>
        </w:rPr>
        <w:t>For a discussion of our legal proceedings, see Note 8 to our unaudited, condensed consolidated financial statements in this report.</w:t>
      </w:r>
    </w:p>
    <w:p>
      <w:pPr>
        <w:spacing w:after="0" w:line="264" w:lineRule="exact"/>
        <w:rPr>
          <w:sz w:val="20"/>
          <w:szCs w:val="20"/>
          <w:color w:val="auto"/>
        </w:rPr>
      </w:pPr>
    </w:p>
    <w:p>
      <w:pPr>
        <w:ind w:right="1540"/>
        <w:spacing w:after="0" w:line="298" w:lineRule="auto"/>
        <w:rPr>
          <w:sz w:val="20"/>
          <w:szCs w:val="20"/>
          <w:color w:val="auto"/>
        </w:rPr>
      </w:pPr>
      <w:r>
        <w:rPr>
          <w:rFonts w:ascii="Arial" w:cs="Arial" w:eastAsia="Arial" w:hAnsi="Arial"/>
          <w:sz w:val="29"/>
          <w:szCs w:val="29"/>
          <w:b w:val="1"/>
          <w:bCs w:val="1"/>
          <w:color w:val="004054"/>
        </w:rPr>
        <w:t>ITEM 2. UNREGISTERED SALES OF EQUITY SECURITIES AND USE OF PROCEEDS</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51555C"/>
        </w:rPr>
        <w:t>The following table provides information about shares of common stock acquired or repurchased during the three months ended September 30, 2026 under the stock repurchase program then in effect, as well as common stock withheld by us to satisfy the minimum tax obligations of employees due upon vesting of restricted stock awards and units.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shd w:val="clear" w:color="auto" w:fill="004054"/>
          </w:tcPr>
          <w:p>
            <w:pPr>
              <w:spacing w:after="0"/>
              <w:rPr>
                <w:sz w:val="17"/>
                <w:szCs w:val="17"/>
                <w:color w:val="auto"/>
              </w:rPr>
            </w:pPr>
          </w:p>
        </w:tc>
        <w:tc>
          <w:tcPr>
            <w:tcW w:w="13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2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13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004054"/>
          </w:tcPr>
          <w:p>
            <w:pPr>
              <w:spacing w:after="0"/>
              <w:rPr>
                <w:sz w:val="17"/>
                <w:szCs w:val="17"/>
                <w:color w:val="auto"/>
              </w:rPr>
            </w:pPr>
          </w:p>
        </w:tc>
      </w:tr>
      <w:tr>
        <w:trPr>
          <w:trHeight w:val="176"/>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004054"/>
          </w:tcPr>
          <w:p>
            <w:pPr>
              <w:spacing w:after="0"/>
              <w:rPr>
                <w:sz w:val="15"/>
                <w:szCs w:val="15"/>
                <w:color w:val="auto"/>
              </w:rPr>
            </w:pPr>
          </w:p>
        </w:tc>
      </w:tr>
      <w:tr>
        <w:trPr>
          <w:trHeight w:val="162"/>
        </w:trPr>
        <w:tc>
          <w:tcPr>
            <w:tcW w:w="544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004054"/>
          </w:tcPr>
          <w:p>
            <w:pPr>
              <w:spacing w:after="0"/>
              <w:rPr>
                <w:sz w:val="14"/>
                <w:szCs w:val="14"/>
                <w:color w:val="auto"/>
              </w:rPr>
            </w:pPr>
          </w:p>
        </w:tc>
      </w:tr>
      <w:tr>
        <w:trPr>
          <w:trHeight w:val="176"/>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004054"/>
          </w:tcPr>
          <w:p>
            <w:pPr>
              <w:spacing w:after="0"/>
              <w:rPr>
                <w:sz w:val="15"/>
                <w:szCs w:val="15"/>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004054"/>
          </w:tcPr>
          <w:p>
            <w:pPr>
              <w:spacing w:after="0"/>
              <w:rPr>
                <w:sz w:val="15"/>
                <w:szCs w:val="15"/>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004054"/>
          </w:tcPr>
          <w:p>
            <w:pPr>
              <w:spacing w:after="0"/>
              <w:rPr>
                <w:sz w:val="15"/>
                <w:szCs w:val="15"/>
                <w:color w:val="auto"/>
              </w:rPr>
            </w:pPr>
          </w:p>
        </w:tc>
      </w:tr>
      <w:tr>
        <w:trPr>
          <w:trHeight w:val="162"/>
        </w:trPr>
        <w:tc>
          <w:tcPr>
            <w:tcW w:w="54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004054"/>
          </w:tcPr>
          <w:p>
            <w:pPr>
              <w:spacing w:after="0"/>
              <w:rPr>
                <w:sz w:val="14"/>
                <w:szCs w:val="14"/>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004054"/>
          </w:tcPr>
          <w:p>
            <w:pPr>
              <w:spacing w:after="0"/>
              <w:rPr>
                <w:sz w:val="15"/>
                <w:szCs w:val="15"/>
                <w:color w:val="auto"/>
              </w:rPr>
            </w:pPr>
          </w:p>
        </w:tc>
      </w:tr>
      <w:tr>
        <w:trPr>
          <w:trHeight w:val="225"/>
        </w:trPr>
        <w:tc>
          <w:tcPr>
            <w:tcW w:w="54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9"/>
                <w:szCs w:val="9"/>
                <w:b w:val="1"/>
                <w:bCs w:val="1"/>
                <w:color w:val="FFFFFF"/>
              </w:rPr>
              <w:t>(1)</w:t>
            </w:r>
          </w:p>
        </w:tc>
        <w:tc>
          <w:tcPr>
            <w:tcW w:w="10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004054"/>
          </w:tcPr>
          <w:p>
            <w:pPr>
              <w:spacing w:after="0"/>
              <w:rPr>
                <w:sz w:val="19"/>
                <w:szCs w:val="19"/>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p>
        </w:tc>
        <w:tc>
          <w:tcPr>
            <w:tcW w:w="100" w:type="dxa"/>
            <w:vAlign w:val="bottom"/>
            <w:shd w:val="clear" w:color="auto" w:fill="004054"/>
          </w:tcPr>
          <w:p>
            <w:pPr>
              <w:spacing w:after="0"/>
              <w:rPr>
                <w:sz w:val="19"/>
                <w:szCs w:val="19"/>
                <w:color w:val="auto"/>
              </w:rPr>
            </w:pPr>
          </w:p>
        </w:tc>
        <w:tc>
          <w:tcPr>
            <w:tcW w:w="200" w:type="dxa"/>
            <w:vAlign w:val="bottom"/>
            <w:shd w:val="clear" w:color="auto" w:fill="004054"/>
          </w:tcPr>
          <w:p>
            <w:pPr>
              <w:spacing w:after="0"/>
              <w:rPr>
                <w:sz w:val="19"/>
                <w:szCs w:val="19"/>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r>
              <w:rPr>
                <w:rFonts w:ascii="Arial" w:cs="Arial" w:eastAsia="Arial" w:hAnsi="Arial"/>
                <w:sz w:val="9"/>
                <w:szCs w:val="9"/>
                <w:b w:val="1"/>
                <w:bCs w:val="1"/>
                <w:color w:val="FFFFFF"/>
              </w:rPr>
              <w:t>(2)</w:t>
            </w:r>
          </w:p>
        </w:tc>
        <w:tc>
          <w:tcPr>
            <w:tcW w:w="20" w:type="dxa"/>
            <w:vAlign w:val="bottom"/>
            <w:shd w:val="clear" w:color="auto" w:fill="004054"/>
          </w:tcPr>
          <w:p>
            <w:pPr>
              <w:spacing w:after="0"/>
              <w:rPr>
                <w:sz w:val="19"/>
                <w:szCs w:val="19"/>
                <w:color w:val="auto"/>
              </w:rPr>
            </w:pPr>
          </w:p>
        </w:tc>
      </w:tr>
      <w:tr>
        <w:trPr>
          <w:trHeight w:val="304"/>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Beginning balance, July 1, 2026</w:t>
            </w:r>
          </w:p>
        </w:tc>
        <w:tc>
          <w:tcPr>
            <w:tcW w:w="136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460" w:type="dxa"/>
            <w:vAlign w:val="bottom"/>
            <w:tcBorders>
              <w:bottom w:val="single" w:sz="8" w:color="EBFBFF"/>
            </w:tcBorders>
            <w:shd w:val="clear" w:color="auto" w:fill="EBFBFF"/>
          </w:tcPr>
          <w:p>
            <w:pPr>
              <w:spacing w:after="0"/>
              <w:rPr>
                <w:sz w:val="24"/>
                <w:szCs w:val="24"/>
                <w:color w:val="auto"/>
              </w:rPr>
            </w:pPr>
          </w:p>
        </w:tc>
        <w:tc>
          <w:tcPr>
            <w:tcW w:w="920" w:type="dxa"/>
            <w:vAlign w:val="bottom"/>
            <w:tcBorders>
              <w:bottom w:val="single" w:sz="8" w:color="EBFBFF"/>
            </w:tcBorders>
            <w:shd w:val="clear" w:color="auto" w:fill="EBFBFF"/>
          </w:tcPr>
          <w:p>
            <w:pPr>
              <w:spacing w:after="0"/>
              <w:rPr>
                <w:sz w:val="24"/>
                <w:szCs w:val="24"/>
                <w:color w:val="auto"/>
              </w:rPr>
            </w:pPr>
          </w:p>
        </w:tc>
        <w:tc>
          <w:tcPr>
            <w:tcW w:w="12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850,430</w:t>
            </w:r>
          </w:p>
        </w:tc>
        <w:tc>
          <w:tcPr>
            <w:tcW w:w="20" w:type="dxa"/>
            <w:vAlign w:val="bottom"/>
          </w:tcPr>
          <w:p>
            <w:pPr>
              <w:spacing w:after="0"/>
              <w:rPr>
                <w:sz w:val="24"/>
                <w:szCs w:val="24"/>
                <w:color w:val="auto"/>
              </w:rPr>
            </w:pPr>
          </w:p>
        </w:tc>
      </w:tr>
      <w:tr>
        <w:trPr>
          <w:trHeight w:val="301"/>
        </w:trPr>
        <w:tc>
          <w:tcPr>
            <w:tcW w:w="5440" w:type="dxa"/>
            <w:vAlign w:val="bottom"/>
          </w:tcPr>
          <w:p>
            <w:pPr>
              <w:ind w:left="20"/>
              <w:spacing w:after="0"/>
              <w:rPr>
                <w:sz w:val="20"/>
                <w:szCs w:val="20"/>
                <w:color w:val="auto"/>
              </w:rPr>
            </w:pPr>
            <w:r>
              <w:rPr>
                <w:rFonts w:ascii="Arial" w:cs="Arial" w:eastAsia="Arial" w:hAnsi="Arial"/>
                <w:sz w:val="18"/>
                <w:szCs w:val="18"/>
                <w:color w:val="51555C"/>
              </w:rPr>
              <w:t>July 1, 2026 through July 31, 2026</w:t>
            </w:r>
          </w:p>
        </w:tc>
        <w:tc>
          <w:tcPr>
            <w:tcW w:w="1360" w:type="dxa"/>
            <w:vAlign w:val="bottom"/>
          </w:tcPr>
          <w:p>
            <w:pPr>
              <w:jc w:val="right"/>
              <w:spacing w:after="0"/>
              <w:rPr>
                <w:sz w:val="20"/>
                <w:szCs w:val="20"/>
                <w:color w:val="auto"/>
              </w:rPr>
            </w:pPr>
            <w:r>
              <w:rPr>
                <w:rFonts w:ascii="Arial" w:cs="Arial" w:eastAsia="Arial" w:hAnsi="Arial"/>
                <w:sz w:val="18"/>
                <w:szCs w:val="18"/>
                <w:color w:val="51555C"/>
              </w:rPr>
              <w:t>154,000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32.22</w:t>
            </w:r>
          </w:p>
        </w:tc>
        <w:tc>
          <w:tcPr>
            <w:tcW w:w="120" w:type="dxa"/>
            <w:vAlign w:val="bottom"/>
          </w:tcPr>
          <w:p>
            <w:pPr>
              <w:spacing w:after="0"/>
              <w:rPr>
                <w:sz w:val="24"/>
                <w:szCs w:val="24"/>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51555C"/>
              </w:rPr>
              <w:t>154,000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51555C"/>
              </w:rPr>
              <w:t>845,468</w:t>
            </w:r>
          </w:p>
        </w:tc>
        <w:tc>
          <w:tcPr>
            <w:tcW w:w="20" w:type="dxa"/>
            <w:vAlign w:val="bottom"/>
          </w:tcPr>
          <w:p>
            <w:pPr>
              <w:spacing w:after="0"/>
              <w:rPr>
                <w:sz w:val="24"/>
                <w:szCs w:val="24"/>
                <w:color w:val="auto"/>
              </w:rPr>
            </w:pPr>
          </w:p>
        </w:tc>
      </w:tr>
      <w:tr>
        <w:trPr>
          <w:trHeight w:val="2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August 1, 2026 through August 31, 2026</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154,983</w:t>
            </w:r>
          </w:p>
        </w:tc>
        <w:tc>
          <w:tcPr>
            <w:tcW w:w="100" w:type="dxa"/>
            <w:vAlign w:val="bottom"/>
            <w:tcBorders>
              <w:bottom w:val="single" w:sz="8" w:color="EBFBFF"/>
            </w:tcBorders>
            <w:shd w:val="clear" w:color="auto" w:fill="EBFBFF"/>
          </w:tcPr>
          <w:p>
            <w:pPr>
              <w:spacing w:after="0"/>
              <w:rPr>
                <w:sz w:val="24"/>
                <w:szCs w:val="24"/>
                <w:color w:val="auto"/>
              </w:rPr>
            </w:pPr>
          </w:p>
        </w:tc>
        <w:tc>
          <w:tcPr>
            <w:tcW w:w="460" w:type="dxa"/>
            <w:vAlign w:val="bottom"/>
            <w:tcBorders>
              <w:bottom w:val="single" w:sz="8" w:color="EBFBFF"/>
            </w:tcBorders>
            <w:shd w:val="clear" w:color="auto" w:fill="EBFBFF"/>
          </w:tcPr>
          <w:p>
            <w:pPr>
              <w:spacing w:after="0"/>
              <w:rPr>
                <w:sz w:val="24"/>
                <w:szCs w:val="24"/>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45.99</w:t>
            </w:r>
          </w:p>
        </w:tc>
        <w:tc>
          <w:tcPr>
            <w:tcW w:w="120" w:type="dxa"/>
            <w:vAlign w:val="bottom"/>
            <w:tcBorders>
              <w:bottom w:val="single" w:sz="8" w:color="EBFBFF"/>
            </w:tcBorders>
            <w:shd w:val="clear" w:color="auto" w:fill="EBFBFF"/>
          </w:tcPr>
          <w:p>
            <w:pPr>
              <w:spacing w:after="0"/>
              <w:rPr>
                <w:sz w:val="24"/>
                <w:szCs w:val="24"/>
                <w:color w:val="auto"/>
              </w:rPr>
            </w:pPr>
          </w:p>
        </w:tc>
        <w:tc>
          <w:tcPr>
            <w:tcW w:w="136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147,000</w:t>
            </w:r>
          </w:p>
        </w:tc>
        <w:tc>
          <w:tcPr>
            <w:tcW w:w="100" w:type="dxa"/>
            <w:vAlign w:val="bottom"/>
            <w:tcBorders>
              <w:bottom w:val="single" w:sz="8" w:color="EBFBFF"/>
            </w:tcBorders>
            <w:shd w:val="clear" w:color="auto" w:fill="EBFBFF"/>
          </w:tcPr>
          <w:p>
            <w:pPr>
              <w:spacing w:after="0"/>
              <w:rPr>
                <w:sz w:val="24"/>
                <w:szCs w:val="24"/>
                <w:color w:val="auto"/>
              </w:rPr>
            </w:pPr>
          </w:p>
        </w:tc>
        <w:tc>
          <w:tcPr>
            <w:tcW w:w="20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838,718</w:t>
            </w:r>
          </w:p>
        </w:tc>
        <w:tc>
          <w:tcPr>
            <w:tcW w:w="20" w:type="dxa"/>
            <w:vAlign w:val="bottom"/>
          </w:tcPr>
          <w:p>
            <w:pPr>
              <w:spacing w:after="0"/>
              <w:rPr>
                <w:sz w:val="24"/>
                <w:szCs w:val="24"/>
                <w:color w:val="auto"/>
              </w:rPr>
            </w:pPr>
          </w:p>
        </w:tc>
      </w:tr>
      <w:tr>
        <w:trPr>
          <w:trHeight w:val="301"/>
        </w:trPr>
        <w:tc>
          <w:tcPr>
            <w:tcW w:w="5440" w:type="dxa"/>
            <w:vAlign w:val="bottom"/>
          </w:tcPr>
          <w:p>
            <w:pPr>
              <w:ind w:left="20"/>
              <w:spacing w:after="0"/>
              <w:rPr>
                <w:sz w:val="20"/>
                <w:szCs w:val="20"/>
                <w:color w:val="auto"/>
              </w:rPr>
            </w:pPr>
            <w:r>
              <w:rPr>
                <w:rFonts w:ascii="Arial" w:cs="Arial" w:eastAsia="Arial" w:hAnsi="Arial"/>
                <w:sz w:val="18"/>
                <w:szCs w:val="18"/>
                <w:color w:val="51555C"/>
              </w:rPr>
              <w:t>September 1, 2026 through September 30, 2026</w:t>
            </w:r>
          </w:p>
        </w:tc>
        <w:tc>
          <w:tcPr>
            <w:tcW w:w="1360" w:type="dxa"/>
            <w:vAlign w:val="bottom"/>
          </w:tcPr>
          <w:p>
            <w:pPr>
              <w:jc w:val="right"/>
              <w:spacing w:after="0"/>
              <w:rPr>
                <w:sz w:val="20"/>
                <w:szCs w:val="20"/>
                <w:color w:val="auto"/>
              </w:rPr>
            </w:pPr>
            <w:r>
              <w:rPr>
                <w:rFonts w:ascii="Arial" w:cs="Arial" w:eastAsia="Arial" w:hAnsi="Arial"/>
                <w:sz w:val="18"/>
                <w:szCs w:val="18"/>
                <w:color w:val="51555C"/>
              </w:rPr>
              <w:t>147,000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44.79</w:t>
            </w:r>
          </w:p>
        </w:tc>
        <w:tc>
          <w:tcPr>
            <w:tcW w:w="120" w:type="dxa"/>
            <w:vAlign w:val="bottom"/>
          </w:tcPr>
          <w:p>
            <w:pPr>
              <w:spacing w:after="0"/>
              <w:rPr>
                <w:sz w:val="24"/>
                <w:szCs w:val="24"/>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51555C"/>
              </w:rPr>
              <w:t>147,000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51555C"/>
              </w:rPr>
              <w:t>832,134</w:t>
            </w:r>
          </w:p>
        </w:tc>
        <w:tc>
          <w:tcPr>
            <w:tcW w:w="20" w:type="dxa"/>
            <w:vAlign w:val="bottom"/>
          </w:tcPr>
          <w:p>
            <w:pPr>
              <w:spacing w:after="0"/>
              <w:rPr>
                <w:sz w:val="24"/>
                <w:szCs w:val="24"/>
                <w:color w:val="auto"/>
              </w:rPr>
            </w:pPr>
          </w:p>
        </w:tc>
      </w:tr>
      <w:tr>
        <w:trPr>
          <w:trHeight w:val="23"/>
        </w:trPr>
        <w:tc>
          <w:tcPr>
            <w:tcW w:w="5440" w:type="dxa"/>
            <w:vAlign w:val="bottom"/>
            <w:tcBorders>
              <w:bottom w:val="single" w:sz="8" w:color="EBFBFF"/>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405"/>
        </w:trPr>
        <w:tc>
          <w:tcPr>
            <w:tcW w:w="544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Total</w:t>
            </w:r>
          </w:p>
        </w:tc>
        <w:tc>
          <w:tcPr>
            <w:tcW w:w="13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455,983</w:t>
            </w:r>
          </w:p>
        </w:tc>
        <w:tc>
          <w:tcPr>
            <w:tcW w:w="100" w:type="dxa"/>
            <w:vAlign w:val="bottom"/>
            <w:tcBorders>
              <w:bottom w:val="single" w:sz="8" w:color="0CD973"/>
            </w:tcBorders>
            <w:shd w:val="clear" w:color="auto" w:fill="EBFBFF"/>
          </w:tcPr>
          <w:p>
            <w:pPr>
              <w:spacing w:after="0"/>
              <w:rPr>
                <w:sz w:val="24"/>
                <w:szCs w:val="24"/>
                <w:color w:val="auto"/>
              </w:rPr>
            </w:pPr>
          </w:p>
        </w:tc>
        <w:tc>
          <w:tcPr>
            <w:tcW w:w="460" w:type="dxa"/>
            <w:vAlign w:val="bottom"/>
            <w:tcBorders>
              <w:bottom w:val="single" w:sz="8" w:color="0CD973"/>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9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40.95</w:t>
            </w:r>
          </w:p>
        </w:tc>
        <w:tc>
          <w:tcPr>
            <w:tcW w:w="120" w:type="dxa"/>
            <w:vAlign w:val="bottom"/>
            <w:tcBorders>
              <w:bottom w:val="single" w:sz="8" w:color="0CD973"/>
            </w:tcBorders>
            <w:shd w:val="clear" w:color="auto" w:fill="EBFBFF"/>
          </w:tcPr>
          <w:p>
            <w:pPr>
              <w:spacing w:after="0"/>
              <w:rPr>
                <w:sz w:val="24"/>
                <w:szCs w:val="24"/>
                <w:color w:val="auto"/>
              </w:rPr>
            </w:pPr>
          </w:p>
        </w:tc>
        <w:tc>
          <w:tcPr>
            <w:tcW w:w="1360" w:type="dxa"/>
            <w:vAlign w:val="bottom"/>
            <w:tcBorders>
              <w:bottom w:val="single" w:sz="8" w:color="0CD973"/>
            </w:tcBorders>
            <w:shd w:val="clear" w:color="auto" w:fill="EBFBFF"/>
          </w:tcPr>
          <w:p>
            <w:pPr>
              <w:jc w:val="right"/>
              <w:ind w:right="2"/>
              <w:spacing w:after="0"/>
              <w:rPr>
                <w:sz w:val="20"/>
                <w:szCs w:val="20"/>
                <w:color w:val="auto"/>
              </w:rPr>
            </w:pPr>
            <w:r>
              <w:rPr>
                <w:rFonts w:ascii="Arial" w:cs="Arial" w:eastAsia="Arial" w:hAnsi="Arial"/>
                <w:sz w:val="18"/>
                <w:szCs w:val="18"/>
                <w:color w:val="51555C"/>
              </w:rPr>
              <w:t>448,000</w:t>
            </w:r>
          </w:p>
        </w:tc>
        <w:tc>
          <w:tcPr>
            <w:tcW w:w="100" w:type="dxa"/>
            <w:vAlign w:val="bottom"/>
            <w:tcBorders>
              <w:bottom w:val="single" w:sz="8" w:color="0CD973"/>
            </w:tcBorders>
            <w:shd w:val="clear" w:color="auto" w:fill="EBFBFF"/>
          </w:tcPr>
          <w:p>
            <w:pPr>
              <w:spacing w:after="0"/>
              <w:rPr>
                <w:sz w:val="24"/>
                <w:szCs w:val="24"/>
                <w:color w:val="auto"/>
              </w:rPr>
            </w:pPr>
          </w:p>
        </w:tc>
        <w:tc>
          <w:tcPr>
            <w:tcW w:w="2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0CD973"/>
            </w:tcBorders>
            <w:shd w:val="clear" w:color="auto" w:fill="EBFBFF"/>
          </w:tcPr>
          <w:p>
            <w:pPr>
              <w:jc w:val="right"/>
              <w:ind w:right="2"/>
              <w:spacing w:after="0"/>
              <w:rPr>
                <w:sz w:val="20"/>
                <w:szCs w:val="20"/>
                <w:color w:val="auto"/>
              </w:rPr>
            </w:pPr>
            <w:r>
              <w:rPr>
                <w:rFonts w:ascii="Arial" w:cs="Arial" w:eastAsia="Arial" w:hAnsi="Arial"/>
                <w:sz w:val="18"/>
                <w:szCs w:val="18"/>
                <w:color w:val="51555C"/>
              </w:rPr>
              <w:t>832,134</w:t>
            </w:r>
          </w:p>
        </w:tc>
        <w:tc>
          <w:tcPr>
            <w:tcW w:w="20" w:type="dxa"/>
            <w:vAlign w:val="bottom"/>
          </w:tcPr>
          <w:p>
            <w:pPr>
              <w:spacing w:after="0"/>
              <w:rPr>
                <w:sz w:val="24"/>
                <w:szCs w:val="24"/>
                <w:color w:val="auto"/>
              </w:rPr>
            </w:pPr>
          </w:p>
        </w:tc>
      </w:tr>
    </w:tbl>
    <w:p>
      <w:pPr>
        <w:spacing w:after="0" w:line="85" w:lineRule="exact"/>
        <w:rPr>
          <w:sz w:val="20"/>
          <w:szCs w:val="20"/>
          <w:color w:val="auto"/>
        </w:rPr>
      </w:pPr>
    </w:p>
    <w:p>
      <w:pPr>
        <w:ind w:left="340" w:right="40" w:hanging="332"/>
        <w:spacing w:after="0" w:line="261" w:lineRule="auto"/>
        <w:tabs>
          <w:tab w:leader="none" w:pos="354" w:val="left"/>
        </w:tabs>
        <w:numPr>
          <w:ilvl w:val="0"/>
          <w:numId w:val="37"/>
        </w:numPr>
        <w:rPr>
          <w:rFonts w:ascii="Arial" w:cs="Arial" w:eastAsia="Arial" w:hAnsi="Arial"/>
          <w:sz w:val="14"/>
          <w:szCs w:val="14"/>
          <w:color w:val="51555C"/>
        </w:rPr>
      </w:pPr>
      <w:r>
        <w:rPr>
          <w:rFonts w:ascii="Arial" w:cs="Arial" w:eastAsia="Arial" w:hAnsi="Arial"/>
          <w:sz w:val="14"/>
          <w:szCs w:val="14"/>
          <w:color w:val="51555C"/>
        </w:rPr>
        <w:t>Includes 7,983 shares in August withheld by us to satisfy the minimum tax obligations of employees due upon vesting of restricted stock awards and units. The level of this acquisition activity varies from period to period based upon the timing of award grants and vesting.</w:t>
      </w:r>
    </w:p>
    <w:p>
      <w:pPr>
        <w:spacing w:after="0" w:line="1" w:lineRule="exact"/>
        <w:rPr>
          <w:rFonts w:ascii="Arial" w:cs="Arial" w:eastAsia="Arial" w:hAnsi="Arial"/>
          <w:sz w:val="14"/>
          <w:szCs w:val="14"/>
          <w:color w:val="51555C"/>
        </w:rPr>
      </w:pPr>
    </w:p>
    <w:p>
      <w:pPr>
        <w:ind w:left="340" w:right="20" w:hanging="332"/>
        <w:spacing w:after="0" w:line="284" w:lineRule="auto"/>
        <w:tabs>
          <w:tab w:leader="none" w:pos="354" w:val="left"/>
        </w:tabs>
        <w:numPr>
          <w:ilvl w:val="0"/>
          <w:numId w:val="37"/>
        </w:numPr>
        <w:rPr>
          <w:rFonts w:ascii="Arial" w:cs="Arial" w:eastAsia="Arial" w:hAnsi="Arial"/>
          <w:sz w:val="14"/>
          <w:szCs w:val="14"/>
          <w:color w:val="51555C"/>
        </w:rPr>
      </w:pPr>
      <w:r>
        <w:rPr>
          <w:rFonts w:ascii="Arial" w:cs="Arial" w:eastAsia="Arial" w:hAnsi="Arial"/>
          <w:sz w:val="14"/>
          <w:szCs w:val="14"/>
          <w:color w:val="51555C"/>
        </w:rPr>
        <w:t>In December 2025, our Board of Directors reauthorized, expanded and replenished our stock repurchase program by raising the total capacity under the program to $1.0 billion available for repurchases. The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200660</wp:posOffset>
            </wp:positionV>
            <wp:extent cx="65976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2026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41</w:t>
            </w:r>
          </w:p>
        </w:tc>
      </w:tr>
      <w:tr>
        <w:trPr>
          <w:trHeight w:val="32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5. OTHER INFORMATION</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Trading Arrangements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51555C"/>
        </w:rPr>
        <w:t>During the three months ended September 30, 2026, none of the Company’s directors or executive officers adopted or terminated any contract, instruction or written plan for the purchase or sale of Company securities.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6. EXHIBITS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51555C"/>
        </w:rPr>
        <w:t>The exhibits listed below are filed or incorporated by reference as part of this Quarterly Report on Form 10-Q:</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shd w:val="clear" w:color="auto" w:fill="004054"/>
          </w:tcPr>
          <w:p>
            <w:pPr>
              <w:spacing w:after="0"/>
              <w:rPr>
                <w:sz w:val="19"/>
                <w:szCs w:val="19"/>
                <w:color w:val="auto"/>
              </w:rPr>
            </w:pPr>
          </w:p>
        </w:tc>
        <w:tc>
          <w:tcPr>
            <w:tcW w:w="34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960" w:type="dxa"/>
            <w:vAlign w:val="bottom"/>
            <w:shd w:val="clear" w:color="auto" w:fill="004054"/>
          </w:tcPr>
          <w:p>
            <w:pPr>
              <w:spacing w:after="0"/>
              <w:rPr>
                <w:sz w:val="19"/>
                <w:szCs w:val="19"/>
                <w:color w:val="auto"/>
              </w:rPr>
            </w:pPr>
          </w:p>
        </w:tc>
        <w:tc>
          <w:tcPr>
            <w:tcW w:w="284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60" w:type="dxa"/>
            <w:vAlign w:val="bottom"/>
            <w:shd w:val="clear" w:color="auto" w:fill="004054"/>
          </w:tcPr>
          <w:p>
            <w:pPr>
              <w:spacing w:after="0"/>
              <w:rPr>
                <w:sz w:val="19"/>
                <w:szCs w:val="19"/>
                <w:color w:val="auto"/>
              </w:rPr>
            </w:pPr>
          </w:p>
        </w:tc>
        <w:tc>
          <w:tcPr>
            <w:tcW w:w="78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98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1410" w:type="dxa"/>
            <w:vAlign w:val="bottom"/>
            <w:shd w:val="clear" w:color="auto" w:fill="004054"/>
          </w:tcPr>
          <w:p>
            <w:pPr>
              <w:ind w:left="80"/>
              <w:spacing w:after="0"/>
              <w:rPr>
                <w:sz w:val="20"/>
                <w:szCs w:val="20"/>
                <w:color w:val="auto"/>
              </w:rPr>
            </w:pPr>
            <w:r>
              <w:rPr>
                <w:rFonts w:ascii="Arial" w:cs="Arial" w:eastAsia="Arial" w:hAnsi="Arial"/>
                <w:sz w:val="14"/>
                <w:szCs w:val="14"/>
                <w:b w:val="1"/>
                <w:bCs w:val="1"/>
                <w:color w:val="FFFFFF"/>
              </w:rPr>
              <w:t>Filed In</w:t>
            </w:r>
          </w:p>
        </w:tc>
        <w:tc>
          <w:tcPr>
            <w:tcW w:w="123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222"/>
        </w:trPr>
        <w:tc>
          <w:tcPr>
            <w:tcW w:w="1220" w:type="dxa"/>
            <w:vAlign w:val="bottom"/>
            <w:gridSpan w:val="3"/>
            <w:shd w:val="clear" w:color="auto" w:fill="004054"/>
          </w:tcPr>
          <w:p>
            <w:pPr>
              <w:jc w:val="right"/>
              <w:ind w:right="140"/>
              <w:spacing w:after="0"/>
              <w:rPr>
                <w:sz w:val="20"/>
                <w:szCs w:val="20"/>
                <w:color w:val="auto"/>
              </w:rPr>
            </w:pPr>
            <w:r>
              <w:rPr>
                <w:rFonts w:ascii="Arial" w:cs="Arial" w:eastAsia="Arial" w:hAnsi="Arial"/>
                <w:sz w:val="14"/>
                <w:szCs w:val="14"/>
                <w:b w:val="1"/>
                <w:bCs w:val="1"/>
                <w:color w:val="FFFFFF"/>
              </w:rPr>
              <w:t>Exhibit</w:t>
            </w:r>
          </w:p>
        </w:tc>
        <w:tc>
          <w:tcPr>
            <w:tcW w:w="960" w:type="dxa"/>
            <w:vAlign w:val="bottom"/>
            <w:shd w:val="clear" w:color="auto" w:fill="004054"/>
          </w:tcPr>
          <w:p>
            <w:pPr>
              <w:spacing w:after="0"/>
              <w:rPr>
                <w:sz w:val="19"/>
                <w:szCs w:val="19"/>
                <w:color w:val="auto"/>
              </w:rPr>
            </w:pPr>
          </w:p>
        </w:tc>
        <w:tc>
          <w:tcPr>
            <w:tcW w:w="284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60" w:type="dxa"/>
            <w:vAlign w:val="bottom"/>
            <w:shd w:val="clear" w:color="auto" w:fill="004054"/>
          </w:tcPr>
          <w:p>
            <w:pPr>
              <w:spacing w:after="0"/>
              <w:rPr>
                <w:sz w:val="19"/>
                <w:szCs w:val="19"/>
                <w:color w:val="auto"/>
              </w:rPr>
            </w:pPr>
          </w:p>
        </w:tc>
        <w:tc>
          <w:tcPr>
            <w:tcW w:w="78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980" w:type="dxa"/>
            <w:vAlign w:val="bottom"/>
            <w:shd w:val="clear" w:color="auto" w:fill="004054"/>
          </w:tcPr>
          <w:p>
            <w:pPr>
              <w:jc w:val="center"/>
              <w:ind w:right="33"/>
              <w:spacing w:after="0"/>
              <w:rPr>
                <w:sz w:val="20"/>
                <w:szCs w:val="20"/>
                <w:color w:val="auto"/>
              </w:rPr>
            </w:pPr>
            <w:r>
              <w:rPr>
                <w:rFonts w:ascii="Arial" w:cs="Arial" w:eastAsia="Arial" w:hAnsi="Arial"/>
                <w:sz w:val="14"/>
                <w:szCs w:val="14"/>
                <w:b w:val="1"/>
                <w:bCs w:val="1"/>
                <w:color w:val="FFFFFF"/>
              </w:rPr>
              <w:t>Filed</w:t>
            </w:r>
          </w:p>
        </w:tc>
        <w:tc>
          <w:tcPr>
            <w:tcW w:w="1000" w:type="dxa"/>
            <w:vAlign w:val="bottom"/>
            <w:shd w:val="clear" w:color="auto" w:fill="004054"/>
          </w:tcPr>
          <w:p>
            <w:pPr>
              <w:spacing w:after="0"/>
              <w:rPr>
                <w:sz w:val="19"/>
                <w:szCs w:val="19"/>
                <w:color w:val="auto"/>
              </w:rPr>
            </w:pPr>
          </w:p>
        </w:tc>
        <w:tc>
          <w:tcPr>
            <w:tcW w:w="1410" w:type="dxa"/>
            <w:vAlign w:val="bottom"/>
            <w:shd w:val="clear" w:color="auto" w:fill="004054"/>
          </w:tcPr>
          <w:p>
            <w:pPr>
              <w:spacing w:after="0"/>
              <w:rPr>
                <w:sz w:val="19"/>
                <w:szCs w:val="19"/>
                <w:color w:val="auto"/>
              </w:rPr>
            </w:pPr>
          </w:p>
        </w:tc>
        <w:tc>
          <w:tcPr>
            <w:tcW w:w="123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205"/>
        </w:trPr>
        <w:tc>
          <w:tcPr>
            <w:tcW w:w="1220" w:type="dxa"/>
            <w:vAlign w:val="bottom"/>
            <w:tcBorders>
              <w:bottom w:val="single" w:sz="8" w:color="004054"/>
            </w:tcBorders>
            <w:gridSpan w:val="3"/>
            <w:shd w:val="clear" w:color="auto" w:fill="004054"/>
          </w:tcPr>
          <w:p>
            <w:pPr>
              <w:jc w:val="right"/>
              <w:ind w:right="140"/>
              <w:spacing w:after="0"/>
              <w:rPr>
                <w:sz w:val="20"/>
                <w:szCs w:val="20"/>
                <w:color w:val="auto"/>
              </w:rPr>
            </w:pPr>
            <w:r>
              <w:rPr>
                <w:rFonts w:ascii="Arial" w:cs="Arial" w:eastAsia="Arial" w:hAnsi="Arial"/>
                <w:sz w:val="14"/>
                <w:szCs w:val="14"/>
                <w:b w:val="1"/>
                <w:bCs w:val="1"/>
                <w:color w:val="FFFFFF"/>
              </w:rPr>
              <w:t>Number</w:t>
            </w:r>
          </w:p>
        </w:tc>
        <w:tc>
          <w:tcPr>
            <w:tcW w:w="960" w:type="dxa"/>
            <w:vAlign w:val="bottom"/>
            <w:tcBorders>
              <w:bottom w:val="single" w:sz="8" w:color="004054"/>
            </w:tcBorders>
            <w:shd w:val="clear" w:color="auto" w:fill="004054"/>
          </w:tcPr>
          <w:p>
            <w:pPr>
              <w:spacing w:after="0"/>
              <w:rPr>
                <w:sz w:val="17"/>
                <w:szCs w:val="17"/>
                <w:color w:val="auto"/>
              </w:rPr>
            </w:pPr>
          </w:p>
        </w:tc>
        <w:tc>
          <w:tcPr>
            <w:tcW w:w="4440" w:type="dxa"/>
            <w:vAlign w:val="bottom"/>
            <w:tcBorders>
              <w:bottom w:val="single" w:sz="8" w:color="004054"/>
            </w:tcBorders>
            <w:gridSpan w:val="7"/>
            <w:shd w:val="clear" w:color="auto" w:fill="004054"/>
          </w:tcPr>
          <w:p>
            <w:pPr>
              <w:ind w:left="820"/>
              <w:spacing w:after="0"/>
              <w:rPr>
                <w:sz w:val="20"/>
                <w:szCs w:val="20"/>
                <w:color w:val="auto"/>
              </w:rPr>
            </w:pPr>
            <w:r>
              <w:rPr>
                <w:rFonts w:ascii="Arial" w:cs="Arial" w:eastAsia="Arial" w:hAnsi="Arial"/>
                <w:sz w:val="14"/>
                <w:szCs w:val="14"/>
                <w:b w:val="1"/>
                <w:bCs w:val="1"/>
                <w:color w:val="FFFFFF"/>
              </w:rPr>
              <w:t>Description of Document</w:t>
            </w:r>
          </w:p>
        </w:tc>
        <w:tc>
          <w:tcPr>
            <w:tcW w:w="980" w:type="dxa"/>
            <w:vAlign w:val="bottom"/>
            <w:tcBorders>
              <w:bottom w:val="single" w:sz="8" w:color="004054"/>
            </w:tcBorders>
            <w:shd w:val="clear" w:color="auto" w:fill="004054"/>
          </w:tcPr>
          <w:p>
            <w:pPr>
              <w:jc w:val="center"/>
              <w:ind w:right="13"/>
              <w:spacing w:after="0"/>
              <w:rPr>
                <w:sz w:val="20"/>
                <w:szCs w:val="20"/>
                <w:color w:val="auto"/>
              </w:rPr>
            </w:pPr>
            <w:r>
              <w:rPr>
                <w:rFonts w:ascii="Arial" w:cs="Arial" w:eastAsia="Arial" w:hAnsi="Arial"/>
                <w:sz w:val="14"/>
                <w:szCs w:val="14"/>
                <w:b w:val="1"/>
                <w:bCs w:val="1"/>
                <w:color w:val="FFFFFF"/>
              </w:rPr>
              <w:t>Herewith</w:t>
            </w:r>
          </w:p>
        </w:tc>
        <w:tc>
          <w:tcPr>
            <w:tcW w:w="1000" w:type="dxa"/>
            <w:vAlign w:val="bottom"/>
            <w:tcBorders>
              <w:bottom w:val="single" w:sz="8" w:color="004054"/>
            </w:tcBorders>
            <w:shd w:val="clear" w:color="auto" w:fill="004054"/>
          </w:tcPr>
          <w:p>
            <w:pPr>
              <w:ind w:left="320"/>
              <w:spacing w:after="0"/>
              <w:rPr>
                <w:sz w:val="20"/>
                <w:szCs w:val="20"/>
                <w:color w:val="auto"/>
              </w:rPr>
            </w:pPr>
            <w:r>
              <w:rPr>
                <w:rFonts w:ascii="Arial" w:cs="Arial" w:eastAsia="Arial" w:hAnsi="Arial"/>
                <w:sz w:val="14"/>
                <w:szCs w:val="14"/>
                <w:b w:val="1"/>
                <w:bCs w:val="1"/>
                <w:color w:val="FFFFFF"/>
              </w:rPr>
              <w:t>Form</w:t>
            </w:r>
          </w:p>
        </w:tc>
        <w:tc>
          <w:tcPr>
            <w:tcW w:w="1410" w:type="dxa"/>
            <w:vAlign w:val="bottom"/>
            <w:tcBorders>
              <w:bottom w:val="single" w:sz="8" w:color="004054"/>
            </w:tcBorders>
            <w:shd w:val="clear" w:color="auto" w:fill="004054"/>
          </w:tcPr>
          <w:p>
            <w:pPr>
              <w:ind w:left="180"/>
              <w:spacing w:after="0"/>
              <w:rPr>
                <w:sz w:val="20"/>
                <w:szCs w:val="20"/>
                <w:color w:val="auto"/>
              </w:rPr>
            </w:pPr>
            <w:r>
              <w:rPr>
                <w:rFonts w:ascii="Arial" w:cs="Arial" w:eastAsia="Arial" w:hAnsi="Arial"/>
                <w:sz w:val="14"/>
                <w:szCs w:val="14"/>
                <w:b w:val="1"/>
                <w:bCs w:val="1"/>
                <w:color w:val="FFFFFF"/>
              </w:rPr>
              <w:t>Exhibit Number</w:t>
            </w:r>
          </w:p>
        </w:tc>
        <w:tc>
          <w:tcPr>
            <w:tcW w:w="1230" w:type="dxa"/>
            <w:vAlign w:val="bottom"/>
            <w:tcBorders>
              <w:bottom w:val="single" w:sz="8" w:color="004054"/>
            </w:tcBorders>
            <w:shd w:val="clear" w:color="auto" w:fill="004054"/>
          </w:tcPr>
          <w:p>
            <w:pPr>
              <w:ind w:left="250"/>
              <w:spacing w:after="0"/>
              <w:rPr>
                <w:sz w:val="20"/>
                <w:szCs w:val="20"/>
                <w:color w:val="auto"/>
              </w:rPr>
            </w:pPr>
            <w:r>
              <w:rPr>
                <w:rFonts w:ascii="Arial" w:cs="Arial" w:eastAsia="Arial" w:hAnsi="Arial"/>
                <w:sz w:val="14"/>
                <w:szCs w:val="14"/>
                <w:b w:val="1"/>
                <w:bCs w:val="1"/>
                <w:color w:val="FFFFFF"/>
              </w:rPr>
              <w:t>Filing Date</w:t>
            </w:r>
          </w:p>
        </w:tc>
        <w:tc>
          <w:tcPr>
            <w:tcW w:w="20" w:type="dxa"/>
            <w:vAlign w:val="bottom"/>
            <w:tcBorders>
              <w:bottom w:val="single" w:sz="8" w:color="004054"/>
            </w:tcBorders>
            <w:shd w:val="clear" w:color="auto" w:fill="004054"/>
          </w:tcPr>
          <w:p>
            <w:pPr>
              <w:spacing w:after="0"/>
              <w:rPr>
                <w:sz w:val="17"/>
                <w:szCs w:val="17"/>
                <w:color w:val="auto"/>
              </w:rPr>
            </w:pPr>
          </w:p>
        </w:tc>
      </w:tr>
      <w:tr>
        <w:trPr>
          <w:trHeight w:val="256"/>
        </w:trPr>
        <w:tc>
          <w:tcPr>
            <w:tcW w:w="1220" w:type="dxa"/>
            <w:vAlign w:val="bottom"/>
            <w:gridSpan w:val="3"/>
            <w:shd w:val="clear" w:color="auto" w:fill="EBFBFF"/>
          </w:tcPr>
          <w:p>
            <w:pPr>
              <w:jc w:val="right"/>
              <w:ind w:right="140"/>
              <w:spacing w:after="0"/>
              <w:rPr>
                <w:sz w:val="20"/>
                <w:szCs w:val="20"/>
                <w:color w:val="auto"/>
              </w:rPr>
            </w:pPr>
            <w:r>
              <w:rPr>
                <w:rFonts w:ascii="Arial" w:cs="Arial" w:eastAsia="Arial" w:hAnsi="Arial"/>
                <w:sz w:val="18"/>
                <w:szCs w:val="18"/>
                <w:color w:val="7A04DD"/>
              </w:rPr>
              <w:t>31.1</w:t>
            </w:r>
          </w:p>
        </w:tc>
        <w:tc>
          <w:tcPr>
            <w:tcW w:w="5400" w:type="dxa"/>
            <w:vAlign w:val="bottom"/>
            <w:gridSpan w:val="8"/>
            <w:shd w:val="clear" w:color="auto" w:fill="EBFBFF"/>
          </w:tcPr>
          <w:p>
            <w:pPr>
              <w:spacing w:after="0"/>
              <w:rPr>
                <w:sz w:val="20"/>
                <w:szCs w:val="20"/>
                <w:color w:val="auto"/>
              </w:rPr>
            </w:pPr>
            <w:r>
              <w:rPr>
                <w:rFonts w:ascii="Arial" w:cs="Arial" w:eastAsia="Arial" w:hAnsi="Arial"/>
                <w:sz w:val="18"/>
                <w:szCs w:val="18"/>
                <w:color w:val="7A04DD"/>
              </w:rPr>
              <w:t>Certification by the Chief Executive Officer pursuant to</w:t>
            </w:r>
          </w:p>
        </w:tc>
        <w:tc>
          <w:tcPr>
            <w:tcW w:w="980" w:type="dxa"/>
            <w:vAlign w:val="bottom"/>
            <w:shd w:val="clear" w:color="auto" w:fill="EBFBFF"/>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shd w:val="clear" w:color="auto" w:fill="EBFBFF"/>
          </w:tcPr>
          <w:p>
            <w:pPr>
              <w:spacing w:after="0"/>
              <w:rPr>
                <w:sz w:val="22"/>
                <w:szCs w:val="22"/>
                <w:color w:val="auto"/>
              </w:rPr>
            </w:pPr>
          </w:p>
        </w:tc>
        <w:tc>
          <w:tcPr>
            <w:tcW w:w="1410" w:type="dxa"/>
            <w:vAlign w:val="bottom"/>
            <w:shd w:val="clear" w:color="auto" w:fill="EBFBFF"/>
          </w:tcPr>
          <w:p>
            <w:pPr>
              <w:spacing w:after="0"/>
              <w:rPr>
                <w:sz w:val="22"/>
                <w:szCs w:val="22"/>
                <w:color w:val="auto"/>
              </w:rPr>
            </w:pPr>
          </w:p>
        </w:tc>
        <w:tc>
          <w:tcPr>
            <w:tcW w:w="123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40" w:type="dxa"/>
            <w:vAlign w:val="bottom"/>
            <w:tcBorders>
              <w:top w:val="single" w:sz="8" w:color="EBFBFF"/>
            </w:tcBorders>
            <w:shd w:val="clear" w:color="auto" w:fill="EBFBFF"/>
          </w:tcPr>
          <w:p>
            <w:pPr>
              <w:spacing w:after="0"/>
              <w:rPr>
                <w:sz w:val="17"/>
                <w:szCs w:val="17"/>
                <w:color w:val="auto"/>
              </w:rPr>
            </w:pPr>
          </w:p>
        </w:tc>
        <w:tc>
          <w:tcPr>
            <w:tcW w:w="340" w:type="dxa"/>
            <w:vAlign w:val="bottom"/>
            <w:tcBorders>
              <w:top w:val="single" w:sz="8" w:color="7A04DD"/>
            </w:tcBorders>
            <w:shd w:val="clear" w:color="auto" w:fill="EBFBFF"/>
          </w:tcPr>
          <w:p>
            <w:pPr>
              <w:spacing w:after="0"/>
              <w:rPr>
                <w:sz w:val="17"/>
                <w:szCs w:val="17"/>
                <w:color w:val="auto"/>
              </w:rPr>
            </w:pPr>
          </w:p>
        </w:tc>
        <w:tc>
          <w:tcPr>
            <w:tcW w:w="140" w:type="dxa"/>
            <w:vAlign w:val="bottom"/>
            <w:tcBorders>
              <w:top w:val="single" w:sz="8" w:color="EBFBFF"/>
            </w:tcBorders>
            <w:shd w:val="clear" w:color="auto" w:fill="EBFBFF"/>
          </w:tcPr>
          <w:p>
            <w:pPr>
              <w:spacing w:after="0"/>
              <w:rPr>
                <w:sz w:val="17"/>
                <w:szCs w:val="17"/>
                <w:color w:val="auto"/>
              </w:rPr>
            </w:pPr>
          </w:p>
        </w:tc>
        <w:tc>
          <w:tcPr>
            <w:tcW w:w="4320" w:type="dxa"/>
            <w:vAlign w:val="bottom"/>
            <w:tcBorders>
              <w:top w:val="single" w:sz="8" w:color="7A04DD"/>
            </w:tcBorders>
            <w:gridSpan w:val="4"/>
            <w:shd w:val="clear" w:color="auto" w:fill="EBFBFF"/>
          </w:tcPr>
          <w:p>
            <w:pPr>
              <w:spacing w:after="0" w:line="196" w:lineRule="exact"/>
              <w:rPr>
                <w:sz w:val="20"/>
                <w:szCs w:val="20"/>
                <w:color w:val="auto"/>
              </w:rPr>
            </w:pPr>
            <w:r>
              <w:rPr>
                <w:rFonts w:ascii="Arial" w:cs="Arial" w:eastAsia="Arial" w:hAnsi="Arial"/>
                <w:sz w:val="18"/>
                <w:szCs w:val="18"/>
                <w:color w:val="7A04DD"/>
              </w:rPr>
              <w:t>Section 302 of the Sarbanes-Oxley Act of 2002.</w:t>
            </w:r>
          </w:p>
        </w:tc>
        <w:tc>
          <w:tcPr>
            <w:tcW w:w="1080" w:type="dxa"/>
            <w:vAlign w:val="bottom"/>
            <w:tcBorders>
              <w:top w:val="single" w:sz="8" w:color="EBFBFF"/>
            </w:tcBorders>
            <w:gridSpan w:val="4"/>
            <w:shd w:val="clear" w:color="auto" w:fill="EBFBFF"/>
          </w:tcPr>
          <w:p>
            <w:pPr>
              <w:spacing w:after="0"/>
              <w:rPr>
                <w:sz w:val="17"/>
                <w:szCs w:val="17"/>
                <w:color w:val="auto"/>
              </w:rPr>
            </w:pPr>
          </w:p>
        </w:tc>
        <w:tc>
          <w:tcPr>
            <w:tcW w:w="980" w:type="dxa"/>
            <w:vAlign w:val="bottom"/>
            <w:tcBorders>
              <w:top w:val="single" w:sz="8" w:color="EBFBFF"/>
            </w:tcBorders>
            <w:shd w:val="clear" w:color="auto" w:fill="EBFBFF"/>
          </w:tcPr>
          <w:p>
            <w:pPr>
              <w:spacing w:after="0"/>
              <w:rPr>
                <w:sz w:val="17"/>
                <w:szCs w:val="17"/>
                <w:color w:val="auto"/>
              </w:rPr>
            </w:pPr>
          </w:p>
        </w:tc>
        <w:tc>
          <w:tcPr>
            <w:tcW w:w="1000" w:type="dxa"/>
            <w:vAlign w:val="bottom"/>
            <w:tcBorders>
              <w:top w:val="single" w:sz="8" w:color="EBFBFF"/>
            </w:tcBorders>
            <w:shd w:val="clear" w:color="auto" w:fill="EBFBFF"/>
          </w:tcPr>
          <w:p>
            <w:pPr>
              <w:spacing w:after="0"/>
              <w:rPr>
                <w:sz w:val="17"/>
                <w:szCs w:val="17"/>
                <w:color w:val="auto"/>
              </w:rPr>
            </w:pPr>
          </w:p>
        </w:tc>
        <w:tc>
          <w:tcPr>
            <w:tcW w:w="1410" w:type="dxa"/>
            <w:vAlign w:val="bottom"/>
            <w:tcBorders>
              <w:top w:val="single" w:sz="8" w:color="EBFBFF"/>
            </w:tcBorders>
            <w:shd w:val="clear" w:color="auto" w:fill="EBFBFF"/>
          </w:tcPr>
          <w:p>
            <w:pPr>
              <w:spacing w:after="0"/>
              <w:rPr>
                <w:sz w:val="17"/>
                <w:szCs w:val="17"/>
                <w:color w:val="auto"/>
              </w:rPr>
            </w:pPr>
          </w:p>
        </w:tc>
        <w:tc>
          <w:tcPr>
            <w:tcW w:w="123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4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960" w:type="dxa"/>
            <w:vAlign w:val="bottom"/>
            <w:tcBorders>
              <w:top w:val="single" w:sz="8" w:color="7A04DD"/>
            </w:tcBorders>
            <w:shd w:val="clear" w:color="auto" w:fill="EBFBFF"/>
          </w:tcPr>
          <w:p>
            <w:pPr>
              <w:spacing w:after="0"/>
              <w:rPr>
                <w:sz w:val="4"/>
                <w:szCs w:val="4"/>
                <w:color w:val="auto"/>
              </w:rPr>
            </w:pPr>
          </w:p>
        </w:tc>
        <w:tc>
          <w:tcPr>
            <w:tcW w:w="2840" w:type="dxa"/>
            <w:vAlign w:val="bottom"/>
            <w:tcBorders>
              <w:top w:val="single" w:sz="8" w:color="7A04DD"/>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78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980" w:type="dxa"/>
            <w:vAlign w:val="bottom"/>
            <w:tcBorders>
              <w:top w:val="single" w:sz="8" w:color="EBFBFF"/>
            </w:tcBorders>
            <w:shd w:val="clear" w:color="auto" w:fill="EBFBFF"/>
          </w:tcPr>
          <w:p>
            <w:pPr>
              <w:spacing w:after="0"/>
              <w:rPr>
                <w:sz w:val="4"/>
                <w:szCs w:val="4"/>
                <w:color w:val="auto"/>
              </w:rPr>
            </w:pPr>
          </w:p>
        </w:tc>
        <w:tc>
          <w:tcPr>
            <w:tcW w:w="1000" w:type="dxa"/>
            <w:vAlign w:val="bottom"/>
            <w:tcBorders>
              <w:top w:val="single" w:sz="8" w:color="EBFBFF"/>
            </w:tcBorders>
            <w:shd w:val="clear" w:color="auto" w:fill="EBFBFF"/>
          </w:tcPr>
          <w:p>
            <w:pPr>
              <w:spacing w:after="0"/>
              <w:rPr>
                <w:sz w:val="4"/>
                <w:szCs w:val="4"/>
                <w:color w:val="auto"/>
              </w:rPr>
            </w:pPr>
          </w:p>
        </w:tc>
        <w:tc>
          <w:tcPr>
            <w:tcW w:w="1410" w:type="dxa"/>
            <w:vAlign w:val="bottom"/>
            <w:tcBorders>
              <w:top w:val="single" w:sz="8" w:color="EBFBFF"/>
            </w:tcBorders>
            <w:shd w:val="clear" w:color="auto" w:fill="EBFBFF"/>
          </w:tcPr>
          <w:p>
            <w:pPr>
              <w:spacing w:after="0"/>
              <w:rPr>
                <w:sz w:val="4"/>
                <w:szCs w:val="4"/>
                <w:color w:val="auto"/>
              </w:rPr>
            </w:pPr>
          </w:p>
        </w:tc>
        <w:tc>
          <w:tcPr>
            <w:tcW w:w="123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7A04DD"/>
              </w:rPr>
              <w:t>31.</w:t>
            </w:r>
            <w:r>
              <w:rPr>
                <w:rFonts w:ascii="Arial" w:cs="Arial" w:eastAsia="Arial" w:hAnsi="Arial"/>
                <w:sz w:val="18"/>
                <w:szCs w:val="18"/>
                <w:u w:val="single" w:color="auto"/>
                <w:color w:val="7A04DD"/>
              </w:rPr>
              <w:t>2</w:t>
            </w:r>
          </w:p>
        </w:tc>
        <w:tc>
          <w:tcPr>
            <w:tcW w:w="5400" w:type="dxa"/>
            <w:vAlign w:val="bottom"/>
            <w:gridSpan w:val="8"/>
          </w:tcPr>
          <w:p>
            <w:pPr>
              <w:spacing w:after="0"/>
              <w:rPr>
                <w:sz w:val="20"/>
                <w:szCs w:val="20"/>
                <w:color w:val="auto"/>
              </w:rPr>
            </w:pPr>
            <w:r>
              <w:rPr>
                <w:rFonts w:ascii="Arial" w:cs="Arial" w:eastAsia="Arial" w:hAnsi="Arial"/>
                <w:sz w:val="18"/>
                <w:szCs w:val="18"/>
                <w:color w:val="7A04DD"/>
              </w:rPr>
              <w:t>Certification by the Chief Financial Officer pursuant to</w:t>
            </w:r>
          </w:p>
        </w:tc>
        <w:tc>
          <w:tcPr>
            <w:tcW w:w="980" w:type="dxa"/>
            <w:vAlign w:val="bottom"/>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tcPr>
          <w:p>
            <w:pPr>
              <w:spacing w:after="0"/>
              <w:rPr>
                <w:sz w:val="22"/>
                <w:szCs w:val="22"/>
                <w:color w:val="auto"/>
              </w:rPr>
            </w:pPr>
          </w:p>
        </w:tc>
        <w:tc>
          <w:tcPr>
            <w:tcW w:w="1410" w:type="dxa"/>
            <w:vAlign w:val="bottom"/>
          </w:tcPr>
          <w:p>
            <w:pPr>
              <w:spacing w:after="0"/>
              <w:rPr>
                <w:sz w:val="22"/>
                <w:szCs w:val="22"/>
                <w:color w:val="auto"/>
              </w:rPr>
            </w:pPr>
          </w:p>
        </w:tc>
        <w:tc>
          <w:tcPr>
            <w:tcW w:w="123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40" w:type="dxa"/>
            <w:vAlign w:val="bottom"/>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7A04DD"/>
            </w:tcBorders>
            <w:gridSpan w:val="3"/>
          </w:tcPr>
          <w:p>
            <w:pPr>
              <w:spacing w:after="0" w:line="196" w:lineRule="exact"/>
              <w:rPr>
                <w:sz w:val="20"/>
                <w:szCs w:val="20"/>
                <w:color w:val="auto"/>
              </w:rPr>
            </w:pPr>
            <w:r>
              <w:rPr>
                <w:rFonts w:ascii="Arial" w:cs="Arial" w:eastAsia="Arial" w:hAnsi="Arial"/>
                <w:sz w:val="18"/>
                <w:szCs w:val="18"/>
                <w:color w:val="7A04DD"/>
              </w:rPr>
              <w:t>Section 302 of the Sarbanes-Oxley Act of 2002.</w:t>
            </w:r>
          </w:p>
        </w:tc>
        <w:tc>
          <w:tcPr>
            <w:tcW w:w="114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1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7A04DD"/>
            </w:tcBorders>
          </w:tcPr>
          <w:p>
            <w:pPr>
              <w:spacing w:after="0"/>
              <w:rPr>
                <w:sz w:val="4"/>
                <w:szCs w:val="4"/>
                <w:color w:val="auto"/>
              </w:rPr>
            </w:pPr>
          </w:p>
        </w:tc>
        <w:tc>
          <w:tcPr>
            <w:tcW w:w="2840" w:type="dxa"/>
            <w:vAlign w:val="bottom"/>
            <w:tcBorders>
              <w:top w:val="single" w:sz="8" w:color="7A04DD"/>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10" w:type="dxa"/>
            <w:vAlign w:val="bottom"/>
          </w:tcPr>
          <w:p>
            <w:pPr>
              <w:spacing w:after="0"/>
              <w:rPr>
                <w:sz w:val="4"/>
                <w:szCs w:val="4"/>
                <w:color w:val="auto"/>
              </w:rPr>
            </w:pPr>
          </w:p>
        </w:tc>
        <w:tc>
          <w:tcPr>
            <w:tcW w:w="123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1220" w:type="dxa"/>
            <w:vAlign w:val="bottom"/>
            <w:gridSpan w:val="3"/>
            <w:shd w:val="clear" w:color="auto" w:fill="EBFBFF"/>
          </w:tcPr>
          <w:p>
            <w:pPr>
              <w:jc w:val="right"/>
              <w:ind w:right="140"/>
              <w:spacing w:after="0"/>
              <w:rPr>
                <w:sz w:val="20"/>
                <w:szCs w:val="20"/>
                <w:color w:val="auto"/>
              </w:rPr>
            </w:pPr>
            <w:r>
              <w:rPr>
                <w:rFonts w:ascii="Arial" w:cs="Arial" w:eastAsia="Arial" w:hAnsi="Arial"/>
                <w:sz w:val="18"/>
                <w:szCs w:val="18"/>
                <w:color w:val="7A04DD"/>
              </w:rPr>
              <w:t>32.</w:t>
            </w:r>
            <w:r>
              <w:rPr>
                <w:rFonts w:ascii="Arial" w:cs="Arial" w:eastAsia="Arial" w:hAnsi="Arial"/>
                <w:sz w:val="18"/>
                <w:szCs w:val="18"/>
                <w:u w:val="single" w:color="auto"/>
                <w:color w:val="7A04DD"/>
              </w:rPr>
              <w:t>1</w:t>
            </w:r>
          </w:p>
        </w:tc>
        <w:tc>
          <w:tcPr>
            <w:tcW w:w="5400" w:type="dxa"/>
            <w:vAlign w:val="bottom"/>
            <w:gridSpan w:val="8"/>
            <w:shd w:val="clear" w:color="auto" w:fill="EBFBFF"/>
          </w:tcPr>
          <w:p>
            <w:pPr>
              <w:spacing w:after="0"/>
              <w:rPr>
                <w:sz w:val="20"/>
                <w:szCs w:val="20"/>
                <w:color w:val="auto"/>
              </w:rPr>
            </w:pPr>
            <w:r>
              <w:rPr>
                <w:rFonts w:ascii="Arial" w:cs="Arial" w:eastAsia="Arial" w:hAnsi="Arial"/>
                <w:sz w:val="18"/>
                <w:szCs w:val="18"/>
                <w:color w:val="7A04DD"/>
              </w:rPr>
              <w:t>Certification by the Chief Executive Officer pursuant to 18 U.S.C.</w:t>
            </w:r>
          </w:p>
        </w:tc>
        <w:tc>
          <w:tcPr>
            <w:tcW w:w="980" w:type="dxa"/>
            <w:vAlign w:val="bottom"/>
            <w:shd w:val="clear" w:color="auto" w:fill="EBFBFF"/>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shd w:val="clear" w:color="auto" w:fill="EBFBFF"/>
          </w:tcPr>
          <w:p>
            <w:pPr>
              <w:spacing w:after="0"/>
              <w:rPr>
                <w:sz w:val="22"/>
                <w:szCs w:val="22"/>
                <w:color w:val="auto"/>
              </w:rPr>
            </w:pPr>
          </w:p>
        </w:tc>
        <w:tc>
          <w:tcPr>
            <w:tcW w:w="1410" w:type="dxa"/>
            <w:vAlign w:val="bottom"/>
            <w:shd w:val="clear" w:color="auto" w:fill="EBFBFF"/>
          </w:tcPr>
          <w:p>
            <w:pPr>
              <w:spacing w:after="0"/>
              <w:rPr>
                <w:sz w:val="22"/>
                <w:szCs w:val="22"/>
                <w:color w:val="auto"/>
              </w:rPr>
            </w:pPr>
          </w:p>
        </w:tc>
        <w:tc>
          <w:tcPr>
            <w:tcW w:w="123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40" w:type="dxa"/>
            <w:vAlign w:val="bottom"/>
            <w:tcBorders>
              <w:top w:val="single" w:sz="8" w:color="EBFBFF"/>
              <w:bottom w:val="single" w:sz="8" w:color="EBFBFF"/>
            </w:tcBorders>
            <w:shd w:val="clear" w:color="auto" w:fill="EBFBFF"/>
          </w:tcPr>
          <w:p>
            <w:pPr>
              <w:spacing w:after="0"/>
              <w:rPr>
                <w:sz w:val="17"/>
                <w:szCs w:val="17"/>
                <w:color w:val="auto"/>
              </w:rPr>
            </w:pPr>
          </w:p>
        </w:tc>
        <w:tc>
          <w:tcPr>
            <w:tcW w:w="340" w:type="dxa"/>
            <w:vAlign w:val="bottom"/>
            <w:tcBorders>
              <w:top w:val="single" w:sz="8" w:color="7A04DD"/>
              <w:bottom w:val="single" w:sz="8" w:color="EBFBFF"/>
            </w:tcBorders>
            <w:shd w:val="clear" w:color="auto" w:fill="EBFBFF"/>
          </w:tcPr>
          <w:p>
            <w:pPr>
              <w:spacing w:after="0"/>
              <w:rPr>
                <w:sz w:val="17"/>
                <w:szCs w:val="17"/>
                <w:color w:val="auto"/>
              </w:rPr>
            </w:pPr>
          </w:p>
        </w:tc>
        <w:tc>
          <w:tcPr>
            <w:tcW w:w="140" w:type="dxa"/>
            <w:vAlign w:val="bottom"/>
            <w:tcBorders>
              <w:top w:val="single" w:sz="8" w:color="EBFBFF"/>
              <w:bottom w:val="single" w:sz="8" w:color="EBFBFF"/>
            </w:tcBorders>
            <w:shd w:val="clear" w:color="auto" w:fill="EBFBFF"/>
          </w:tcPr>
          <w:p>
            <w:pPr>
              <w:spacing w:after="0"/>
              <w:rPr>
                <w:sz w:val="17"/>
                <w:szCs w:val="17"/>
                <w:color w:val="auto"/>
              </w:rPr>
            </w:pPr>
          </w:p>
        </w:tc>
        <w:tc>
          <w:tcPr>
            <w:tcW w:w="5140" w:type="dxa"/>
            <w:vAlign w:val="bottom"/>
            <w:tcBorders>
              <w:top w:val="single" w:sz="8" w:color="7A04DD"/>
              <w:bottom w:val="single" w:sz="8" w:color="7A04DD"/>
            </w:tcBorders>
            <w:gridSpan w:val="6"/>
            <w:shd w:val="clear" w:color="auto" w:fill="EBFBFF"/>
          </w:tcPr>
          <w:p>
            <w:pPr>
              <w:spacing w:after="0" w:line="196" w:lineRule="exact"/>
              <w:rPr>
                <w:sz w:val="20"/>
                <w:szCs w:val="20"/>
                <w:color w:val="auto"/>
              </w:rPr>
            </w:pPr>
            <w:r>
              <w:rPr>
                <w:rFonts w:ascii="Arial" w:cs="Arial" w:eastAsia="Arial" w:hAnsi="Arial"/>
                <w:sz w:val="18"/>
                <w:szCs w:val="18"/>
                <w:color w:val="7A04DD"/>
                <w:w w:val="99"/>
              </w:rPr>
              <w:t>1350 as adopted pursuant to Section 906 of the Sarbanes-Oxley</w:t>
            </w:r>
          </w:p>
        </w:tc>
        <w:tc>
          <w:tcPr>
            <w:tcW w:w="20" w:type="dxa"/>
            <w:vAlign w:val="bottom"/>
            <w:tcBorders>
              <w:top w:val="single" w:sz="8" w:color="7A04DD"/>
              <w:bottom w:val="single" w:sz="8" w:color="EBFBFF"/>
            </w:tcBorders>
            <w:shd w:val="clear" w:color="auto" w:fill="EBFBFF"/>
          </w:tcPr>
          <w:p>
            <w:pPr>
              <w:spacing w:after="0"/>
              <w:rPr>
                <w:sz w:val="17"/>
                <w:szCs w:val="17"/>
                <w:color w:val="auto"/>
              </w:rPr>
            </w:pPr>
          </w:p>
        </w:tc>
        <w:tc>
          <w:tcPr>
            <w:tcW w:w="240" w:type="dxa"/>
            <w:vAlign w:val="bottom"/>
            <w:tcBorders>
              <w:top w:val="single" w:sz="8" w:color="EBFBFF"/>
              <w:bottom w:val="single" w:sz="8" w:color="EBFBFF"/>
            </w:tcBorders>
            <w:shd w:val="clear" w:color="auto" w:fill="EBFBFF"/>
          </w:tcPr>
          <w:p>
            <w:pPr>
              <w:spacing w:after="0"/>
              <w:rPr>
                <w:sz w:val="17"/>
                <w:szCs w:val="17"/>
                <w:color w:val="auto"/>
              </w:rPr>
            </w:pPr>
          </w:p>
        </w:tc>
        <w:tc>
          <w:tcPr>
            <w:tcW w:w="980" w:type="dxa"/>
            <w:vAlign w:val="bottom"/>
            <w:tcBorders>
              <w:top w:val="single" w:sz="8" w:color="EBFBFF"/>
              <w:bottom w:val="single" w:sz="8" w:color="EBFBFF"/>
            </w:tcBorders>
            <w:shd w:val="clear" w:color="auto" w:fill="EBFBFF"/>
          </w:tcPr>
          <w:p>
            <w:pPr>
              <w:spacing w:after="0"/>
              <w:rPr>
                <w:sz w:val="17"/>
                <w:szCs w:val="17"/>
                <w:color w:val="auto"/>
              </w:rPr>
            </w:pPr>
          </w:p>
        </w:tc>
        <w:tc>
          <w:tcPr>
            <w:tcW w:w="1000" w:type="dxa"/>
            <w:vAlign w:val="bottom"/>
            <w:tcBorders>
              <w:top w:val="single" w:sz="8" w:color="EBFBFF"/>
              <w:bottom w:val="single" w:sz="8" w:color="EBFBFF"/>
            </w:tcBorders>
            <w:shd w:val="clear" w:color="auto" w:fill="EBFBFF"/>
          </w:tcPr>
          <w:p>
            <w:pPr>
              <w:spacing w:after="0"/>
              <w:rPr>
                <w:sz w:val="17"/>
                <w:szCs w:val="17"/>
                <w:color w:val="auto"/>
              </w:rPr>
            </w:pPr>
          </w:p>
        </w:tc>
        <w:tc>
          <w:tcPr>
            <w:tcW w:w="1410" w:type="dxa"/>
            <w:vAlign w:val="bottom"/>
            <w:tcBorders>
              <w:top w:val="single" w:sz="8" w:color="EBFBFF"/>
              <w:bottom w:val="single" w:sz="8" w:color="EBFBFF"/>
            </w:tcBorders>
            <w:shd w:val="clear" w:color="auto" w:fill="EBFBFF"/>
          </w:tcPr>
          <w:p>
            <w:pPr>
              <w:spacing w:after="0"/>
              <w:rPr>
                <w:sz w:val="17"/>
                <w:szCs w:val="17"/>
                <w:color w:val="auto"/>
              </w:rPr>
            </w:pPr>
          </w:p>
        </w:tc>
        <w:tc>
          <w:tcPr>
            <w:tcW w:w="123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 w:type="dxa"/>
            <w:vAlign w:val="bottom"/>
            <w:shd w:val="clear" w:color="auto" w:fill="EBFBFF"/>
          </w:tcPr>
          <w:p>
            <w:pPr>
              <w:spacing w:after="0"/>
              <w:rPr>
                <w:sz w:val="17"/>
                <w:szCs w:val="17"/>
                <w:color w:val="auto"/>
              </w:rPr>
            </w:pPr>
          </w:p>
        </w:tc>
        <w:tc>
          <w:tcPr>
            <w:tcW w:w="34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5400" w:type="dxa"/>
            <w:vAlign w:val="bottom"/>
            <w:gridSpan w:val="8"/>
            <w:shd w:val="clear" w:color="auto" w:fill="EBFBFF"/>
          </w:tcPr>
          <w:p>
            <w:pPr>
              <w:spacing w:after="0" w:line="196" w:lineRule="exact"/>
              <w:rPr>
                <w:sz w:val="20"/>
                <w:szCs w:val="20"/>
                <w:color w:val="auto"/>
              </w:rPr>
            </w:pPr>
            <w:r>
              <w:rPr>
                <w:rFonts w:ascii="Arial" w:cs="Arial" w:eastAsia="Arial" w:hAnsi="Arial"/>
                <w:sz w:val="18"/>
                <w:szCs w:val="18"/>
                <w:color w:val="7A04DD"/>
              </w:rPr>
              <w:t>Act of 2002.</w:t>
            </w:r>
          </w:p>
        </w:tc>
        <w:tc>
          <w:tcPr>
            <w:tcW w:w="98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1410" w:type="dxa"/>
            <w:vAlign w:val="bottom"/>
            <w:shd w:val="clear" w:color="auto" w:fill="EBFBFF"/>
          </w:tcPr>
          <w:p>
            <w:pPr>
              <w:spacing w:after="0"/>
              <w:rPr>
                <w:sz w:val="17"/>
                <w:szCs w:val="17"/>
                <w:color w:val="auto"/>
              </w:rPr>
            </w:pPr>
          </w:p>
        </w:tc>
        <w:tc>
          <w:tcPr>
            <w:tcW w:w="123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4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960" w:type="dxa"/>
            <w:vAlign w:val="bottom"/>
            <w:tcBorders>
              <w:top w:val="single" w:sz="8" w:color="7A04DD"/>
            </w:tcBorders>
            <w:shd w:val="clear" w:color="auto" w:fill="EBFBFF"/>
          </w:tcPr>
          <w:p>
            <w:pPr>
              <w:spacing w:after="0"/>
              <w:rPr>
                <w:sz w:val="4"/>
                <w:szCs w:val="4"/>
                <w:color w:val="auto"/>
              </w:rPr>
            </w:pPr>
          </w:p>
        </w:tc>
        <w:tc>
          <w:tcPr>
            <w:tcW w:w="2840" w:type="dxa"/>
            <w:vAlign w:val="bottom"/>
            <w:tcBorders>
              <w:top w:val="single" w:sz="8" w:color="EBFBFF"/>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78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980" w:type="dxa"/>
            <w:vAlign w:val="bottom"/>
            <w:tcBorders>
              <w:top w:val="single" w:sz="8" w:color="EBFBFF"/>
            </w:tcBorders>
            <w:shd w:val="clear" w:color="auto" w:fill="EBFBFF"/>
          </w:tcPr>
          <w:p>
            <w:pPr>
              <w:spacing w:after="0"/>
              <w:rPr>
                <w:sz w:val="4"/>
                <w:szCs w:val="4"/>
                <w:color w:val="auto"/>
              </w:rPr>
            </w:pPr>
          </w:p>
        </w:tc>
        <w:tc>
          <w:tcPr>
            <w:tcW w:w="1000" w:type="dxa"/>
            <w:vAlign w:val="bottom"/>
            <w:tcBorders>
              <w:top w:val="single" w:sz="8" w:color="EBFBFF"/>
            </w:tcBorders>
            <w:shd w:val="clear" w:color="auto" w:fill="EBFBFF"/>
          </w:tcPr>
          <w:p>
            <w:pPr>
              <w:spacing w:after="0"/>
              <w:rPr>
                <w:sz w:val="4"/>
                <w:szCs w:val="4"/>
                <w:color w:val="auto"/>
              </w:rPr>
            </w:pPr>
          </w:p>
        </w:tc>
        <w:tc>
          <w:tcPr>
            <w:tcW w:w="1410" w:type="dxa"/>
            <w:vAlign w:val="bottom"/>
            <w:tcBorders>
              <w:top w:val="single" w:sz="8" w:color="EBFBFF"/>
            </w:tcBorders>
            <w:shd w:val="clear" w:color="auto" w:fill="EBFBFF"/>
          </w:tcPr>
          <w:p>
            <w:pPr>
              <w:spacing w:after="0"/>
              <w:rPr>
                <w:sz w:val="4"/>
                <w:szCs w:val="4"/>
                <w:color w:val="auto"/>
              </w:rPr>
            </w:pPr>
          </w:p>
        </w:tc>
        <w:tc>
          <w:tcPr>
            <w:tcW w:w="123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7A04DD"/>
              </w:rPr>
              <w:t>32.</w:t>
            </w:r>
            <w:r>
              <w:rPr>
                <w:rFonts w:ascii="Arial" w:cs="Arial" w:eastAsia="Arial" w:hAnsi="Arial"/>
                <w:sz w:val="18"/>
                <w:szCs w:val="18"/>
                <w:u w:val="single" w:color="auto"/>
                <w:color w:val="7A04DD"/>
              </w:rPr>
              <w:t>2</w:t>
            </w:r>
          </w:p>
        </w:tc>
        <w:tc>
          <w:tcPr>
            <w:tcW w:w="5400" w:type="dxa"/>
            <w:vAlign w:val="bottom"/>
            <w:gridSpan w:val="8"/>
          </w:tcPr>
          <w:p>
            <w:pPr>
              <w:spacing w:after="0"/>
              <w:rPr>
                <w:sz w:val="20"/>
                <w:szCs w:val="20"/>
                <w:color w:val="auto"/>
              </w:rPr>
            </w:pPr>
            <w:r>
              <w:rPr>
                <w:rFonts w:ascii="Arial" w:cs="Arial" w:eastAsia="Arial" w:hAnsi="Arial"/>
                <w:sz w:val="18"/>
                <w:szCs w:val="18"/>
                <w:color w:val="7A04DD"/>
              </w:rPr>
              <w:t>Certification by the Chief Financial Officer pursuant to 18 U.S.C.</w:t>
            </w:r>
          </w:p>
        </w:tc>
        <w:tc>
          <w:tcPr>
            <w:tcW w:w="980" w:type="dxa"/>
            <w:vAlign w:val="bottom"/>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tcPr>
          <w:p>
            <w:pPr>
              <w:spacing w:after="0"/>
              <w:rPr>
                <w:sz w:val="22"/>
                <w:szCs w:val="22"/>
                <w:color w:val="auto"/>
              </w:rPr>
            </w:pPr>
          </w:p>
        </w:tc>
        <w:tc>
          <w:tcPr>
            <w:tcW w:w="1410" w:type="dxa"/>
            <w:vAlign w:val="bottom"/>
          </w:tcPr>
          <w:p>
            <w:pPr>
              <w:spacing w:after="0"/>
              <w:rPr>
                <w:sz w:val="22"/>
                <w:szCs w:val="22"/>
                <w:color w:val="auto"/>
              </w:rPr>
            </w:pPr>
          </w:p>
        </w:tc>
        <w:tc>
          <w:tcPr>
            <w:tcW w:w="123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5"/>
            <w:shd w:val="clear" w:color="auto" w:fill="7A04DD"/>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10" w:type="dxa"/>
            <w:vAlign w:val="bottom"/>
          </w:tcPr>
          <w:p>
            <w:pPr>
              <w:spacing w:after="0" w:line="20" w:lineRule="exact"/>
              <w:rPr>
                <w:sz w:val="1"/>
                <w:szCs w:val="1"/>
                <w:color w:val="auto"/>
              </w:rPr>
            </w:pPr>
          </w:p>
        </w:tc>
        <w:tc>
          <w:tcPr>
            <w:tcW w:w="12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bottom w:val="single" w:sz="8" w:color="7A04DD"/>
            </w:tcBorders>
            <w:gridSpan w:val="6"/>
          </w:tcPr>
          <w:p>
            <w:pPr>
              <w:spacing w:after="0" w:line="196" w:lineRule="exact"/>
              <w:rPr>
                <w:sz w:val="20"/>
                <w:szCs w:val="20"/>
                <w:color w:val="auto"/>
              </w:rPr>
            </w:pPr>
            <w:r>
              <w:rPr>
                <w:rFonts w:ascii="Arial" w:cs="Arial" w:eastAsia="Arial" w:hAnsi="Arial"/>
                <w:sz w:val="18"/>
                <w:szCs w:val="18"/>
                <w:color w:val="7A04DD"/>
                <w:w w:val="99"/>
              </w:rPr>
              <w:t>1350 as adopted pursuant to Section 906 of the Sarbanes-Oxley</w:t>
            </w:r>
          </w:p>
        </w:tc>
        <w:tc>
          <w:tcPr>
            <w:tcW w:w="2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1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8"/>
          </w:tcPr>
          <w:p>
            <w:pPr>
              <w:spacing w:after="0" w:line="196" w:lineRule="exact"/>
              <w:rPr>
                <w:sz w:val="20"/>
                <w:szCs w:val="20"/>
                <w:color w:val="auto"/>
              </w:rPr>
            </w:pPr>
            <w:r>
              <w:rPr>
                <w:rFonts w:ascii="Arial" w:cs="Arial" w:eastAsia="Arial" w:hAnsi="Arial"/>
                <w:sz w:val="18"/>
                <w:szCs w:val="18"/>
                <w:color w:val="7A04DD"/>
              </w:rPr>
              <w:t>Act of 2002.</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1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7A04DD"/>
            </w:tcBorders>
          </w:tcPr>
          <w:p>
            <w:pPr>
              <w:spacing w:after="0"/>
              <w:rPr>
                <w:sz w:val="4"/>
                <w:szCs w:val="4"/>
                <w:color w:val="auto"/>
              </w:rPr>
            </w:pPr>
          </w:p>
        </w:tc>
        <w:tc>
          <w:tcPr>
            <w:tcW w:w="2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10" w:type="dxa"/>
            <w:vAlign w:val="bottom"/>
          </w:tcPr>
          <w:p>
            <w:pPr>
              <w:spacing w:after="0"/>
              <w:rPr>
                <w:sz w:val="4"/>
                <w:szCs w:val="4"/>
                <w:color w:val="auto"/>
              </w:rPr>
            </w:pPr>
          </w:p>
        </w:tc>
        <w:tc>
          <w:tcPr>
            <w:tcW w:w="123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8"/>
        </w:trPr>
        <w:tc>
          <w:tcPr>
            <w:tcW w:w="1220" w:type="dxa"/>
            <w:vAlign w:val="bottom"/>
            <w:gridSpan w:val="3"/>
            <w:shd w:val="clear" w:color="auto" w:fill="EBFBFF"/>
          </w:tcPr>
          <w:p>
            <w:pPr>
              <w:jc w:val="right"/>
              <w:ind w:right="140"/>
              <w:spacing w:after="0"/>
              <w:rPr>
                <w:sz w:val="20"/>
                <w:szCs w:val="20"/>
                <w:color w:val="auto"/>
              </w:rPr>
            </w:pPr>
            <w:r>
              <w:rPr>
                <w:rFonts w:ascii="Arial" w:cs="Arial" w:eastAsia="Arial" w:hAnsi="Arial"/>
                <w:sz w:val="18"/>
                <w:szCs w:val="18"/>
                <w:color w:val="51555C"/>
              </w:rPr>
              <w:t>101.INS</w:t>
            </w:r>
          </w:p>
        </w:tc>
        <w:tc>
          <w:tcPr>
            <w:tcW w:w="5400" w:type="dxa"/>
            <w:vAlign w:val="bottom"/>
            <w:gridSpan w:val="8"/>
            <w:shd w:val="clear" w:color="auto" w:fill="EBFBFF"/>
          </w:tcPr>
          <w:p>
            <w:pPr>
              <w:spacing w:after="0"/>
              <w:rPr>
                <w:sz w:val="20"/>
                <w:szCs w:val="20"/>
                <w:color w:val="auto"/>
              </w:rPr>
            </w:pPr>
            <w:r>
              <w:rPr>
                <w:rFonts w:ascii="Arial" w:cs="Arial" w:eastAsia="Arial" w:hAnsi="Arial"/>
                <w:sz w:val="18"/>
                <w:szCs w:val="18"/>
                <w:color w:val="51555C"/>
              </w:rPr>
              <w:t>Inline XBRL Instance Document - the Instance Document does</w:t>
            </w:r>
          </w:p>
        </w:tc>
        <w:tc>
          <w:tcPr>
            <w:tcW w:w="980" w:type="dxa"/>
            <w:vAlign w:val="bottom"/>
            <w:shd w:val="clear" w:color="auto" w:fill="EBFBFF"/>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shd w:val="clear" w:color="auto" w:fill="EBFBFF"/>
          </w:tcPr>
          <w:p>
            <w:pPr>
              <w:spacing w:after="0"/>
              <w:rPr>
                <w:sz w:val="24"/>
                <w:szCs w:val="24"/>
                <w:color w:val="auto"/>
              </w:rPr>
            </w:pPr>
          </w:p>
        </w:tc>
        <w:tc>
          <w:tcPr>
            <w:tcW w:w="1410" w:type="dxa"/>
            <w:vAlign w:val="bottom"/>
            <w:shd w:val="clear" w:color="auto" w:fill="EBFBFF"/>
          </w:tcPr>
          <w:p>
            <w:pPr>
              <w:spacing w:after="0"/>
              <w:rPr>
                <w:sz w:val="24"/>
                <w:szCs w:val="24"/>
                <w:color w:val="auto"/>
              </w:rPr>
            </w:pPr>
          </w:p>
        </w:tc>
        <w:tc>
          <w:tcPr>
            <w:tcW w:w="123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40" w:type="dxa"/>
            <w:vAlign w:val="bottom"/>
            <w:shd w:val="clear" w:color="auto" w:fill="EBFBFF"/>
          </w:tcPr>
          <w:p>
            <w:pPr>
              <w:spacing w:after="0"/>
              <w:rPr>
                <w:sz w:val="18"/>
                <w:szCs w:val="18"/>
                <w:color w:val="auto"/>
              </w:rPr>
            </w:pPr>
          </w:p>
        </w:tc>
        <w:tc>
          <w:tcPr>
            <w:tcW w:w="34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5400" w:type="dxa"/>
            <w:vAlign w:val="bottom"/>
            <w:gridSpan w:val="8"/>
            <w:shd w:val="clear" w:color="auto" w:fill="EBFBFF"/>
          </w:tcPr>
          <w:p>
            <w:pPr>
              <w:spacing w:after="0"/>
              <w:rPr>
                <w:sz w:val="20"/>
                <w:szCs w:val="20"/>
                <w:color w:val="auto"/>
              </w:rPr>
            </w:pPr>
            <w:r>
              <w:rPr>
                <w:rFonts w:ascii="Arial" w:cs="Arial" w:eastAsia="Arial" w:hAnsi="Arial"/>
                <w:sz w:val="18"/>
                <w:szCs w:val="18"/>
                <w:color w:val="51555C"/>
              </w:rPr>
              <w:t>not appear in the interactive data file because its XBRL tags are</w:t>
            </w:r>
          </w:p>
        </w:tc>
        <w:tc>
          <w:tcPr>
            <w:tcW w:w="98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1410" w:type="dxa"/>
            <w:vAlign w:val="bottom"/>
            <w:shd w:val="clear" w:color="auto" w:fill="EBFBFF"/>
          </w:tcPr>
          <w:p>
            <w:pPr>
              <w:spacing w:after="0"/>
              <w:rPr>
                <w:sz w:val="18"/>
                <w:szCs w:val="18"/>
                <w:color w:val="auto"/>
              </w:rPr>
            </w:pPr>
          </w:p>
        </w:tc>
        <w:tc>
          <w:tcPr>
            <w:tcW w:w="123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74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5400" w:type="dxa"/>
            <w:vAlign w:val="bottom"/>
            <w:tcBorders>
              <w:bottom w:val="single" w:sz="8" w:color="EBFBFF"/>
            </w:tcBorders>
            <w:gridSpan w:val="8"/>
            <w:shd w:val="clear" w:color="auto" w:fill="EBFBFF"/>
          </w:tcPr>
          <w:p>
            <w:pPr>
              <w:spacing w:after="0"/>
              <w:rPr>
                <w:sz w:val="20"/>
                <w:szCs w:val="20"/>
                <w:color w:val="auto"/>
              </w:rPr>
            </w:pPr>
            <w:r>
              <w:rPr>
                <w:rFonts w:ascii="Arial" w:cs="Arial" w:eastAsia="Arial" w:hAnsi="Arial"/>
                <w:sz w:val="18"/>
                <w:szCs w:val="18"/>
                <w:color w:val="51555C"/>
              </w:rPr>
              <w:t>embedded within the Inline XBRL Document.</w:t>
            </w:r>
          </w:p>
        </w:tc>
        <w:tc>
          <w:tcPr>
            <w:tcW w:w="9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1410" w:type="dxa"/>
            <w:vAlign w:val="bottom"/>
            <w:tcBorders>
              <w:bottom w:val="single" w:sz="8" w:color="EBFBFF"/>
            </w:tcBorders>
            <w:shd w:val="clear" w:color="auto" w:fill="EBFBFF"/>
          </w:tcPr>
          <w:p>
            <w:pPr>
              <w:spacing w:after="0"/>
              <w:rPr>
                <w:sz w:val="21"/>
                <w:szCs w:val="21"/>
                <w:color w:val="auto"/>
              </w:rPr>
            </w:pPr>
          </w:p>
        </w:tc>
        <w:tc>
          <w:tcPr>
            <w:tcW w:w="123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301"/>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51555C"/>
              </w:rPr>
              <w:t>101.SCH</w:t>
            </w:r>
          </w:p>
        </w:tc>
        <w:tc>
          <w:tcPr>
            <w:tcW w:w="5400" w:type="dxa"/>
            <w:vAlign w:val="bottom"/>
            <w:gridSpan w:val="8"/>
          </w:tcPr>
          <w:p>
            <w:pPr>
              <w:spacing w:after="0"/>
              <w:rPr>
                <w:sz w:val="20"/>
                <w:szCs w:val="20"/>
                <w:color w:val="auto"/>
              </w:rPr>
            </w:pPr>
            <w:r>
              <w:rPr>
                <w:rFonts w:ascii="Arial" w:cs="Arial" w:eastAsia="Arial" w:hAnsi="Arial"/>
                <w:sz w:val="18"/>
                <w:szCs w:val="18"/>
                <w:color w:val="51555C"/>
              </w:rPr>
              <w:t>Inline XBRL Taxonomy Extension Schema Document.</w:t>
            </w:r>
          </w:p>
        </w:tc>
        <w:tc>
          <w:tcPr>
            <w:tcW w:w="980" w:type="dxa"/>
            <w:vAlign w:val="bottom"/>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tcPr>
          <w:p>
            <w:pPr>
              <w:spacing w:after="0"/>
              <w:rPr>
                <w:sz w:val="24"/>
                <w:szCs w:val="24"/>
                <w:color w:val="auto"/>
              </w:rPr>
            </w:pPr>
          </w:p>
        </w:tc>
        <w:tc>
          <w:tcPr>
            <w:tcW w:w="141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10" w:type="dxa"/>
            <w:vAlign w:val="bottom"/>
          </w:tcPr>
          <w:p>
            <w:pPr>
              <w:spacing w:after="0"/>
              <w:rPr>
                <w:sz w:val="2"/>
                <w:szCs w:val="2"/>
                <w:color w:val="auto"/>
              </w:rPr>
            </w:pPr>
          </w:p>
        </w:tc>
        <w:tc>
          <w:tcPr>
            <w:tcW w:w="123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8"/>
        </w:trPr>
        <w:tc>
          <w:tcPr>
            <w:tcW w:w="1220" w:type="dxa"/>
            <w:vAlign w:val="bottom"/>
            <w:gridSpan w:val="3"/>
            <w:shd w:val="clear" w:color="auto" w:fill="EBFBFF"/>
          </w:tcPr>
          <w:p>
            <w:pPr>
              <w:jc w:val="right"/>
              <w:ind w:right="140"/>
              <w:spacing w:after="0"/>
              <w:rPr>
                <w:sz w:val="20"/>
                <w:szCs w:val="20"/>
                <w:color w:val="auto"/>
              </w:rPr>
            </w:pPr>
            <w:r>
              <w:rPr>
                <w:rFonts w:ascii="Arial" w:cs="Arial" w:eastAsia="Arial" w:hAnsi="Arial"/>
                <w:sz w:val="18"/>
                <w:szCs w:val="18"/>
                <w:color w:val="51555C"/>
              </w:rPr>
              <w:t>101.CAL</w:t>
            </w:r>
          </w:p>
        </w:tc>
        <w:tc>
          <w:tcPr>
            <w:tcW w:w="5400" w:type="dxa"/>
            <w:vAlign w:val="bottom"/>
            <w:gridSpan w:val="8"/>
            <w:shd w:val="clear" w:color="auto" w:fill="EBFBFF"/>
          </w:tcPr>
          <w:p>
            <w:pPr>
              <w:spacing w:after="0"/>
              <w:rPr>
                <w:sz w:val="20"/>
                <w:szCs w:val="20"/>
                <w:color w:val="auto"/>
              </w:rPr>
            </w:pPr>
            <w:r>
              <w:rPr>
                <w:rFonts w:ascii="Arial" w:cs="Arial" w:eastAsia="Arial" w:hAnsi="Arial"/>
                <w:sz w:val="18"/>
                <w:szCs w:val="18"/>
                <w:color w:val="51555C"/>
              </w:rPr>
              <w:t>Inline XBRL Taxonomy Extension Calculation Linkbase</w:t>
            </w:r>
          </w:p>
        </w:tc>
        <w:tc>
          <w:tcPr>
            <w:tcW w:w="980" w:type="dxa"/>
            <w:vAlign w:val="bottom"/>
            <w:shd w:val="clear" w:color="auto" w:fill="EBFBFF"/>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shd w:val="clear" w:color="auto" w:fill="EBFBFF"/>
          </w:tcPr>
          <w:p>
            <w:pPr>
              <w:spacing w:after="0"/>
              <w:rPr>
                <w:sz w:val="24"/>
                <w:szCs w:val="24"/>
                <w:color w:val="auto"/>
              </w:rPr>
            </w:pPr>
          </w:p>
        </w:tc>
        <w:tc>
          <w:tcPr>
            <w:tcW w:w="1410" w:type="dxa"/>
            <w:vAlign w:val="bottom"/>
            <w:shd w:val="clear" w:color="auto" w:fill="EBFBFF"/>
          </w:tcPr>
          <w:p>
            <w:pPr>
              <w:spacing w:after="0"/>
              <w:rPr>
                <w:sz w:val="24"/>
                <w:szCs w:val="24"/>
                <w:color w:val="auto"/>
              </w:rPr>
            </w:pPr>
          </w:p>
        </w:tc>
        <w:tc>
          <w:tcPr>
            <w:tcW w:w="123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74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5400" w:type="dxa"/>
            <w:vAlign w:val="bottom"/>
            <w:tcBorders>
              <w:bottom w:val="single" w:sz="8" w:color="EBFBFF"/>
            </w:tcBorders>
            <w:gridSpan w:val="8"/>
            <w:shd w:val="clear" w:color="auto" w:fill="EBFBFF"/>
          </w:tcPr>
          <w:p>
            <w:pPr>
              <w:spacing w:after="0"/>
              <w:rPr>
                <w:sz w:val="20"/>
                <w:szCs w:val="20"/>
                <w:color w:val="auto"/>
              </w:rPr>
            </w:pPr>
            <w:r>
              <w:rPr>
                <w:rFonts w:ascii="Arial" w:cs="Arial" w:eastAsia="Arial" w:hAnsi="Arial"/>
                <w:sz w:val="18"/>
                <w:szCs w:val="18"/>
                <w:color w:val="51555C"/>
              </w:rPr>
              <w:t>Document.</w:t>
            </w:r>
          </w:p>
        </w:tc>
        <w:tc>
          <w:tcPr>
            <w:tcW w:w="9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1410" w:type="dxa"/>
            <w:vAlign w:val="bottom"/>
            <w:tcBorders>
              <w:bottom w:val="single" w:sz="8" w:color="EBFBFF"/>
            </w:tcBorders>
            <w:shd w:val="clear" w:color="auto" w:fill="EBFBFF"/>
          </w:tcPr>
          <w:p>
            <w:pPr>
              <w:spacing w:after="0"/>
              <w:rPr>
                <w:sz w:val="21"/>
                <w:szCs w:val="21"/>
                <w:color w:val="auto"/>
              </w:rPr>
            </w:pPr>
          </w:p>
        </w:tc>
        <w:tc>
          <w:tcPr>
            <w:tcW w:w="123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301"/>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51555C"/>
              </w:rPr>
              <w:t>101.DEF</w:t>
            </w:r>
          </w:p>
        </w:tc>
        <w:tc>
          <w:tcPr>
            <w:tcW w:w="5400" w:type="dxa"/>
            <w:vAlign w:val="bottom"/>
            <w:gridSpan w:val="8"/>
          </w:tcPr>
          <w:p>
            <w:pPr>
              <w:spacing w:after="0"/>
              <w:rPr>
                <w:sz w:val="20"/>
                <w:szCs w:val="20"/>
                <w:color w:val="auto"/>
              </w:rPr>
            </w:pPr>
            <w:r>
              <w:rPr>
                <w:rFonts w:ascii="Arial" w:cs="Arial" w:eastAsia="Arial" w:hAnsi="Arial"/>
                <w:sz w:val="18"/>
                <w:szCs w:val="18"/>
                <w:color w:val="51555C"/>
              </w:rPr>
              <w:t>Inline XBRL Taxonomy Extension Definition Linkbase Document.</w:t>
            </w:r>
          </w:p>
        </w:tc>
        <w:tc>
          <w:tcPr>
            <w:tcW w:w="980" w:type="dxa"/>
            <w:vAlign w:val="bottom"/>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tcPr>
          <w:p>
            <w:pPr>
              <w:spacing w:after="0"/>
              <w:rPr>
                <w:sz w:val="24"/>
                <w:szCs w:val="24"/>
                <w:color w:val="auto"/>
              </w:rPr>
            </w:pPr>
          </w:p>
        </w:tc>
        <w:tc>
          <w:tcPr>
            <w:tcW w:w="141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10" w:type="dxa"/>
            <w:vAlign w:val="bottom"/>
          </w:tcPr>
          <w:p>
            <w:pPr>
              <w:spacing w:after="0"/>
              <w:rPr>
                <w:sz w:val="2"/>
                <w:szCs w:val="2"/>
                <w:color w:val="auto"/>
              </w:rPr>
            </w:pPr>
          </w:p>
        </w:tc>
        <w:tc>
          <w:tcPr>
            <w:tcW w:w="123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220" w:type="dxa"/>
            <w:vAlign w:val="bottom"/>
            <w:tcBorders>
              <w:bottom w:val="single" w:sz="8" w:color="EBFBFF"/>
            </w:tcBorders>
            <w:gridSpan w:val="3"/>
            <w:shd w:val="clear" w:color="auto" w:fill="EBFBFF"/>
          </w:tcPr>
          <w:p>
            <w:pPr>
              <w:jc w:val="right"/>
              <w:ind w:right="140"/>
              <w:spacing w:after="0"/>
              <w:rPr>
                <w:sz w:val="20"/>
                <w:szCs w:val="20"/>
                <w:color w:val="auto"/>
              </w:rPr>
            </w:pPr>
            <w:r>
              <w:rPr>
                <w:rFonts w:ascii="Arial" w:cs="Arial" w:eastAsia="Arial" w:hAnsi="Arial"/>
                <w:sz w:val="18"/>
                <w:szCs w:val="18"/>
                <w:color w:val="51555C"/>
              </w:rPr>
              <w:t>101.LAB</w:t>
            </w:r>
          </w:p>
        </w:tc>
        <w:tc>
          <w:tcPr>
            <w:tcW w:w="5400" w:type="dxa"/>
            <w:vAlign w:val="bottom"/>
            <w:tcBorders>
              <w:bottom w:val="single" w:sz="8" w:color="EBFBFF"/>
            </w:tcBorders>
            <w:gridSpan w:val="8"/>
            <w:shd w:val="clear" w:color="auto" w:fill="EBFBFF"/>
          </w:tcPr>
          <w:p>
            <w:pPr>
              <w:spacing w:after="0"/>
              <w:rPr>
                <w:sz w:val="20"/>
                <w:szCs w:val="20"/>
                <w:color w:val="auto"/>
              </w:rPr>
            </w:pPr>
            <w:r>
              <w:rPr>
                <w:rFonts w:ascii="Arial" w:cs="Arial" w:eastAsia="Arial" w:hAnsi="Arial"/>
                <w:sz w:val="18"/>
                <w:szCs w:val="18"/>
                <w:color w:val="51555C"/>
              </w:rPr>
              <w:t>Inline XBRL Taxonomy Extension Label Linkbase Document.</w:t>
            </w:r>
          </w:p>
        </w:tc>
        <w:tc>
          <w:tcPr>
            <w:tcW w:w="980" w:type="dxa"/>
            <w:vAlign w:val="bottom"/>
            <w:tcBorders>
              <w:bottom w:val="single" w:sz="8" w:color="EBFBFF"/>
            </w:tcBorders>
            <w:shd w:val="clear" w:color="auto" w:fill="EBFBFF"/>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tcBorders>
              <w:bottom w:val="single" w:sz="8" w:color="EBFBFF"/>
            </w:tcBorders>
            <w:shd w:val="clear" w:color="auto" w:fill="EBFBFF"/>
          </w:tcPr>
          <w:p>
            <w:pPr>
              <w:spacing w:after="0"/>
              <w:rPr>
                <w:sz w:val="24"/>
                <w:szCs w:val="24"/>
                <w:color w:val="auto"/>
              </w:rPr>
            </w:pPr>
          </w:p>
        </w:tc>
        <w:tc>
          <w:tcPr>
            <w:tcW w:w="1410" w:type="dxa"/>
            <w:vAlign w:val="bottom"/>
            <w:tcBorders>
              <w:bottom w:val="single" w:sz="8" w:color="EBFBFF"/>
            </w:tcBorders>
            <w:shd w:val="clear" w:color="auto" w:fill="EBFBFF"/>
          </w:tcPr>
          <w:p>
            <w:pPr>
              <w:spacing w:after="0"/>
              <w:rPr>
                <w:sz w:val="24"/>
                <w:szCs w:val="24"/>
                <w:color w:val="auto"/>
              </w:rPr>
            </w:pPr>
          </w:p>
        </w:tc>
        <w:tc>
          <w:tcPr>
            <w:tcW w:w="1230" w:type="dxa"/>
            <w:vAlign w:val="bottom"/>
            <w:tcBorders>
              <w:bottom w:val="single" w:sz="8" w:color="EBFBFF"/>
            </w:tcBorders>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51555C"/>
              </w:rPr>
              <w:t>101.PRE</w:t>
            </w:r>
          </w:p>
        </w:tc>
        <w:tc>
          <w:tcPr>
            <w:tcW w:w="5400" w:type="dxa"/>
            <w:vAlign w:val="bottom"/>
            <w:gridSpan w:val="8"/>
          </w:tcPr>
          <w:p>
            <w:pPr>
              <w:spacing w:after="0"/>
              <w:rPr>
                <w:sz w:val="20"/>
                <w:szCs w:val="20"/>
                <w:color w:val="auto"/>
              </w:rPr>
            </w:pPr>
            <w:r>
              <w:rPr>
                <w:rFonts w:ascii="Arial" w:cs="Arial" w:eastAsia="Arial" w:hAnsi="Arial"/>
                <w:sz w:val="18"/>
                <w:szCs w:val="18"/>
                <w:color w:val="51555C"/>
              </w:rPr>
              <w:t>Inline XBRL Taxonomy Extension Presentation Linkbase</w:t>
            </w:r>
          </w:p>
        </w:tc>
        <w:tc>
          <w:tcPr>
            <w:tcW w:w="980" w:type="dxa"/>
            <w:vAlign w:val="bottom"/>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tcPr>
          <w:p>
            <w:pPr>
              <w:spacing w:after="0"/>
              <w:rPr>
                <w:sz w:val="24"/>
                <w:szCs w:val="24"/>
                <w:color w:val="auto"/>
              </w:rPr>
            </w:pPr>
          </w:p>
        </w:tc>
        <w:tc>
          <w:tcPr>
            <w:tcW w:w="141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51555C"/>
              </w:rPr>
              <w:t>Document.</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10" w:type="dxa"/>
            <w:vAlign w:val="bottom"/>
          </w:tcPr>
          <w:p>
            <w:pPr>
              <w:spacing w:after="0"/>
              <w:rPr>
                <w:sz w:val="20"/>
                <w:szCs w:val="20"/>
                <w:color w:val="auto"/>
              </w:rPr>
            </w:pPr>
          </w:p>
        </w:tc>
        <w:tc>
          <w:tcPr>
            <w:tcW w:w="123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
        </w:trPr>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10" w:type="dxa"/>
            <w:vAlign w:val="bottom"/>
          </w:tcPr>
          <w:p>
            <w:pPr>
              <w:spacing w:after="0"/>
              <w:rPr>
                <w:sz w:val="2"/>
                <w:szCs w:val="2"/>
                <w:color w:val="auto"/>
              </w:rPr>
            </w:pPr>
          </w:p>
        </w:tc>
        <w:tc>
          <w:tcPr>
            <w:tcW w:w="123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8"/>
        </w:trPr>
        <w:tc>
          <w:tcPr>
            <w:tcW w:w="1220" w:type="dxa"/>
            <w:vAlign w:val="bottom"/>
            <w:gridSpan w:val="3"/>
            <w:shd w:val="clear" w:color="auto" w:fill="EBFBFF"/>
          </w:tcPr>
          <w:p>
            <w:pPr>
              <w:jc w:val="right"/>
              <w:ind w:right="140"/>
              <w:spacing w:after="0"/>
              <w:rPr>
                <w:sz w:val="20"/>
                <w:szCs w:val="20"/>
                <w:color w:val="auto"/>
              </w:rPr>
            </w:pPr>
            <w:r>
              <w:rPr>
                <w:rFonts w:ascii="Arial" w:cs="Arial" w:eastAsia="Arial" w:hAnsi="Arial"/>
                <w:sz w:val="18"/>
                <w:szCs w:val="18"/>
                <w:color w:val="51555C"/>
              </w:rPr>
              <w:t>104</w:t>
            </w:r>
          </w:p>
        </w:tc>
        <w:tc>
          <w:tcPr>
            <w:tcW w:w="5400" w:type="dxa"/>
            <w:vAlign w:val="bottom"/>
            <w:gridSpan w:val="8"/>
            <w:shd w:val="clear" w:color="auto" w:fill="EBFBFF"/>
          </w:tcPr>
          <w:p>
            <w:pPr>
              <w:spacing w:after="0"/>
              <w:rPr>
                <w:sz w:val="20"/>
                <w:szCs w:val="20"/>
                <w:color w:val="auto"/>
              </w:rPr>
            </w:pPr>
            <w:r>
              <w:rPr>
                <w:rFonts w:ascii="Arial" w:cs="Arial" w:eastAsia="Arial" w:hAnsi="Arial"/>
                <w:sz w:val="18"/>
                <w:szCs w:val="18"/>
                <w:color w:val="51555C"/>
              </w:rPr>
              <w:t>Cover Page Interactive Data File (formatted as Inline XBRL and</w:t>
            </w:r>
          </w:p>
        </w:tc>
        <w:tc>
          <w:tcPr>
            <w:tcW w:w="980" w:type="dxa"/>
            <w:vAlign w:val="bottom"/>
            <w:shd w:val="clear" w:color="auto" w:fill="EBFBFF"/>
          </w:tcPr>
          <w:p>
            <w:pPr>
              <w:jc w:val="center"/>
              <w:ind w:right="53"/>
              <w:spacing w:after="0"/>
              <w:rPr>
                <w:sz w:val="20"/>
                <w:szCs w:val="20"/>
                <w:color w:val="auto"/>
              </w:rPr>
            </w:pPr>
            <w:r>
              <w:rPr>
                <w:rFonts w:ascii="Arial" w:cs="Arial" w:eastAsia="Arial" w:hAnsi="Arial"/>
                <w:sz w:val="18"/>
                <w:szCs w:val="18"/>
                <w:color w:val="51555C"/>
                <w:w w:val="99"/>
              </w:rPr>
              <w:t>X</w:t>
            </w:r>
          </w:p>
        </w:tc>
        <w:tc>
          <w:tcPr>
            <w:tcW w:w="1000" w:type="dxa"/>
            <w:vAlign w:val="bottom"/>
            <w:shd w:val="clear" w:color="auto" w:fill="EBFBFF"/>
          </w:tcPr>
          <w:p>
            <w:pPr>
              <w:spacing w:after="0"/>
              <w:rPr>
                <w:sz w:val="24"/>
                <w:szCs w:val="24"/>
                <w:color w:val="auto"/>
              </w:rPr>
            </w:pPr>
          </w:p>
        </w:tc>
        <w:tc>
          <w:tcPr>
            <w:tcW w:w="1410" w:type="dxa"/>
            <w:vAlign w:val="bottom"/>
            <w:shd w:val="clear" w:color="auto" w:fill="EBFBFF"/>
          </w:tcPr>
          <w:p>
            <w:pPr>
              <w:spacing w:after="0"/>
              <w:rPr>
                <w:sz w:val="24"/>
                <w:szCs w:val="24"/>
                <w:color w:val="auto"/>
              </w:rPr>
            </w:pPr>
          </w:p>
        </w:tc>
        <w:tc>
          <w:tcPr>
            <w:tcW w:w="123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74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5400" w:type="dxa"/>
            <w:vAlign w:val="bottom"/>
            <w:tcBorders>
              <w:bottom w:val="single" w:sz="8" w:color="EBFBFF"/>
            </w:tcBorders>
            <w:gridSpan w:val="8"/>
            <w:shd w:val="clear" w:color="auto" w:fill="EBFBFF"/>
          </w:tcPr>
          <w:p>
            <w:pPr>
              <w:spacing w:after="0"/>
              <w:rPr>
                <w:sz w:val="20"/>
                <w:szCs w:val="20"/>
                <w:color w:val="auto"/>
              </w:rPr>
            </w:pPr>
            <w:r>
              <w:rPr>
                <w:rFonts w:ascii="Arial" w:cs="Arial" w:eastAsia="Arial" w:hAnsi="Arial"/>
                <w:sz w:val="18"/>
                <w:szCs w:val="18"/>
                <w:color w:val="51555C"/>
              </w:rPr>
              <w:t>contained in Exhibit 101).</w:t>
            </w:r>
          </w:p>
        </w:tc>
        <w:tc>
          <w:tcPr>
            <w:tcW w:w="9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1410" w:type="dxa"/>
            <w:vAlign w:val="bottom"/>
            <w:tcBorders>
              <w:bottom w:val="single" w:sz="8" w:color="EBFBFF"/>
            </w:tcBorders>
            <w:shd w:val="clear" w:color="auto" w:fill="EBFBFF"/>
          </w:tcPr>
          <w:p>
            <w:pPr>
              <w:spacing w:after="0"/>
              <w:rPr>
                <w:sz w:val="21"/>
                <w:szCs w:val="21"/>
                <w:color w:val="auto"/>
              </w:rPr>
            </w:pPr>
          </w:p>
        </w:tc>
        <w:tc>
          <w:tcPr>
            <w:tcW w:w="123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74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8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60" w:type="dxa"/>
            <w:vAlign w:val="bottom"/>
            <w:shd w:val="clear" w:color="auto" w:fill="0CD973"/>
          </w:tcPr>
          <w:p>
            <w:pPr>
              <w:spacing w:after="0" w:line="20" w:lineRule="exact"/>
              <w:rPr>
                <w:sz w:val="1"/>
                <w:szCs w:val="1"/>
                <w:color w:val="auto"/>
              </w:rPr>
            </w:pPr>
          </w:p>
        </w:tc>
        <w:tc>
          <w:tcPr>
            <w:tcW w:w="780" w:type="dxa"/>
            <w:vAlign w:val="bottom"/>
            <w:shd w:val="clear" w:color="auto" w:fill="0CD973"/>
          </w:tcPr>
          <w:p>
            <w:pPr>
              <w:spacing w:after="0" w:line="20" w:lineRule="exact"/>
              <w:rPr>
                <w:sz w:val="1"/>
                <w:szCs w:val="1"/>
                <w:color w:val="auto"/>
              </w:rPr>
            </w:pPr>
          </w:p>
        </w:tc>
        <w:tc>
          <w:tcPr>
            <w:tcW w:w="4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1410" w:type="dxa"/>
            <w:vAlign w:val="bottom"/>
            <w:shd w:val="clear" w:color="auto" w:fill="0CD973"/>
          </w:tcPr>
          <w:p>
            <w:pPr>
              <w:spacing w:after="0" w:line="20" w:lineRule="exact"/>
              <w:rPr>
                <w:sz w:val="1"/>
                <w:szCs w:val="1"/>
                <w:color w:val="auto"/>
              </w:rPr>
            </w:pPr>
          </w:p>
        </w:tc>
        <w:tc>
          <w:tcPr>
            <w:tcW w:w="123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-4053840</wp:posOffset>
            </wp:positionV>
            <wp:extent cx="29489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42</w:t>
      </w:r>
      <w:r>
        <w:rPr>
          <w:sz w:val="20"/>
          <w:szCs w:val="20"/>
          <w:color w:val="auto"/>
        </w:rPr>
        <w:tab/>
      </w:r>
      <w:r>
        <w:rPr>
          <w:sz w:val="1"/>
          <w:szCs w:val="1"/>
          <w:color w:val="auto"/>
        </w:rPr>
        <w:drawing>
          <wp:inline distT="0" distB="0" distL="0" distR="0">
            <wp:extent cx="651510" cy="1714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7A04DD"/>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288"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5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7360" w:type="dxa"/>
            <w:vAlign w:val="bottom"/>
            <w:gridSpan w:val="2"/>
          </w:tcPr>
          <w:p>
            <w:pPr>
              <w:ind w:left="1240"/>
              <w:spacing w:after="0"/>
              <w:rPr>
                <w:sz w:val="20"/>
                <w:szCs w:val="20"/>
                <w:color w:val="auto"/>
              </w:rPr>
            </w:pPr>
            <w:r>
              <w:rPr>
                <w:rFonts w:ascii="Arial" w:cs="Arial" w:eastAsia="Arial" w:hAnsi="Arial"/>
                <w:sz w:val="18"/>
                <w:szCs w:val="18"/>
                <w:b w:val="1"/>
                <w:bCs w:val="1"/>
                <w:color w:val="51555C"/>
              </w:rPr>
              <w:t>BLACKBAUD, INC.</w:t>
            </w:r>
          </w:p>
        </w:tc>
        <w:tc>
          <w:tcPr>
            <w:tcW w:w="540" w:type="dxa"/>
            <w:vAlign w:val="bottom"/>
          </w:tcPr>
          <w:p>
            <w:pPr>
              <w:spacing w:after="0"/>
              <w:rPr>
                <w:sz w:val="21"/>
                <w:szCs w:val="21"/>
                <w:color w:val="auto"/>
              </w:rPr>
            </w:pPr>
          </w:p>
        </w:tc>
      </w:tr>
      <w:tr>
        <w:trPr>
          <w:trHeight w:val="586"/>
        </w:trPr>
        <w:tc>
          <w:tcPr>
            <w:tcW w:w="540" w:type="dxa"/>
            <w:vAlign w:val="bottom"/>
          </w:tcPr>
          <w:p>
            <w:pPr>
              <w:spacing w:after="0"/>
              <w:rPr>
                <w:sz w:val="20"/>
                <w:szCs w:val="20"/>
                <w:color w:val="auto"/>
              </w:rPr>
            </w:pPr>
            <w:r>
              <w:rPr>
                <w:rFonts w:ascii="Arial" w:cs="Arial" w:eastAsia="Arial" w:hAnsi="Arial"/>
                <w:sz w:val="18"/>
                <w:szCs w:val="18"/>
                <w:color w:val="51555C"/>
              </w:rPr>
              <w:t>Date:</w:t>
            </w:r>
          </w:p>
        </w:tc>
        <w:tc>
          <w:tcPr>
            <w:tcW w:w="2740" w:type="dxa"/>
            <w:vAlign w:val="bottom"/>
          </w:tcPr>
          <w:p>
            <w:pPr>
              <w:ind w:left="100"/>
              <w:spacing w:after="0"/>
              <w:rPr>
                <w:sz w:val="20"/>
                <w:szCs w:val="20"/>
                <w:color w:val="auto"/>
              </w:rPr>
            </w:pPr>
            <w:r>
              <w:rPr>
                <w:rFonts w:ascii="Arial" w:cs="Arial" w:eastAsia="Arial" w:hAnsi="Arial"/>
                <w:sz w:val="18"/>
                <w:szCs w:val="18"/>
                <w:color w:val="51555C"/>
              </w:rPr>
              <w:t>October 28, 2026</w:t>
            </w:r>
          </w:p>
        </w:tc>
        <w:tc>
          <w:tcPr>
            <w:tcW w:w="1680" w:type="dxa"/>
            <w:vAlign w:val="bottom"/>
          </w:tcPr>
          <w:p>
            <w:pPr>
              <w:ind w:left="1240"/>
              <w:spacing w:after="0"/>
              <w:rPr>
                <w:sz w:val="20"/>
                <w:szCs w:val="20"/>
                <w:color w:val="auto"/>
              </w:rPr>
            </w:pPr>
            <w:r>
              <w:rPr>
                <w:rFonts w:ascii="Arial" w:cs="Arial" w:eastAsia="Arial" w:hAnsi="Arial"/>
                <w:sz w:val="18"/>
                <w:szCs w:val="18"/>
                <w:color w:val="51555C"/>
              </w:rPr>
              <w:t>By:</w:t>
            </w:r>
          </w:p>
        </w:tc>
        <w:tc>
          <w:tcPr>
            <w:tcW w:w="5680" w:type="dxa"/>
            <w:vAlign w:val="bottom"/>
          </w:tcPr>
          <w:p>
            <w:pPr>
              <w:ind w:left="20"/>
              <w:spacing w:after="0"/>
              <w:rPr>
                <w:sz w:val="20"/>
                <w:szCs w:val="20"/>
                <w:color w:val="auto"/>
              </w:rPr>
            </w:pPr>
            <w:r>
              <w:rPr>
                <w:rFonts w:ascii="Arial" w:cs="Arial" w:eastAsia="Arial" w:hAnsi="Arial"/>
                <w:sz w:val="18"/>
                <w:szCs w:val="18"/>
                <w:color w:val="51555C"/>
              </w:rPr>
              <w:t>/s/ Michael P. Gianoni</w:t>
            </w:r>
          </w:p>
        </w:tc>
        <w:tc>
          <w:tcPr>
            <w:tcW w:w="540" w:type="dxa"/>
            <w:vAlign w:val="bottom"/>
          </w:tcPr>
          <w:p>
            <w:pPr>
              <w:spacing w:after="0"/>
              <w:rPr>
                <w:sz w:val="24"/>
                <w:szCs w:val="24"/>
                <w:color w:val="auto"/>
              </w:rPr>
            </w:pPr>
          </w:p>
        </w:tc>
      </w:tr>
      <w:tr>
        <w:trPr>
          <w:trHeight w:val="23"/>
        </w:trPr>
        <w:tc>
          <w:tcPr>
            <w:tcW w:w="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95"/>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51555C"/>
              </w:rPr>
              <w:t>Michael P. Gianoni</w:t>
            </w:r>
          </w:p>
        </w:tc>
        <w:tc>
          <w:tcPr>
            <w:tcW w:w="54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51555C"/>
              </w:rPr>
              <w:t>Chief Executive Officer, President and Vice Chairman of the Board</w:t>
            </w:r>
          </w:p>
        </w:tc>
        <w:tc>
          <w:tcPr>
            <w:tcW w:w="54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c>
          <w:tcPr>
            <w:tcW w:w="540" w:type="dxa"/>
            <w:vAlign w:val="bottom"/>
          </w:tcPr>
          <w:p>
            <w:pPr>
              <w:spacing w:after="0"/>
              <w:rPr>
                <w:sz w:val="24"/>
                <w:szCs w:val="24"/>
                <w:color w:val="auto"/>
              </w:rPr>
            </w:pP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51555C"/>
              </w:rPr>
              <w:t>Date:</w:t>
            </w:r>
          </w:p>
        </w:tc>
        <w:tc>
          <w:tcPr>
            <w:tcW w:w="2740" w:type="dxa"/>
            <w:vAlign w:val="bottom"/>
          </w:tcPr>
          <w:p>
            <w:pPr>
              <w:ind w:left="100"/>
              <w:spacing w:after="0"/>
              <w:rPr>
                <w:sz w:val="20"/>
                <w:szCs w:val="20"/>
                <w:color w:val="auto"/>
              </w:rPr>
            </w:pPr>
            <w:r>
              <w:rPr>
                <w:rFonts w:ascii="Arial" w:cs="Arial" w:eastAsia="Arial" w:hAnsi="Arial"/>
                <w:sz w:val="18"/>
                <w:szCs w:val="18"/>
                <w:color w:val="51555C"/>
              </w:rPr>
              <w:t>October 28, 2026</w:t>
            </w:r>
          </w:p>
        </w:tc>
        <w:tc>
          <w:tcPr>
            <w:tcW w:w="1680" w:type="dxa"/>
            <w:vAlign w:val="bottom"/>
          </w:tcPr>
          <w:p>
            <w:pPr>
              <w:ind w:left="1240"/>
              <w:spacing w:after="0"/>
              <w:rPr>
                <w:sz w:val="20"/>
                <w:szCs w:val="20"/>
                <w:color w:val="auto"/>
              </w:rPr>
            </w:pPr>
            <w:r>
              <w:rPr>
                <w:rFonts w:ascii="Arial" w:cs="Arial" w:eastAsia="Arial" w:hAnsi="Arial"/>
                <w:sz w:val="18"/>
                <w:szCs w:val="18"/>
                <w:color w:val="51555C"/>
              </w:rPr>
              <w:t>By:</w:t>
            </w:r>
          </w:p>
        </w:tc>
        <w:tc>
          <w:tcPr>
            <w:tcW w:w="5680" w:type="dxa"/>
            <w:vAlign w:val="bottom"/>
          </w:tcPr>
          <w:p>
            <w:pPr>
              <w:ind w:left="20"/>
              <w:spacing w:after="0"/>
              <w:rPr>
                <w:sz w:val="20"/>
                <w:szCs w:val="20"/>
                <w:color w:val="auto"/>
              </w:rPr>
            </w:pPr>
            <w:r>
              <w:rPr>
                <w:rFonts w:ascii="Arial" w:cs="Arial" w:eastAsia="Arial" w:hAnsi="Arial"/>
                <w:sz w:val="18"/>
                <w:szCs w:val="18"/>
                <w:color w:val="51555C"/>
              </w:rPr>
              <w:t>/s/ Chad M. Anderson</w:t>
            </w:r>
          </w:p>
        </w:tc>
        <w:tc>
          <w:tcPr>
            <w:tcW w:w="540" w:type="dxa"/>
            <w:vAlign w:val="bottom"/>
          </w:tcPr>
          <w:p>
            <w:pPr>
              <w:spacing w:after="0"/>
              <w:rPr>
                <w:sz w:val="24"/>
                <w:szCs w:val="24"/>
                <w:color w:val="auto"/>
              </w:rPr>
            </w:pPr>
          </w:p>
        </w:tc>
      </w:tr>
      <w:tr>
        <w:trPr>
          <w:trHeight w:val="23"/>
        </w:trPr>
        <w:tc>
          <w:tcPr>
            <w:tcW w:w="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95"/>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51555C"/>
              </w:rPr>
              <w:t>Chad M. Anderson</w:t>
            </w:r>
          </w:p>
        </w:tc>
        <w:tc>
          <w:tcPr>
            <w:tcW w:w="54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c>
          <w:tcPr>
            <w:tcW w:w="54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c>
          <w:tcPr>
            <w:tcW w:w="540" w:type="dxa"/>
            <w:vAlign w:val="bottom"/>
          </w:tcPr>
          <w:p>
            <w:pPr>
              <w:spacing w:after="0"/>
              <w:rPr>
                <w:sz w:val="24"/>
                <w:szCs w:val="24"/>
                <w:color w:val="auto"/>
              </w:rPr>
            </w:pPr>
          </w:p>
        </w:tc>
      </w:tr>
      <w:tr>
        <w:trPr>
          <w:trHeight w:val="717"/>
        </w:trPr>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80" w:type="dxa"/>
            <w:vAlign w:val="bottom"/>
          </w:tcPr>
          <w:p>
            <w:pPr>
              <w:ind w:left="2640"/>
              <w:spacing w:after="0"/>
              <w:rPr>
                <w:sz w:val="20"/>
                <w:szCs w:val="20"/>
                <w:color w:val="auto"/>
              </w:rPr>
            </w:pPr>
            <w:r>
              <w:rPr>
                <w:rFonts w:ascii="Arial" w:cs="Arial" w:eastAsia="Arial" w:hAnsi="Arial"/>
                <w:sz w:val="14"/>
                <w:szCs w:val="14"/>
                <w:color w:val="51555C"/>
              </w:rPr>
              <w:t>Third Quarter 2026 Form 10-Q</w:t>
            </w:r>
          </w:p>
        </w:tc>
        <w:tc>
          <w:tcPr>
            <w:tcW w:w="540" w:type="dxa"/>
            <w:vAlign w:val="bottom"/>
          </w:tcPr>
          <w:p>
            <w:pPr>
              <w:jc w:val="right"/>
              <w:spacing w:after="0"/>
              <w:rPr>
                <w:sz w:val="20"/>
                <w:szCs w:val="20"/>
                <w:color w:val="auto"/>
              </w:rPr>
            </w:pPr>
            <w:r>
              <w:rPr>
                <w:rFonts w:ascii="Arial" w:cs="Arial" w:eastAsia="Arial" w:hAnsi="Arial"/>
                <w:sz w:val="14"/>
                <w:szCs w:val="14"/>
                <w:color w:val="51555C"/>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-157480</wp:posOffset>
            </wp:positionV>
            <wp:extent cx="65976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51555C"/>
        </w:rPr>
        <w:t>EXHIBIT 31.1</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I, Michael P. Gianoni, certify that:</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I have reviewed this quarterly report on Form 10-Q of Blackbaud, Inc.;</w:t>
      </w:r>
    </w:p>
    <w:p>
      <w:pPr>
        <w:spacing w:after="0" w:line="171" w:lineRule="exact"/>
        <w:rPr>
          <w:rFonts w:ascii="Arial" w:cs="Arial" w:eastAsia="Arial" w:hAnsi="Arial"/>
          <w:sz w:val="18"/>
          <w:szCs w:val="18"/>
          <w:color w:val="51555C"/>
        </w:rPr>
      </w:pPr>
    </w:p>
    <w:p>
      <w:pPr>
        <w:ind w:left="660" w:right="8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51555C"/>
        </w:rPr>
      </w:pPr>
    </w:p>
    <w:p>
      <w:pPr>
        <w:ind w:left="980" w:right="40" w:hanging="324"/>
        <w:spacing w:after="0" w:line="268" w:lineRule="auto"/>
        <w:tabs>
          <w:tab w:leader="none" w:pos="995"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51555C"/>
        </w:rPr>
      </w:pPr>
    </w:p>
    <w:p>
      <w:pPr>
        <w:ind w:left="980" w:right="340" w:hanging="324"/>
        <w:spacing w:after="0" w:line="268" w:lineRule="auto"/>
        <w:tabs>
          <w:tab w:leader="none" w:pos="981"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51555C"/>
        </w:rPr>
      </w:pPr>
    </w:p>
    <w:p>
      <w:pPr>
        <w:jc w:val="both"/>
        <w:ind w:left="980" w:right="260" w:hanging="324"/>
        <w:spacing w:after="0" w:line="268" w:lineRule="auto"/>
        <w:tabs>
          <w:tab w:leader="none" w:pos="998"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51555C"/>
        </w:rPr>
      </w:pPr>
    </w:p>
    <w:p>
      <w:pPr>
        <w:ind w:left="980" w:right="100" w:hanging="324"/>
        <w:spacing w:after="0" w:line="268" w:lineRule="auto"/>
        <w:tabs>
          <w:tab w:leader="none" w:pos="981"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51555C"/>
        </w:rPr>
      </w:pPr>
    </w:p>
    <w:p>
      <w:pPr>
        <w:ind w:left="660" w:right="340" w:hanging="328"/>
        <w:spacing w:after="0" w:line="268" w:lineRule="auto"/>
        <w:tabs>
          <w:tab w:leader="none" w:pos="661" w:val="left"/>
        </w:tabs>
        <w:numPr>
          <w:ilvl w:val="0"/>
          <w:numId w:val="38"/>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51555C"/>
        </w:rPr>
      </w:pPr>
    </w:p>
    <w:p>
      <w:pPr>
        <w:ind w:left="980" w:right="260" w:hanging="324"/>
        <w:spacing w:after="0" w:line="268" w:lineRule="auto"/>
        <w:tabs>
          <w:tab w:leader="none" w:pos="995"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51555C"/>
        </w:rPr>
      </w:pPr>
    </w:p>
    <w:p>
      <w:pPr>
        <w:ind w:left="980" w:right="200" w:hanging="324"/>
        <w:spacing w:after="0" w:line="287" w:lineRule="auto"/>
        <w:tabs>
          <w:tab w:leader="none" w:pos="981" w:val="left"/>
        </w:tabs>
        <w:numPr>
          <w:ilvl w:val="1"/>
          <w:numId w:val="38"/>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8"/>
                <w:szCs w:val="18"/>
                <w:color w:val="51555C"/>
              </w:rPr>
              <w:t>Date:  October 28, 2026</w:t>
            </w:r>
          </w:p>
        </w:tc>
        <w:tc>
          <w:tcPr>
            <w:tcW w:w="7880" w:type="dxa"/>
            <w:vAlign w:val="bottom"/>
            <w:gridSpan w:val="2"/>
          </w:tcPr>
          <w:p>
            <w:pPr>
              <w:ind w:left="1280"/>
              <w:spacing w:after="0"/>
              <w:rPr>
                <w:sz w:val="20"/>
                <w:szCs w:val="20"/>
                <w:color w:val="auto"/>
              </w:rPr>
            </w:pPr>
            <w:r>
              <w:rPr>
                <w:rFonts w:ascii="Arial" w:cs="Arial" w:eastAsia="Arial" w:hAnsi="Arial"/>
                <w:sz w:val="18"/>
                <w:szCs w:val="18"/>
                <w:color w:val="51555C"/>
              </w:rPr>
              <w:t>By:   /s/ Michael P. Gianoni</w:t>
            </w:r>
          </w:p>
        </w:tc>
      </w:tr>
      <w:tr>
        <w:trPr>
          <w:trHeight w:val="218"/>
        </w:trPr>
        <w:tc>
          <w:tcPr>
            <w:tcW w:w="3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Michael P. Gianoni</w:t>
            </w:r>
          </w:p>
        </w:tc>
      </w:tr>
      <w:tr>
        <w:trPr>
          <w:trHeight w:val="230"/>
        </w:trPr>
        <w:tc>
          <w:tcPr>
            <w:tcW w:w="3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Chief Executive Officer, President and Vice Chairman of the Board</w:t>
            </w:r>
          </w:p>
        </w:tc>
      </w:tr>
      <w:tr>
        <w:trPr>
          <w:trHeight w:val="239"/>
        </w:trPr>
        <w:tc>
          <w:tcPr>
            <w:tcW w:w="3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r>
    </w:tbl>
    <w:p>
      <w:pPr>
        <w:sectPr>
          <w:pgSz w:w="11900" w:h="16838" w:orient="portrait"/>
          <w:cols w:equalWidth="0" w:num="1">
            <w:col w:w="11240"/>
          </w:cols>
          <w:pgMar w:left="320" w:top="89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51555C"/>
        </w:rPr>
        <w:t>EXHIBIT 31.2</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I, Chad M. Anderson, certify that:</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I have reviewed this quarterly report on Form 10-Q of Blackbaud, Inc.;</w:t>
      </w:r>
    </w:p>
    <w:p>
      <w:pPr>
        <w:spacing w:after="0" w:line="171" w:lineRule="exact"/>
        <w:rPr>
          <w:rFonts w:ascii="Arial" w:cs="Arial" w:eastAsia="Arial" w:hAnsi="Arial"/>
          <w:sz w:val="18"/>
          <w:szCs w:val="18"/>
          <w:color w:val="51555C"/>
        </w:rPr>
      </w:pPr>
    </w:p>
    <w:p>
      <w:pPr>
        <w:ind w:left="660" w:right="80" w:hanging="328"/>
        <w:spacing w:after="0" w:line="268" w:lineRule="auto"/>
        <w:tabs>
          <w:tab w:leader="none" w:pos="661"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51555C"/>
        </w:rPr>
      </w:pPr>
    </w:p>
    <w:p>
      <w:pPr>
        <w:ind w:left="660" w:right="120" w:hanging="328"/>
        <w:spacing w:after="0" w:line="268" w:lineRule="auto"/>
        <w:tabs>
          <w:tab w:leader="none" w:pos="661"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51555C"/>
        </w:rPr>
      </w:pPr>
    </w:p>
    <w:p>
      <w:pPr>
        <w:ind w:left="980" w:right="40" w:hanging="324"/>
        <w:spacing w:after="0" w:line="268" w:lineRule="auto"/>
        <w:tabs>
          <w:tab w:leader="none" w:pos="995" w:val="left"/>
        </w:tabs>
        <w:numPr>
          <w:ilvl w:val="1"/>
          <w:numId w:val="39"/>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51555C"/>
        </w:rPr>
      </w:pPr>
    </w:p>
    <w:p>
      <w:pPr>
        <w:ind w:left="980" w:right="340" w:hanging="324"/>
        <w:spacing w:after="0" w:line="268" w:lineRule="auto"/>
        <w:tabs>
          <w:tab w:leader="none" w:pos="981" w:val="left"/>
        </w:tabs>
        <w:numPr>
          <w:ilvl w:val="1"/>
          <w:numId w:val="39"/>
        </w:numPr>
        <w:rPr>
          <w:rFonts w:ascii="Arial" w:cs="Arial" w:eastAsia="Arial" w:hAnsi="Arial"/>
          <w:sz w:val="18"/>
          <w:szCs w:val="18"/>
          <w:color w:val="51555C"/>
        </w:rPr>
      </w:pPr>
      <w:r>
        <w:rPr>
          <w:rFonts w:ascii="Arial" w:cs="Arial" w:eastAsia="Arial" w:hAnsi="Arial"/>
          <w:sz w:val="18"/>
          <w:szCs w:val="18"/>
          <w:color w:val="51555C"/>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51555C"/>
        </w:rPr>
      </w:pPr>
    </w:p>
    <w:p>
      <w:pPr>
        <w:jc w:val="both"/>
        <w:ind w:left="980" w:right="260" w:hanging="324"/>
        <w:spacing w:after="0" w:line="268" w:lineRule="auto"/>
        <w:tabs>
          <w:tab w:leader="none" w:pos="998" w:val="left"/>
        </w:tabs>
        <w:numPr>
          <w:ilvl w:val="1"/>
          <w:numId w:val="39"/>
        </w:numPr>
        <w:rPr>
          <w:rFonts w:ascii="Arial" w:cs="Arial" w:eastAsia="Arial" w:hAnsi="Arial"/>
          <w:sz w:val="18"/>
          <w:szCs w:val="18"/>
          <w:color w:val="51555C"/>
        </w:rPr>
      </w:pPr>
      <w:r>
        <w:rPr>
          <w:rFonts w:ascii="Arial" w:cs="Arial" w:eastAsia="Arial" w:hAnsi="Arial"/>
          <w:sz w:val="18"/>
          <w:szCs w:val="18"/>
          <w:color w:val="51555C"/>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51555C"/>
        </w:rPr>
      </w:pPr>
    </w:p>
    <w:p>
      <w:pPr>
        <w:ind w:left="980" w:right="100" w:hanging="324"/>
        <w:spacing w:after="0" w:line="268" w:lineRule="auto"/>
        <w:tabs>
          <w:tab w:leader="none" w:pos="981" w:val="left"/>
        </w:tabs>
        <w:numPr>
          <w:ilvl w:val="1"/>
          <w:numId w:val="39"/>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51555C"/>
        </w:rPr>
      </w:pPr>
    </w:p>
    <w:p>
      <w:pPr>
        <w:ind w:left="660" w:right="340" w:hanging="328"/>
        <w:spacing w:after="0" w:line="268" w:lineRule="auto"/>
        <w:tabs>
          <w:tab w:leader="none" w:pos="661"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51555C"/>
        </w:rPr>
      </w:pPr>
    </w:p>
    <w:p>
      <w:pPr>
        <w:ind w:left="980" w:right="260" w:hanging="324"/>
        <w:spacing w:after="0" w:line="268" w:lineRule="auto"/>
        <w:tabs>
          <w:tab w:leader="none" w:pos="995" w:val="left"/>
        </w:tabs>
        <w:numPr>
          <w:ilvl w:val="1"/>
          <w:numId w:val="39"/>
        </w:numPr>
        <w:rPr>
          <w:rFonts w:ascii="Arial" w:cs="Arial" w:eastAsia="Arial" w:hAnsi="Arial"/>
          <w:sz w:val="18"/>
          <w:szCs w:val="18"/>
          <w:color w:val="51555C"/>
        </w:rPr>
      </w:pPr>
      <w:r>
        <w:rPr>
          <w:rFonts w:ascii="Arial" w:cs="Arial" w:eastAsia="Arial" w:hAnsi="Arial"/>
          <w:sz w:val="18"/>
          <w:szCs w:val="18"/>
          <w:color w:val="51555C"/>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51555C"/>
        </w:rPr>
      </w:pPr>
    </w:p>
    <w:p>
      <w:pPr>
        <w:ind w:left="980" w:right="200" w:hanging="324"/>
        <w:spacing w:after="0" w:line="287" w:lineRule="auto"/>
        <w:tabs>
          <w:tab w:leader="none" w:pos="981" w:val="left"/>
        </w:tabs>
        <w:numPr>
          <w:ilvl w:val="1"/>
          <w:numId w:val="39"/>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8"/>
                <w:szCs w:val="18"/>
                <w:color w:val="51555C"/>
              </w:rPr>
              <w:t>Date:  October 28, 2026</w:t>
            </w:r>
          </w:p>
        </w:tc>
        <w:tc>
          <w:tcPr>
            <w:tcW w:w="7880" w:type="dxa"/>
            <w:vAlign w:val="bottom"/>
            <w:gridSpan w:val="2"/>
          </w:tcPr>
          <w:p>
            <w:pPr>
              <w:ind w:left="1280"/>
              <w:spacing w:after="0"/>
              <w:rPr>
                <w:sz w:val="20"/>
                <w:szCs w:val="20"/>
                <w:color w:val="auto"/>
              </w:rPr>
            </w:pPr>
            <w:r>
              <w:rPr>
                <w:rFonts w:ascii="Arial" w:cs="Arial" w:eastAsia="Arial" w:hAnsi="Arial"/>
                <w:sz w:val="18"/>
                <w:szCs w:val="18"/>
                <w:color w:val="51555C"/>
              </w:rPr>
              <w:t>By:   /s/ Chad M. Anderson</w:t>
            </w:r>
          </w:p>
        </w:tc>
      </w:tr>
      <w:tr>
        <w:trPr>
          <w:trHeight w:val="218"/>
        </w:trPr>
        <w:tc>
          <w:tcPr>
            <w:tcW w:w="3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Chad M. Anderson</w:t>
            </w:r>
          </w:p>
        </w:tc>
      </w:tr>
      <w:tr>
        <w:trPr>
          <w:trHeight w:val="230"/>
        </w:trPr>
        <w:tc>
          <w:tcPr>
            <w:tcW w:w="3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39"/>
        </w:trPr>
        <w:tc>
          <w:tcPr>
            <w:tcW w:w="3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r>
    </w:tbl>
    <w:p>
      <w:pPr>
        <w:sectPr>
          <w:pgSz w:w="11900" w:h="16838" w:orient="portrait"/>
          <w:cols w:equalWidth="0" w:num="1">
            <w:col w:w="11240"/>
          </w:cols>
          <w:pgMar w:left="320" w:top="89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51555C"/>
        </w:rPr>
        <w:t>EXHIBIT 32.1</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connection with the Quarterly Report on Form 10 -Q of Blackbaud, Inc. (the “Company”) for the period ended September 30, 2026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spacing w:after="0" w:line="12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Section 13(a) or 15(d) of the Securities Exchange Act of 1934; and</w:t>
      </w:r>
    </w:p>
    <w:p>
      <w:pPr>
        <w:spacing w:after="0" w:line="171" w:lineRule="exact"/>
        <w:rPr>
          <w:rFonts w:ascii="Arial" w:cs="Arial" w:eastAsia="Arial" w:hAnsi="Arial"/>
          <w:sz w:val="18"/>
          <w:szCs w:val="18"/>
          <w:color w:val="51555C"/>
        </w:rPr>
      </w:pPr>
    </w:p>
    <w:p>
      <w:pPr>
        <w:ind w:left="660" w:hanging="328"/>
        <w:spacing w:after="0" w:line="287" w:lineRule="auto"/>
        <w:tabs>
          <w:tab w:leader="none" w:pos="661" w:val="left"/>
        </w:tabs>
        <w:numPr>
          <w:ilvl w:val="0"/>
          <w:numId w:val="40"/>
        </w:numPr>
        <w:rPr>
          <w:rFonts w:ascii="Arial" w:cs="Arial" w:eastAsia="Arial" w:hAnsi="Arial"/>
          <w:sz w:val="18"/>
          <w:szCs w:val="18"/>
          <w:color w:val="51555C"/>
        </w:rPr>
      </w:pPr>
      <w:r>
        <w:rPr>
          <w:rFonts w:ascii="Arial" w:cs="Arial" w:eastAsia="Arial" w:hAnsi="Arial"/>
          <w:sz w:val="18"/>
          <w:szCs w:val="18"/>
          <w:color w:val="51555C"/>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8"/>
                <w:szCs w:val="18"/>
                <w:color w:val="51555C"/>
              </w:rPr>
              <w:t>Date:  October 28, 2026</w:t>
            </w:r>
          </w:p>
        </w:tc>
        <w:tc>
          <w:tcPr>
            <w:tcW w:w="7900" w:type="dxa"/>
            <w:vAlign w:val="bottom"/>
            <w:gridSpan w:val="2"/>
          </w:tcPr>
          <w:p>
            <w:pPr>
              <w:ind w:left="1280"/>
              <w:spacing w:after="0"/>
              <w:rPr>
                <w:sz w:val="20"/>
                <w:szCs w:val="20"/>
                <w:color w:val="auto"/>
              </w:rPr>
            </w:pPr>
            <w:r>
              <w:rPr>
                <w:rFonts w:ascii="Arial" w:cs="Arial" w:eastAsia="Arial" w:hAnsi="Arial"/>
                <w:sz w:val="18"/>
                <w:szCs w:val="18"/>
                <w:color w:val="51555C"/>
              </w:rPr>
              <w:t>By:   /s/ Michael P. Gianoni</w:t>
            </w:r>
          </w:p>
        </w:tc>
      </w:tr>
      <w:tr>
        <w:trPr>
          <w:trHeight w:val="218"/>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51555C"/>
              </w:rPr>
              <w:t>Michael P. Gianoni</w:t>
            </w:r>
          </w:p>
        </w:tc>
      </w:tr>
      <w:tr>
        <w:trPr>
          <w:trHeight w:val="230"/>
        </w:trPr>
        <w:tc>
          <w:tcPr>
            <w:tcW w:w="3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Chief Executive Officer, President and Vice Chairman of the Board</w:t>
            </w:r>
          </w:p>
        </w:tc>
      </w:tr>
      <w:tr>
        <w:trPr>
          <w:trHeight w:val="239"/>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(Principal Executive Officer)</w:t>
            </w:r>
          </w:p>
        </w:tc>
      </w:tr>
    </w:tbl>
    <w:p>
      <w:pPr>
        <w:sectPr>
          <w:pgSz w:w="11900" w:h="16838" w:orient="portrait"/>
          <w:cols w:equalWidth="0" w:num="1">
            <w:col w:w="11240"/>
          </w:cols>
          <w:pgMar w:left="320" w:top="89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51555C"/>
        </w:rPr>
        <w:t>EXHIBIT 32.2</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5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connection with the Quarterly Report on Form 10-Q of Blackbaud, Inc. (the “Company”) for the period ended September 30, 2026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spacing w:after="0" w:line="12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Section 13(a) or 15(d) of the Securities Exchange Act of 1934; and</w:t>
      </w:r>
    </w:p>
    <w:p>
      <w:pPr>
        <w:spacing w:after="0" w:line="171" w:lineRule="exact"/>
        <w:rPr>
          <w:rFonts w:ascii="Arial" w:cs="Arial" w:eastAsia="Arial" w:hAnsi="Arial"/>
          <w:sz w:val="18"/>
          <w:szCs w:val="18"/>
          <w:color w:val="51555C"/>
        </w:rPr>
      </w:pPr>
    </w:p>
    <w:p>
      <w:pPr>
        <w:ind w:left="660" w:hanging="328"/>
        <w:spacing w:after="0" w:line="287" w:lineRule="auto"/>
        <w:tabs>
          <w:tab w:leader="none" w:pos="661" w:val="left"/>
        </w:tabs>
        <w:numPr>
          <w:ilvl w:val="0"/>
          <w:numId w:val="41"/>
        </w:numPr>
        <w:rPr>
          <w:rFonts w:ascii="Arial" w:cs="Arial" w:eastAsia="Arial" w:hAnsi="Arial"/>
          <w:sz w:val="18"/>
          <w:szCs w:val="18"/>
          <w:color w:val="51555C"/>
        </w:rPr>
      </w:pPr>
      <w:r>
        <w:rPr>
          <w:rFonts w:ascii="Arial" w:cs="Arial" w:eastAsia="Arial" w:hAnsi="Arial"/>
          <w:sz w:val="18"/>
          <w:szCs w:val="18"/>
          <w:color w:val="51555C"/>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8"/>
                <w:szCs w:val="18"/>
                <w:color w:val="51555C"/>
              </w:rPr>
              <w:t>Date:  October 28, 2026</w:t>
            </w:r>
          </w:p>
        </w:tc>
        <w:tc>
          <w:tcPr>
            <w:tcW w:w="7900" w:type="dxa"/>
            <w:vAlign w:val="bottom"/>
            <w:gridSpan w:val="2"/>
          </w:tcPr>
          <w:p>
            <w:pPr>
              <w:ind w:left="1280"/>
              <w:spacing w:after="0"/>
              <w:rPr>
                <w:sz w:val="20"/>
                <w:szCs w:val="20"/>
                <w:color w:val="auto"/>
              </w:rPr>
            </w:pPr>
            <w:r>
              <w:rPr>
                <w:rFonts w:ascii="Arial" w:cs="Arial" w:eastAsia="Arial" w:hAnsi="Arial"/>
                <w:sz w:val="18"/>
                <w:szCs w:val="18"/>
                <w:color w:val="51555C"/>
              </w:rPr>
              <w:t>By:   /s/ Chad M. Anderson</w:t>
            </w:r>
          </w:p>
        </w:tc>
      </w:tr>
      <w:tr>
        <w:trPr>
          <w:trHeight w:val="218"/>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51555C"/>
              </w:rPr>
              <w:t>Chad M. Anderson</w:t>
            </w:r>
          </w:p>
        </w:tc>
      </w:tr>
      <w:tr>
        <w:trPr>
          <w:trHeight w:val="230"/>
        </w:trPr>
        <w:tc>
          <w:tcPr>
            <w:tcW w:w="3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39"/>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51555C"/>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817"/>
    </w:lvl>
  </w:abstractNum>
  <w:abstractNum w:abstractNumId="3">
    <w:nsid w:val="2443A858"/>
    <w:multiLevelType w:val="hybridMultilevel"/>
    <w:lvl w:ilvl="0">
      <w:lvlJc w:val="left"/>
      <w:lvlText w:val="\emdash "/>
      <w:numFmt w:val="bullet"/>
      <w:start w:val="1"/>
    </w:lvl>
  </w:abstractNum>
  <w:abstractNum w:abstractNumId="4">
    <w:nsid w:val="2D1D5AE9"/>
    <w:multiLevelType w:val="hybridMultilevel"/>
    <w:lvl w:ilvl="0">
      <w:lvlJc w:val="left"/>
      <w:lvlText w:val="(%1)"/>
      <w:numFmt w:val="decimal"/>
      <w:start w:val="939"/>
    </w:lvl>
  </w:abstractNum>
  <w:abstractNum w:abstractNumId="5">
    <w:nsid w:val="6763845E"/>
    <w:multiLevelType w:val="hybridMultilevel"/>
    <w:lvl w:ilvl="0">
      <w:lvlJc w:val="left"/>
      <w:lvlText w:val="6"/>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lvl w:ilvl="1">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Roman"/>
      <w:start w:val="2"/>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2026-10-28T15:16:33Z</dcterms:created>
  <dcterms:modified xsi:type="dcterms:W3CDTF">2026-10-28T15:16:33Z</dcterms:modified>
</cp:coreProperties>
</file>