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8563309.xml.htm"/>
      <w:bookmarkStart w:id="1" w:name="kswkform4a_17885633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McDearis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 FAIRCHILD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29492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BLACKBAUD INC</w:t>
              </w:r>
            </w:hyperlink>
            <w:r>
              <w:rPr/>
              <w:t xml:space="preserve"> [ </w:t>
            </w:r>
            <w:r>
              <w:rPr>
                <w:rFonts w:ascii="Times;serif" w:hAnsi="Times;serif"/>
                <w:color w:val="0000FF"/>
                <w:sz w:val="24"/>
                <w:shd w:fill="FFFFFF" w:val="clear"/>
              </w:rPr>
              <w:t>BLKB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02/20/2026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7,820</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117,271</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Compensation Committee determined that performance restricted stock units ("PRSUs") granted on February 19, 2025 would vest in three equal annual installments beginning on February 19, 2026, based on the Issuer achieving performance goals for the period ended December 31,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amendment corrects the Form 4 filed on February 20, 2026, which inadvertently omitted the PRSUs earned on February 19, 2026. The aggregate number of shares directly held by the reporting person as reported herein reflects the number of shares held immediately following the transaction reported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 Halle Vakani,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6951" TargetMode="External"/><Relationship Id="rId5" Type="http://schemas.openxmlformats.org/officeDocument/2006/relationships/hyperlink" Target="http://www.sec.gov/cgi-bin/browse-edgar?action=getcompany&amp;CIK=00012800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654</Words>
  <Characters>3593</Characters>
  <CharactersWithSpaces>4178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