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Calibri;sans-serif" w:hAnsi="Calibri;sans-serif"/>
          <w:b/>
          <w:color w:val="51555C"/>
          <w:sz w:val="22"/>
        </w:rPr>
      </w:pPr>
      <w:r>
        <w:rPr>
          <w:rFonts w:ascii="Calibri;sans-serif" w:hAnsi="Calibri;sans-serif"/>
          <w:b/>
          <w:color w:val="51555C"/>
          <w:sz w:val="22"/>
        </w:rPr>
        <w:t>UNITED STATES</w:t>
      </w:r>
    </w:p>
    <w:p>
      <w:pPr>
        <w:pStyle w:val="TextBody"/>
        <w:bidi w:val="0"/>
        <w:spacing w:lineRule="auto" w:line="288" w:before="0" w:after="0"/>
        <w:jc w:val="center"/>
        <w:rPr>
          <w:rFonts w:ascii="Calibri;sans-serif" w:hAnsi="Calibri;sans-serif"/>
          <w:b/>
          <w:color w:val="51555C"/>
          <w:sz w:val="22"/>
        </w:rPr>
      </w:pPr>
      <w:r>
        <w:rPr>
          <w:rFonts w:ascii="Calibri;sans-serif" w:hAnsi="Calibri;sans-serif"/>
          <w:b/>
          <w:color w:val="51555C"/>
          <w:sz w:val="22"/>
        </w:rPr>
        <w:t>SECURITIES AND EXCHANGE COMMISSION</w:t>
      </w:r>
    </w:p>
    <w:p>
      <w:pPr>
        <w:pStyle w:val="TextBody"/>
        <w:bidi w:val="0"/>
        <w:spacing w:lineRule="auto" w:line="288" w:before="180" w:after="283"/>
        <w:jc w:val="center"/>
        <w:rPr>
          <w:rFonts w:ascii="Calibri;sans-serif" w:hAnsi="Calibri;sans-serif"/>
          <w:b w:val="false"/>
          <w:color w:val="51555C"/>
          <w:sz w:val="20"/>
        </w:rPr>
      </w:pPr>
      <w:r>
        <w:rPr>
          <w:rFonts w:ascii="Calibri;sans-serif" w:hAnsi="Calibri;sans-serif"/>
          <w:b w:val="false"/>
          <w:color w:val="51555C"/>
          <w:sz w:val="20"/>
        </w:rPr>
        <w:t>Washington, D.C. 20549</w:t>
      </w:r>
    </w:p>
    <w:p>
      <w:pPr>
        <w:pStyle w:val="TextBody"/>
        <w:bidi w:val="0"/>
        <w:spacing w:lineRule="auto" w:line="288" w:before="120" w:after="120"/>
        <w:jc w:val="center"/>
        <w:rPr>
          <w:rFonts w:ascii="Calibri;sans-serif" w:hAnsi="Calibri;sans-serif"/>
          <w:b/>
          <w:color w:val="51555C"/>
          <w:sz w:val="28"/>
        </w:rPr>
      </w:pPr>
      <w:r>
        <w:rPr>
          <w:rFonts w:ascii="Calibri;sans-serif" w:hAnsi="Calibri;sans-serif"/>
          <w:b/>
          <w:color w:val="51555C"/>
          <w:sz w:val="28"/>
        </w:rPr>
        <w:t>FORM 10-Q</w:t>
      </w:r>
    </w:p>
    <w:tbl>
      <w:tblPr>
        <w:tblW w:w="8172" w:type="dxa"/>
        <w:jc w:val="left"/>
        <w:tblInd w:w="0" w:type="dxa"/>
        <w:tblLayout w:type="fixed"/>
        <w:tblCellMar>
          <w:top w:w="28" w:type="dxa"/>
          <w:left w:w="28" w:type="dxa"/>
          <w:bottom w:w="28" w:type="dxa"/>
          <w:right w:w="28" w:type="dxa"/>
        </w:tblCellMar>
      </w:tblPr>
      <w:tblGrid>
        <w:gridCol w:w="124"/>
        <w:gridCol w:w="109"/>
        <w:gridCol w:w="109"/>
        <w:gridCol w:w="2287"/>
        <w:gridCol w:w="2287"/>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7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For the quarterly period ended March 31, 2024</w:t>
            </w:r>
          </w:p>
        </w:tc>
      </w:tr>
    </w:tbl>
    <w:p>
      <w:pPr>
        <w:pStyle w:val="TextBody"/>
        <w:bidi w:val="0"/>
        <w:spacing w:lineRule="auto" w:line="288" w:before="0" w:after="0"/>
        <w:jc w:val="center"/>
        <w:rPr>
          <w:rFonts w:ascii="Calibri;sans-serif" w:hAnsi="Calibri;sans-serif"/>
          <w:b/>
          <w:color w:val="51555C"/>
          <w:sz w:val="18"/>
        </w:rPr>
      </w:pPr>
      <w:r>
        <w:rPr>
          <w:rFonts w:ascii="Calibri;sans-serif" w:hAnsi="Calibri;sans-serif"/>
          <w:b/>
          <w:color w:val="51555C"/>
          <w:sz w:val="18"/>
        </w:rPr>
        <w:t>or</w:t>
      </w:r>
    </w:p>
    <w:tbl>
      <w:tblPr>
        <w:tblW w:w="8201" w:type="dxa"/>
        <w:jc w:val="left"/>
        <w:tblInd w:w="0" w:type="dxa"/>
        <w:tblLayout w:type="fixed"/>
        <w:tblCellMar>
          <w:top w:w="28" w:type="dxa"/>
          <w:left w:w="28" w:type="dxa"/>
          <w:bottom w:w="28" w:type="dxa"/>
          <w:right w:w="28" w:type="dxa"/>
        </w:tblCellMar>
      </w:tblPr>
      <w:tblGrid>
        <w:gridCol w:w="124"/>
        <w:gridCol w:w="109"/>
        <w:gridCol w:w="109"/>
        <w:gridCol w:w="2297"/>
        <w:gridCol w:w="2297"/>
        <w:gridCol w:w="32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7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8"/>
              </w:rPr>
              <w:t xml:space="preserve">For the transition period from </w:t>
            </w:r>
            <w:r>
              <w:rPr>
                <w:color w:val="51555C"/>
                <w:u w:val="single"/>
              </w:rPr>
              <w:t>                   </w:t>
            </w:r>
            <w:r>
              <w:rPr>
                <w:color w:val="51555C"/>
              </w:rPr>
              <w:t> </w:t>
            </w:r>
            <w:r>
              <w:rPr>
                <w:rFonts w:ascii="Calibri;sans-serif" w:hAnsi="Calibri;sans-serif"/>
                <w:b w:val="false"/>
                <w:color w:val="51555C"/>
                <w:sz w:val="18"/>
              </w:rPr>
              <w:t xml:space="preserve">to </w:t>
            </w:r>
            <w:r>
              <w:rPr>
                <w:color w:val="51555C"/>
                <w:u w:val="single"/>
              </w:rPr>
              <w:t>                    </w:t>
            </w:r>
            <w:r>
              <w:rPr>
                <w:rFonts w:ascii="Calibri;sans-serif" w:hAnsi="Calibri;sans-serif"/>
                <w:b w:val="false"/>
                <w:color w:val="51555C"/>
                <w:sz w:val="18"/>
              </w:rPr>
              <w:t>.</w:t>
            </w:r>
          </w:p>
        </w:tc>
      </w:tr>
    </w:tbl>
    <w:p>
      <w:pPr>
        <w:pStyle w:val="TextBody"/>
        <w:bidi w:val="0"/>
        <w:spacing w:lineRule="auto" w:line="288" w:before="60" w:after="283"/>
        <w:jc w:val="center"/>
        <w:rPr/>
      </w:pPr>
      <w:r>
        <w:rPr>
          <w:rFonts w:ascii="Calibri;sans-serif" w:hAnsi="Calibri;sans-serif"/>
          <w:b w:val="false"/>
          <w:color w:val="51555C"/>
          <w:sz w:val="18"/>
        </w:rPr>
        <w:t xml:space="preserve">Commission file number: </w:t>
      </w:r>
      <w:r>
        <w:rPr>
          <w:rFonts w:ascii="Calibri;sans-serif" w:hAnsi="Calibri;sans-serif"/>
          <w:b/>
          <w:color w:val="51555C"/>
          <w:sz w:val="18"/>
        </w:rPr>
        <w:t>000-50600</w:t>
      </w:r>
      <w:r>
        <w:rPr>
          <w:color w:val="51555C"/>
        </w:rPr>
        <w:t xml:space="preserve"> </w:t>
      </w:r>
    </w:p>
    <w:tbl>
      <w:tblPr>
        <w:tblW w:w="5090" w:type="dxa"/>
        <w:jc w:val="left"/>
        <w:tblInd w:w="0" w:type="dxa"/>
        <w:tblLayout w:type="fixed"/>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Calibri;sans-serif" w:hAnsi="Calibri;sans-serif"/>
          <w:b/>
          <w:color w:val="51555C"/>
          <w:sz w:val="40"/>
        </w:rPr>
        <w:t>Blackbaud, Inc.</w:t>
      </w:r>
      <w:r>
        <w:rPr>
          <w:color w:val="51555C"/>
        </w:rPr>
        <w:t xml:space="preserve"> </w:t>
      </w:r>
    </w:p>
    <w:p>
      <w:pPr>
        <w:pStyle w:val="TextBody"/>
        <w:bidi w:val="0"/>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(Exact name of registrant as specified in its charter)</w:t>
      </w:r>
    </w:p>
    <w:tbl>
      <w:tblPr>
        <w:tblW w:w="7169" w:type="dxa"/>
        <w:jc w:val="left"/>
        <w:tblInd w:w="0" w:type="dxa"/>
        <w:tblLayout w:type="fixed"/>
        <w:tblCellMar>
          <w:top w:w="28" w:type="dxa"/>
          <w:left w:w="28" w:type="dxa"/>
          <w:bottom w:w="28" w:type="dxa"/>
          <w:right w:w="28" w:type="dxa"/>
        </w:tblCellMar>
      </w:tblPr>
      <w:tblGrid>
        <w:gridCol w:w="1620"/>
        <w:gridCol w:w="1428"/>
        <w:gridCol w:w="1436"/>
        <w:gridCol w:w="783"/>
        <w:gridCol w:w="783"/>
        <w:gridCol w:w="1119"/>
      </w:tblGrid>
      <w:tr>
        <w:trPr/>
        <w:tc>
          <w:tcPr>
            <w:tcW w:w="162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Delaware</w:t>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11-2617163</w:t>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(State or other jurisdiction of incorporation or organization)</w:t>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(I.R.S. Employer Identification No.)</w:t>
            </w:r>
          </w:p>
        </w:tc>
      </w:tr>
    </w:tbl>
    <w:p>
      <w:pPr>
        <w:pStyle w:val="TextBody"/>
        <w:bidi w:val="0"/>
        <w:spacing w:lineRule="auto" w:line="288" w:before="0" w:after="0"/>
        <w:jc w:val="center"/>
        <w:rPr>
          <w:rFonts w:ascii="Calibri;sans-serif" w:hAnsi="Calibri;sans-serif"/>
          <w:b/>
          <w:color w:val="51555C"/>
          <w:sz w:val="18"/>
        </w:rPr>
      </w:pPr>
      <w:r>
        <w:rPr>
          <w:rFonts w:ascii="Calibri;sans-serif" w:hAnsi="Calibri;sans-serif"/>
          <w:b/>
          <w:color w:val="51555C"/>
          <w:sz w:val="18"/>
        </w:rPr>
        <w:t xml:space="preserve">65 Fairchild Street </w:t>
      </w:r>
    </w:p>
    <w:p>
      <w:pPr>
        <w:pStyle w:val="TextBody"/>
        <w:bidi w:val="0"/>
        <w:spacing w:lineRule="auto" w:line="288" w:before="0" w:after="0"/>
        <w:jc w:val="center"/>
        <w:rPr>
          <w:rFonts w:ascii="Calibri;sans-serif" w:hAnsi="Calibri;sans-serif"/>
          <w:b/>
          <w:color w:val="51555C"/>
          <w:sz w:val="18"/>
        </w:rPr>
      </w:pPr>
      <w:r>
        <w:rPr>
          <w:rFonts w:ascii="Calibri;sans-serif" w:hAnsi="Calibri;sans-serif"/>
          <w:b/>
          <w:color w:val="51555C"/>
          <w:sz w:val="18"/>
        </w:rPr>
        <w:t xml:space="preserve">Charleston, South Carolina 29492 </w:t>
      </w:r>
    </w:p>
    <w:p>
      <w:pPr>
        <w:pStyle w:val="TextBody"/>
        <w:bidi w:val="0"/>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(Address of principal executive offices, including zip code)</w:t>
      </w:r>
    </w:p>
    <w:p>
      <w:pPr>
        <w:pStyle w:val="TextBody"/>
        <w:bidi w:val="0"/>
        <w:spacing w:lineRule="auto" w:line="288" w:before="0" w:after="0"/>
        <w:jc w:val="center"/>
        <w:rPr/>
      </w:pPr>
      <w:r>
        <w:rPr>
          <w:rFonts w:ascii="Calibri;sans-serif" w:hAnsi="Calibri;sans-serif"/>
          <w:b/>
          <w:color w:val="51555C"/>
          <w:sz w:val="18"/>
        </w:rPr>
        <w:t>(843) 216-6200</w:t>
      </w:r>
      <w:r>
        <w:rPr>
          <w:color w:val="51555C"/>
        </w:rPr>
        <w:t xml:space="preserve"> </w:t>
      </w:r>
    </w:p>
    <w:p>
      <w:pPr>
        <w:pStyle w:val="TextBody"/>
        <w:bidi w:val="0"/>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(Registrant’s telephone number, including area code)</w:t>
      </w:r>
    </w:p>
    <w:tbl>
      <w:tblPr>
        <w:tblW w:w="7470" w:type="dxa"/>
        <w:jc w:val="left"/>
        <w:tblInd w:w="0" w:type="dxa"/>
        <w:tblLayout w:type="fixed"/>
        <w:tblCellMar>
          <w:top w:w="28" w:type="dxa"/>
          <w:left w:w="28" w:type="dxa"/>
          <w:bottom w:w="28" w:type="dxa"/>
          <w:right w:w="28" w:type="dxa"/>
        </w:tblCellMar>
      </w:tblPr>
      <w:tblGrid>
        <w:gridCol w:w="929"/>
        <w:gridCol w:w="818"/>
        <w:gridCol w:w="818"/>
        <w:gridCol w:w="480"/>
        <w:gridCol w:w="480"/>
        <w:gridCol w:w="480"/>
        <w:gridCol w:w="1016"/>
        <w:gridCol w:w="1016"/>
        <w:gridCol w:w="1433"/>
      </w:tblGrid>
      <w:tr>
        <w:trPr/>
        <w:tc>
          <w:tcPr>
            <w:tcW w:w="9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Securities Registered Pursuant to Section 12(b) of the Act:</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Title of Each Class</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Name of Each Exchange on which Registered</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Common Stock, $0.001 Par Value</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BLKB</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Nasdaq Global Select Market</w:t>
            </w:r>
          </w:p>
        </w:tc>
      </w:tr>
      <w:tr>
        <w:trPr/>
        <w:tc>
          <w:tcPr>
            <w:tcW w:w="2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jc w:val="both"/>
        <w:rPr/>
      </w:pPr>
      <w:r>
        <w:rPr>
          <w:rFonts w:ascii="Calibri;sans-serif" w:hAnsi="Calibri;sans-serif"/>
          <w:b w:val="false"/>
          <w:color w:val="51555C"/>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51555C"/>
        </w:rPr>
        <w:t xml:space="preserve">    </w:t>
      </w:r>
    </w:p>
    <w:p>
      <w:pPr>
        <w:pStyle w:val="TextBody"/>
        <w:bidi w:val="0"/>
        <w:spacing w:lineRule="auto" w:line="288" w:before="0" w:after="0"/>
        <w:jc w:val="left"/>
        <w:rPr/>
      </w:pPr>
      <w:r>
        <w:rPr>
          <w:rFonts w:ascii="Calibri;sans-serif" w:hAnsi="Calibri;sans-serif"/>
          <w:b w:val="false"/>
          <w:color w:val="51555C"/>
          <w:sz w:val="18"/>
        </w:rPr>
        <w:t>Yes</w:t>
      </w:r>
      <w:r>
        <w:rPr>
          <w:color w:val="51555C"/>
        </w:rPr>
        <w:t>  ☑   </w:t>
      </w:r>
      <w:r>
        <w:rPr>
          <w:rFonts w:ascii="Calibri;sans-serif" w:hAnsi="Calibri;sans-serif"/>
          <w:b w:val="false"/>
          <w:color w:val="51555C"/>
          <w:sz w:val="18"/>
        </w:rPr>
        <w:t>No</w:t>
      </w:r>
      <w:r>
        <w:rPr>
          <w:color w:val="51555C"/>
        </w:rPr>
        <w:t>  ☐</w:t>
      </w:r>
    </w:p>
    <w:p>
      <w:pPr>
        <w:pStyle w:val="TextBody"/>
        <w:bidi w:val="0"/>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288" w:before="0" w:after="0"/>
        <w:jc w:val="left"/>
        <w:rPr/>
      </w:pPr>
      <w:r>
        <w:rPr>
          <w:rFonts w:ascii="Calibri;sans-serif" w:hAnsi="Calibri;sans-serif"/>
          <w:b w:val="false"/>
          <w:color w:val="51555C"/>
          <w:sz w:val="18"/>
        </w:rPr>
        <w:t>Yes</w:t>
      </w:r>
      <w:r>
        <w:rPr>
          <w:color w:val="51555C"/>
        </w:rPr>
        <w:t>  ☑   </w:t>
      </w:r>
      <w:r>
        <w:rPr>
          <w:rFonts w:ascii="Calibri;sans-serif" w:hAnsi="Calibri;sans-serif"/>
          <w:b w:val="false"/>
          <w:color w:val="51555C"/>
          <w:sz w:val="18"/>
        </w:rPr>
        <w:t>No</w:t>
      </w:r>
      <w:r>
        <w:rPr>
          <w:color w:val="51555C"/>
        </w:rPr>
        <w:t>  ☐</w:t>
      </w:r>
    </w:p>
    <w:p>
      <w:pPr>
        <w:pStyle w:val="TextBody"/>
        <w:bidi w:val="0"/>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2" w:type="dxa"/>
        <w:jc w:val="left"/>
        <w:tblInd w:w="0" w:type="dxa"/>
        <w:tblLayout w:type="fixed"/>
        <w:tblCellMar>
          <w:top w:w="28" w:type="dxa"/>
          <w:left w:w="28" w:type="dxa"/>
          <w:bottom w:w="28" w:type="dxa"/>
          <w:right w:w="28" w:type="dxa"/>
        </w:tblCellMar>
      </w:tblPr>
      <w:tblGrid>
        <w:gridCol w:w="635"/>
        <w:gridCol w:w="559"/>
        <w:gridCol w:w="561"/>
        <w:gridCol w:w="109"/>
        <w:gridCol w:w="109"/>
        <w:gridCol w:w="109"/>
        <w:gridCol w:w="109"/>
        <w:gridCol w:w="109"/>
        <w:gridCol w:w="109"/>
        <w:gridCol w:w="699"/>
        <w:gridCol w:w="699"/>
        <w:gridCol w:w="703"/>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bl>
    <w:p>
      <w:pPr>
        <w:pStyle w:val="TextBody"/>
        <w:bidi w:val="0"/>
        <w:spacing w:lineRule="auto" w:line="288" w:before="0" w:after="0"/>
        <w:jc w:val="both"/>
        <w:rPr/>
      </w:pPr>
      <w:r>
        <w:rPr>
          <w:rFonts w:ascii="Calibri;sans-serif" w:hAnsi="Calibri;sans-serif"/>
          <w:b w:val="false"/>
          <w:color w:val="51555C"/>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51555C"/>
        </w:rPr>
        <w:t xml:space="preserve"> ☐</w:t>
      </w:r>
    </w:p>
    <w:p>
      <w:pPr>
        <w:pStyle w:val="TextBody"/>
        <w:bidi w:val="0"/>
        <w:spacing w:lineRule="auto" w:line="288" w:before="120" w:after="283"/>
        <w:jc w:val="both"/>
        <w:rPr/>
      </w:pPr>
      <w:r>
        <w:rPr>
          <w:rFonts w:ascii="Calibri;sans-serif" w:hAnsi="Calibri;sans-serif"/>
          <w:b w:val="false"/>
          <w:color w:val="51555C"/>
          <w:sz w:val="18"/>
        </w:rPr>
        <w:t>Indicate by check mark whether registrant is a shell company (as defined in Rule 12b-2 of the Exchange Act).</w:t>
      </w:r>
      <w:r>
        <w:rPr>
          <w:color w:val="51555C"/>
        </w:rPr>
        <w:t>    </w:t>
      </w:r>
    </w:p>
    <w:p>
      <w:pPr>
        <w:pStyle w:val="TextBody"/>
        <w:bidi w:val="0"/>
        <w:spacing w:lineRule="auto" w:line="288" w:before="0" w:after="0"/>
        <w:jc w:val="left"/>
        <w:rPr/>
      </w:pPr>
      <w:r>
        <w:rPr>
          <w:rFonts w:ascii="Calibri;sans-serif" w:hAnsi="Calibri;sans-serif"/>
          <w:b w:val="false"/>
          <w:color w:val="51555C"/>
          <w:sz w:val="18"/>
        </w:rPr>
        <w:t>Yes</w:t>
      </w:r>
      <w:r>
        <w:rPr>
          <w:color w:val="51555C"/>
        </w:rPr>
        <w:t xml:space="preserve"> ☐  </w:t>
      </w:r>
      <w:r>
        <w:rPr>
          <w:rFonts w:ascii="Calibri;sans-serif" w:hAnsi="Calibri;sans-serif"/>
          <w:b w:val="false"/>
          <w:color w:val="51555C"/>
          <w:sz w:val="18"/>
        </w:rPr>
        <w:t>No</w:t>
      </w:r>
      <w:r>
        <w:rPr>
          <w:color w:val="51555C"/>
        </w:rPr>
        <w:t>  ☑    </w:t>
      </w:r>
    </w:p>
    <w:p>
      <w:pPr>
        <w:pStyle w:val="TextBody"/>
        <w:bidi w:val="0"/>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The number of shares of the registrant’s Common Stock outstanding as of April 29, 2024 was 51,626,076.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Calibri;sans-serif" w:hAnsi="Calibri;sans-serif"/>
          <w:b/>
          <w:color w:val="50535A"/>
          <w:sz w:val="44"/>
        </w:rPr>
      </w:pPr>
      <w:r>
        <w:rPr>
          <w:rFonts w:ascii="Calibri;sans-serif" w:hAnsi="Calibri;sans-serif"/>
          <w:b/>
          <w:color w:val="50535A"/>
          <w:sz w:val="44"/>
        </w:rPr>
        <w:t>TABLE OF CONTENTS</w:t>
      </w:r>
    </w:p>
    <w:tbl>
      <w:tblPr>
        <w:tblW w:w="10205" w:type="dxa"/>
        <w:jc w:val="left"/>
        <w:tblInd w:w="0" w:type="dxa"/>
        <w:tblLayout w:type="fixed"/>
        <w:tblCellMar>
          <w:top w:w="28" w:type="dxa"/>
          <w:left w:w="28" w:type="dxa"/>
          <w:bottom w:w="28" w:type="dxa"/>
          <w:right w:w="28" w:type="dxa"/>
        </w:tblCellMar>
      </w:tblPr>
      <w:tblGrid>
        <w:gridCol w:w="1214"/>
        <w:gridCol w:w="1066"/>
        <w:gridCol w:w="1066"/>
        <w:gridCol w:w="2172"/>
        <w:gridCol w:w="2137"/>
        <w:gridCol w:w="2156"/>
        <w:gridCol w:w="114"/>
        <w:gridCol w:w="114"/>
        <w:gridCol w:w="166"/>
      </w:tblGrid>
      <w:tr>
        <w:trPr/>
        <w:tc>
          <w:tcPr>
            <w:tcW w:w="121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19">
              <w:r>
                <w:rPr>
                  <w:rStyle w:val="InternetLink"/>
                  <w:rFonts w:ascii="Calibri;sans-serif" w:hAnsi="Calibri;sans-serif"/>
                  <w:b/>
                  <w:strike w:val="false"/>
                  <w:dstrike w:val="false"/>
                  <w:color w:val="004054"/>
                  <w:sz w:val="22"/>
                  <w:u w:val="none"/>
                  <w:effect w:val="none"/>
                </w:rPr>
                <w:t>CAUTIONARY STATEMENT REGARDING FORWARD-LOOKING STATEMENTS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19">
              <w:r>
                <w:rPr>
                  <w:rStyle w:val="InternetLink"/>
                  <w:rFonts w:ascii="Calibri;sans-serif" w:hAnsi="Calibri;sans-serif"/>
                  <w:b/>
                  <w:strike w:val="false"/>
                  <w:dstrike w:val="false"/>
                  <w:color w:val="004054"/>
                  <w:sz w:val="22"/>
                  <w:u w:val="none"/>
                  <w:effect w:val="none"/>
                </w:rPr>
                <w:t>2</w:t>
              </w:r>
            </w:hyperlink>
          </w:p>
        </w:tc>
      </w:tr>
      <w:tr>
        <w:trPr/>
        <w:tc>
          <w:tcPr>
            <w:tcW w:w="3346"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6465"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2">
              <w:r>
                <w:rPr>
                  <w:rStyle w:val="InternetLink"/>
                  <w:rFonts w:ascii="Calibri;sans-serif" w:hAnsi="Calibri;sans-serif"/>
                  <w:b/>
                  <w:strike w:val="false"/>
                  <w:dstrike w:val="false"/>
                  <w:color w:val="004054"/>
                  <w:sz w:val="22"/>
                  <w:u w:val="none"/>
                  <w:effect w:val="none"/>
                </w:rPr>
                <w:t>PART I.</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2">
              <w:r>
                <w:rPr>
                  <w:rStyle w:val="InternetLink"/>
                  <w:rFonts w:ascii="Calibri;sans-serif" w:hAnsi="Calibri;sans-serif"/>
                  <w:b/>
                  <w:strike w:val="false"/>
                  <w:dstrike w:val="false"/>
                  <w:color w:val="004054"/>
                  <w:sz w:val="22"/>
                  <w:u w:val="none"/>
                  <w:effect w:val="none"/>
                </w:rPr>
                <w:t>FINANCIAL INFORMATION</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2">
              <w:r>
                <w:rPr>
                  <w:rStyle w:val="InternetLink"/>
                  <w:rFonts w:ascii="Calibri;sans-serif" w:hAnsi="Calibri;sans-serif"/>
                  <w:b/>
                  <w:strike w:val="false"/>
                  <w:dstrike w:val="false"/>
                  <w:color w:val="004054"/>
                  <w:sz w:val="22"/>
                  <w:u w:val="none"/>
                  <w:effect w:val="none"/>
                </w:rPr>
                <w:t>3</w:t>
              </w:r>
            </w:hyperlink>
          </w:p>
        </w:tc>
      </w:tr>
      <w:tr>
        <w:trPr/>
        <w:tc>
          <w:tcPr>
            <w:tcW w:w="334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5">
              <w:r>
                <w:rPr>
                  <w:rStyle w:val="InternetLink"/>
                  <w:rFonts w:ascii="Calibri;sans-serif" w:hAnsi="Calibri;sans-serif"/>
                  <w:b w:val="false"/>
                  <w:strike w:val="false"/>
                  <w:dstrike w:val="false"/>
                  <w:color w:val="51555C"/>
                  <w:sz w:val="20"/>
                  <w:u w:val="none"/>
                  <w:effect w:val="non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5">
              <w:r>
                <w:rPr>
                  <w:rStyle w:val="InternetLink"/>
                  <w:rFonts w:ascii="Calibri;sans-serif" w:hAnsi="Calibri;sans-serif"/>
                  <w:b w:val="false"/>
                  <w:strike w:val="false"/>
                  <w:dstrike w:val="false"/>
                  <w:color w:val="51555C"/>
                  <w:sz w:val="20"/>
                  <w:u w:val="none"/>
                  <w:effect w:val="none"/>
                </w:rPr>
                <w:t>Financial statements</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8">
              <w:r>
                <w:rPr>
                  <w:rStyle w:val="InternetLink"/>
                  <w:rFonts w:ascii="Calibri;sans-serif" w:hAnsi="Calibri;sans-serif"/>
                  <w:b w:val="false"/>
                  <w:strike w:val="false"/>
                  <w:dstrike w:val="false"/>
                  <w:color w:val="51555C"/>
                  <w:sz w:val="20"/>
                  <w:u w:val="none"/>
                  <w:effect w:val="none"/>
                </w:rPr>
                <w:t>Condensed Consolidated Balance Sheets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8">
              <w:r>
                <w:rPr>
                  <w:rStyle w:val="InternetLink"/>
                  <w:rFonts w:ascii="Calibri;sans-serif" w:hAnsi="Calibri;sans-serif"/>
                  <w:b w:val="false"/>
                  <w:strike w:val="false"/>
                  <w:dstrike w:val="false"/>
                  <w:color w:val="000000"/>
                  <w:sz w:val="20"/>
                  <w:u w:val="none"/>
                  <w:effect w:val="none"/>
                </w:rPr>
                <w:t>3</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31">
              <w:r>
                <w:rPr>
                  <w:rStyle w:val="InternetLink"/>
                  <w:rFonts w:ascii="Calibri;sans-serif" w:hAnsi="Calibri;sans-serif"/>
                  <w:b w:val="false"/>
                  <w:strike w:val="false"/>
                  <w:dstrike w:val="false"/>
                  <w:color w:val="51555C"/>
                  <w:sz w:val="20"/>
                  <w:u w:val="none"/>
                  <w:effect w:val="none"/>
                </w:rPr>
                <w:t xml:space="preserve">Condensed Consolidated Statements of Comprehensive </w:t>
              </w:r>
            </w:hyperlink>
            <w:r>
              <w:rPr>
                <w:rFonts w:ascii="Calibri;sans-serif" w:hAnsi="Calibri;sans-serif"/>
                <w:b w:val="false"/>
                <w:color w:val="51555C"/>
                <w:sz w:val="20"/>
              </w:rPr>
              <w:t>Income (Loss)</w:t>
            </w:r>
            <w:hyperlink w:anchor="id7cc69752cd840048be6c85b640c391a_31">
              <w:r>
                <w:rPr>
                  <w:rStyle w:val="InternetLink"/>
                  <w:rFonts w:ascii="Calibri;sans-serif" w:hAnsi="Calibri;sans-serif"/>
                  <w:b w:val="false"/>
                  <w:strike w:val="false"/>
                  <w:dstrike w:val="false"/>
                  <w:color w:val="51555C"/>
                  <w:sz w:val="20"/>
                  <w:u w:val="none"/>
                  <w:effect w:val="none"/>
                </w:rPr>
                <w:t xml:space="preserve">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31">
              <w:r>
                <w:rPr>
                  <w:rStyle w:val="InternetLink"/>
                  <w:rFonts w:ascii="Calibri;sans-serif" w:hAnsi="Calibri;sans-serif"/>
                  <w:b w:val="false"/>
                  <w:strike w:val="false"/>
                  <w:dstrike w:val="false"/>
                  <w:color w:val="000000"/>
                  <w:sz w:val="20"/>
                  <w:u w:val="none"/>
                  <w:effect w:val="none"/>
                </w:rPr>
                <w:t>4</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34">
              <w:r>
                <w:rPr>
                  <w:rStyle w:val="InternetLink"/>
                  <w:rFonts w:ascii="Calibri;sans-serif" w:hAnsi="Calibri;sans-serif"/>
                  <w:b w:val="false"/>
                  <w:strike w:val="false"/>
                  <w:dstrike w:val="false"/>
                  <w:color w:val="51555C"/>
                  <w:sz w:val="20"/>
                  <w:u w:val="none"/>
                  <w:effect w:val="none"/>
                </w:rPr>
                <w:t>Condensed Consolidated Statements of Cash Flows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34">
              <w:r>
                <w:rPr>
                  <w:rStyle w:val="InternetLink"/>
                  <w:rFonts w:ascii="Calibri;sans-serif" w:hAnsi="Calibri;sans-serif"/>
                  <w:b w:val="false"/>
                  <w:strike w:val="false"/>
                  <w:dstrike w:val="false"/>
                  <w:color w:val="000000"/>
                  <w:sz w:val="20"/>
                  <w:u w:val="none"/>
                  <w:effect w:val="none"/>
                </w:rPr>
                <w:t>5</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37">
              <w:r>
                <w:rPr>
                  <w:rStyle w:val="InternetLink"/>
                  <w:rFonts w:ascii="Calibri;sans-serif" w:hAnsi="Calibri;sans-serif"/>
                  <w:b w:val="false"/>
                  <w:strike w:val="false"/>
                  <w:dstrike w:val="false"/>
                  <w:color w:val="51555C"/>
                  <w:sz w:val="20"/>
                  <w:u w:val="none"/>
                  <w:effect w:val="none"/>
                </w:rPr>
                <w:t>Condensed Consolidated Statements of Stockholders’ Equity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37">
              <w:r>
                <w:rPr>
                  <w:rStyle w:val="InternetLink"/>
                  <w:rFonts w:ascii="Calibri;sans-serif" w:hAnsi="Calibri;sans-serif"/>
                  <w:b w:val="false"/>
                  <w:strike w:val="false"/>
                  <w:dstrike w:val="false"/>
                  <w:color w:val="000000"/>
                  <w:sz w:val="20"/>
                  <w:u w:val="none"/>
                  <w:effect w:val="none"/>
                </w:rPr>
                <w:t>6</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40">
              <w:r>
                <w:rPr>
                  <w:rStyle w:val="InternetLink"/>
                  <w:rFonts w:ascii="Calibri;sans-serif" w:hAnsi="Calibri;sans-serif"/>
                  <w:b w:val="false"/>
                  <w:strike w:val="false"/>
                  <w:dstrike w:val="false"/>
                  <w:color w:val="51555C"/>
                  <w:sz w:val="20"/>
                  <w:u w:val="none"/>
                  <w:effect w:val="none"/>
                </w:rPr>
                <w:t>Notes to Condensed Consolidated Financial Statements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40">
              <w:r>
                <w:rPr>
                  <w:rStyle w:val="InternetLink"/>
                  <w:rFonts w:ascii="Calibri;sans-serif" w:hAnsi="Calibri;sans-serif"/>
                  <w:b w:val="false"/>
                  <w:strike w:val="false"/>
                  <w:dstrike w:val="false"/>
                  <w:color w:val="000000"/>
                  <w:sz w:val="20"/>
                  <w:u w:val="none"/>
                  <w:effect w:val="none"/>
                </w:rPr>
                <w:t>7</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106">
              <w:r>
                <w:rPr>
                  <w:rStyle w:val="InternetLink"/>
                  <w:rFonts w:ascii="Calibri;sans-serif" w:hAnsi="Calibri;sans-serif"/>
                  <w:b w:val="false"/>
                  <w:strike w:val="false"/>
                  <w:dstrike w:val="false"/>
                  <w:color w:val="51555C"/>
                  <w:sz w:val="20"/>
                  <w:u w:val="none"/>
                  <w:effect w:val="non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106">
              <w:r>
                <w:rPr>
                  <w:rStyle w:val="InternetLink"/>
                  <w:rFonts w:ascii="Calibri;sans-serif" w:hAnsi="Calibri;sans-serif"/>
                  <w:b w:val="false"/>
                  <w:strike w:val="false"/>
                  <w:dstrike w:val="false"/>
                  <w:color w:val="51555C"/>
                  <w:sz w:val="20"/>
                  <w:u w:val="none"/>
                  <w:effect w:val="none"/>
                </w:rPr>
                <w:t>Management's discussion and analysis of financial condition and results of operations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106">
              <w:r>
                <w:rPr>
                  <w:rStyle w:val="InternetLink"/>
                  <w:rFonts w:ascii="Calibri;sans-serif" w:hAnsi="Calibri;sans-serif"/>
                  <w:b w:val="false"/>
                  <w:strike w:val="false"/>
                  <w:dstrike w:val="false"/>
                  <w:color w:val="000000"/>
                  <w:sz w:val="20"/>
                  <w:u w:val="none"/>
                  <w:effect w:val="none"/>
                </w:rPr>
                <w:t>24</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199">
              <w:r>
                <w:rPr>
                  <w:rStyle w:val="InternetLink"/>
                  <w:rFonts w:ascii="Calibri;sans-serif" w:hAnsi="Calibri;sans-serif"/>
                  <w:b w:val="false"/>
                  <w:strike w:val="false"/>
                  <w:dstrike w:val="false"/>
                  <w:color w:val="51555C"/>
                  <w:sz w:val="20"/>
                  <w:u w:val="none"/>
                  <w:effect w:val="none"/>
                </w:rPr>
                <w:t>Item 3.</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199">
              <w:r>
                <w:rPr>
                  <w:rStyle w:val="InternetLink"/>
                  <w:rFonts w:ascii="Calibri;sans-serif" w:hAnsi="Calibri;sans-serif"/>
                  <w:b w:val="false"/>
                  <w:strike w:val="false"/>
                  <w:dstrike w:val="false"/>
                  <w:color w:val="51555C"/>
                  <w:sz w:val="20"/>
                  <w:u w:val="none"/>
                  <w:effect w:val="none"/>
                </w:rPr>
                <w:t>Quantitative and qualitative disclosures about market risk</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199">
              <w:r>
                <w:rPr>
                  <w:rStyle w:val="InternetLink"/>
                  <w:rFonts w:ascii="Calibri;sans-serif" w:hAnsi="Calibri;sans-serif"/>
                  <w:b w:val="false"/>
                  <w:strike w:val="false"/>
                  <w:dstrike w:val="false"/>
                  <w:color w:val="000000"/>
                  <w:sz w:val="20"/>
                  <w:u w:val="none"/>
                  <w:effect w:val="none"/>
                </w:rPr>
                <w:t>43</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02">
              <w:r>
                <w:rPr>
                  <w:rStyle w:val="InternetLink"/>
                  <w:rFonts w:ascii="Calibri;sans-serif" w:hAnsi="Calibri;sans-serif"/>
                  <w:b w:val="false"/>
                  <w:strike w:val="false"/>
                  <w:dstrike w:val="false"/>
                  <w:color w:val="51555C"/>
                  <w:sz w:val="20"/>
                  <w:u w:val="none"/>
                  <w:effect w:val="none"/>
                </w:rPr>
                <w:t>Item 4.</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02">
              <w:r>
                <w:rPr>
                  <w:rStyle w:val="InternetLink"/>
                  <w:rFonts w:ascii="Calibri;sans-serif" w:hAnsi="Calibri;sans-serif"/>
                  <w:b w:val="false"/>
                  <w:strike w:val="false"/>
                  <w:dstrike w:val="false"/>
                  <w:color w:val="51555C"/>
                  <w:sz w:val="20"/>
                  <w:u w:val="none"/>
                  <w:effect w:val="none"/>
                </w:rPr>
                <w:t>Controls and procedures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02">
              <w:r>
                <w:rPr>
                  <w:rStyle w:val="InternetLink"/>
                  <w:rFonts w:ascii="Calibri;sans-serif" w:hAnsi="Calibri;sans-serif"/>
                  <w:b w:val="false"/>
                  <w:strike w:val="false"/>
                  <w:dstrike w:val="false"/>
                  <w:color w:val="000000"/>
                  <w:sz w:val="20"/>
                  <w:u w:val="none"/>
                  <w:effect w:val="none"/>
                </w:rPr>
                <w:t>43</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05">
              <w:r>
                <w:rPr>
                  <w:rStyle w:val="InternetLink"/>
                  <w:rFonts w:ascii="Calibri;sans-serif" w:hAnsi="Calibri;sans-serif"/>
                  <w:b/>
                  <w:strike w:val="false"/>
                  <w:dstrike w:val="false"/>
                  <w:color w:val="004054"/>
                  <w:sz w:val="22"/>
                  <w:u w:val="none"/>
                  <w:effect w:val="none"/>
                </w:rPr>
                <w:t>PART II.</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05">
              <w:r>
                <w:rPr>
                  <w:rStyle w:val="InternetLink"/>
                  <w:rFonts w:ascii="Calibri;sans-serif" w:hAnsi="Calibri;sans-serif"/>
                  <w:b/>
                  <w:strike w:val="false"/>
                  <w:dstrike w:val="false"/>
                  <w:color w:val="004054"/>
                  <w:sz w:val="22"/>
                  <w:u w:val="none"/>
                  <w:effect w:val="none"/>
                </w:rPr>
                <w:t>OTHER INFORMATION</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05">
              <w:r>
                <w:rPr>
                  <w:rStyle w:val="InternetLink"/>
                  <w:rFonts w:ascii="Calibri;sans-serif" w:hAnsi="Calibri;sans-serif"/>
                  <w:b/>
                  <w:strike w:val="false"/>
                  <w:dstrike w:val="false"/>
                  <w:color w:val="004054"/>
                  <w:sz w:val="22"/>
                  <w:u w:val="none"/>
                  <w:effect w:val="none"/>
                </w:rPr>
                <w:t>45</w:t>
              </w:r>
            </w:hyperlink>
          </w:p>
        </w:tc>
      </w:tr>
      <w:tr>
        <w:trPr/>
        <w:tc>
          <w:tcPr>
            <w:tcW w:w="334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08">
              <w:r>
                <w:rPr>
                  <w:rStyle w:val="InternetLink"/>
                  <w:rFonts w:ascii="Calibri;sans-serif" w:hAnsi="Calibri;sans-serif"/>
                  <w:b w:val="false"/>
                  <w:strike w:val="false"/>
                  <w:dstrike w:val="false"/>
                  <w:color w:val="51555C"/>
                  <w:sz w:val="20"/>
                  <w:u w:val="none"/>
                  <w:effect w:val="non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08">
              <w:r>
                <w:rPr>
                  <w:rStyle w:val="InternetLink"/>
                  <w:rFonts w:ascii="Calibri;sans-serif" w:hAnsi="Calibri;sans-serif"/>
                  <w:b w:val="false"/>
                  <w:strike w:val="false"/>
                  <w:dstrike w:val="false"/>
                  <w:color w:val="51555C"/>
                  <w:sz w:val="20"/>
                  <w:u w:val="none"/>
                  <w:effect w:val="none"/>
                </w:rPr>
                <w:t>Legal proceedings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08">
              <w:r>
                <w:rPr>
                  <w:rStyle w:val="InternetLink"/>
                  <w:rFonts w:ascii="Calibri;sans-serif" w:hAnsi="Calibri;sans-serif"/>
                  <w:b w:val="false"/>
                  <w:strike w:val="false"/>
                  <w:dstrike w:val="false"/>
                  <w:color w:val="000000"/>
                  <w:sz w:val="20"/>
                  <w:u w:val="none"/>
                  <w:effect w:val="none"/>
                </w:rPr>
                <w:t>45</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11">
              <w:r>
                <w:rPr>
                  <w:rStyle w:val="InternetLink"/>
                  <w:rFonts w:ascii="Calibri;sans-serif" w:hAnsi="Calibri;sans-serif"/>
                  <w:b w:val="false"/>
                  <w:strike w:val="false"/>
                  <w:dstrike w:val="false"/>
                  <w:color w:val="51555C"/>
                  <w:sz w:val="20"/>
                  <w:u w:val="none"/>
                  <w:effect w:val="none"/>
                </w:rPr>
                <w:t>Item 1A.</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11">
              <w:r>
                <w:rPr>
                  <w:rStyle w:val="InternetLink"/>
                  <w:rFonts w:ascii="Calibri;sans-serif" w:hAnsi="Calibri;sans-serif"/>
                  <w:b w:val="false"/>
                  <w:strike w:val="false"/>
                  <w:dstrike w:val="false"/>
                  <w:color w:val="51555C"/>
                  <w:sz w:val="20"/>
                  <w:u w:val="none"/>
                  <w:effect w:val="none"/>
                </w:rPr>
                <w:t>Risk factors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11">
              <w:r>
                <w:rPr>
                  <w:rStyle w:val="InternetLink"/>
                  <w:rFonts w:ascii="Calibri;sans-serif" w:hAnsi="Calibri;sans-serif"/>
                  <w:b w:val="false"/>
                  <w:strike w:val="false"/>
                  <w:dstrike w:val="false"/>
                  <w:color w:val="000000"/>
                  <w:sz w:val="20"/>
                  <w:u w:val="none"/>
                  <w:effect w:val="none"/>
                </w:rPr>
                <w:t>45</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14">
              <w:r>
                <w:rPr>
                  <w:rStyle w:val="InternetLink"/>
                  <w:rFonts w:ascii="Calibri;sans-serif" w:hAnsi="Calibri;sans-serif"/>
                  <w:b w:val="false"/>
                  <w:strike w:val="false"/>
                  <w:dstrike w:val="false"/>
                  <w:color w:val="51555C"/>
                  <w:sz w:val="20"/>
                  <w:u w:val="none"/>
                  <w:effect w:val="non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14">
              <w:r>
                <w:rPr>
                  <w:rStyle w:val="InternetLink"/>
                  <w:rFonts w:ascii="Calibri;sans-serif" w:hAnsi="Calibri;sans-serif"/>
                  <w:b w:val="false"/>
                  <w:strike w:val="false"/>
                  <w:dstrike w:val="false"/>
                  <w:color w:val="51555C"/>
                  <w:sz w:val="20"/>
                  <w:u w:val="none"/>
                  <w:effect w:val="none"/>
                </w:rPr>
                <w:t>Unregistered sales of equity securities and use of proceeds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14">
              <w:r>
                <w:rPr>
                  <w:rStyle w:val="InternetLink"/>
                  <w:rFonts w:ascii="Calibri;sans-serif" w:hAnsi="Calibri;sans-serif"/>
                  <w:b w:val="false"/>
                  <w:strike w:val="false"/>
                  <w:dstrike w:val="false"/>
                  <w:color w:val="000000"/>
                  <w:sz w:val="20"/>
                  <w:u w:val="none"/>
                  <w:effect w:val="none"/>
                </w:rPr>
                <w:t>49</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17">
              <w:r>
                <w:rPr>
                  <w:rStyle w:val="InternetLink"/>
                  <w:rFonts w:ascii="Calibri;sans-serif" w:hAnsi="Calibri;sans-serif"/>
                  <w:b w:val="false"/>
                  <w:strike w:val="false"/>
                  <w:dstrike w:val="false"/>
                  <w:color w:val="51555C"/>
                  <w:sz w:val="20"/>
                  <w:u w:val="none"/>
                  <w:effect w:val="none"/>
                </w:rPr>
                <w:t>Item 5.</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17">
              <w:r>
                <w:rPr>
                  <w:rStyle w:val="InternetLink"/>
                  <w:rFonts w:ascii="Calibri;sans-serif" w:hAnsi="Calibri;sans-serif"/>
                  <w:b w:val="false"/>
                  <w:strike w:val="false"/>
                  <w:dstrike w:val="false"/>
                  <w:color w:val="51555C"/>
                  <w:sz w:val="20"/>
                  <w:u w:val="none"/>
                  <w:effect w:val="none"/>
                </w:rPr>
                <w:t>Other information</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17">
              <w:r>
                <w:rPr>
                  <w:rStyle w:val="InternetLink"/>
                  <w:rFonts w:ascii="Calibri;sans-serif" w:hAnsi="Calibri;sans-serif"/>
                  <w:b w:val="false"/>
                  <w:strike w:val="false"/>
                  <w:dstrike w:val="false"/>
                  <w:color w:val="000000"/>
                  <w:sz w:val="20"/>
                  <w:u w:val="none"/>
                  <w:effect w:val="none"/>
                </w:rPr>
                <w:t>50</w:t>
              </w:r>
            </w:hyperlink>
          </w:p>
        </w:tc>
      </w:tr>
      <w:tr>
        <w:trPr/>
        <w:tc>
          <w:tcPr>
            <w:tcW w:w="3346" w:type="dxa"/>
            <w:gridSpan w:val="3"/>
            <w:tcBorders/>
            <w:vAlign w:val="center"/>
          </w:tcPr>
          <w:p>
            <w:pPr>
              <w:pStyle w:val="TableContents"/>
              <w:bidi w:val="0"/>
              <w:spacing w:before="0" w:after="283"/>
              <w:jc w:val="left"/>
              <w:rPr>
                <w:sz w:val="4"/>
                <w:szCs w:val="4"/>
              </w:rPr>
            </w:pPr>
            <w:r>
              <w:rPr>
                <w:sz w:val="4"/>
                <w:szCs w:val="4"/>
              </w:rPr>
            </w:r>
          </w:p>
        </w:tc>
        <w:tc>
          <w:tcPr>
            <w:tcW w:w="6465" w:type="dxa"/>
            <w:gridSpan w:val="3"/>
            <w:tcBorders/>
            <w:vAlign w:val="center"/>
          </w:tcPr>
          <w:p>
            <w:pPr>
              <w:pStyle w:val="TableContents"/>
              <w:bidi w:val="0"/>
              <w:spacing w:before="0" w:after="283"/>
              <w:jc w:val="left"/>
              <w:rPr>
                <w:sz w:val="4"/>
                <w:szCs w:val="4"/>
              </w:rPr>
            </w:pPr>
            <w:r>
              <w:rPr>
                <w:sz w:val="4"/>
                <w:szCs w:val="4"/>
              </w:rPr>
            </w:r>
          </w:p>
        </w:tc>
        <w:tc>
          <w:tcPr>
            <w:tcW w:w="394" w:type="dxa"/>
            <w:gridSpan w:val="3"/>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26">
              <w:r>
                <w:rPr>
                  <w:rStyle w:val="InternetLink"/>
                  <w:rFonts w:ascii="Calibri;sans-serif" w:hAnsi="Calibri;sans-serif"/>
                  <w:b w:val="false"/>
                  <w:strike w:val="false"/>
                  <w:dstrike w:val="false"/>
                  <w:color w:val="51555C"/>
                  <w:sz w:val="20"/>
                  <w:u w:val="none"/>
                  <w:effect w:val="none"/>
                </w:rPr>
                <w:t>Item 6.</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cc69752cd840048be6c85b640c391a_226">
              <w:r>
                <w:rPr>
                  <w:rStyle w:val="InternetLink"/>
                  <w:rFonts w:ascii="Calibri;sans-serif" w:hAnsi="Calibri;sans-serif"/>
                  <w:b w:val="false"/>
                  <w:strike w:val="false"/>
                  <w:dstrike w:val="false"/>
                  <w:color w:val="51555C"/>
                  <w:sz w:val="20"/>
                  <w:u w:val="none"/>
                  <w:effect w:val="none"/>
                </w:rPr>
                <w:t>Exhibits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d7cc69752cd840048be6c85b640c391a_226">
              <w:r>
                <w:rPr>
                  <w:rStyle w:val="InternetLink"/>
                  <w:rFonts w:ascii="Calibri;sans-serif" w:hAnsi="Calibri;sans-serif"/>
                  <w:b w:val="false"/>
                  <w:strike w:val="false"/>
                  <w:dstrike w:val="false"/>
                  <w:color w:val="000000"/>
                  <w:sz w:val="20"/>
                  <w:u w:val="none"/>
                  <w:effect w:val="none"/>
                </w:rPr>
                <w:t>51</w:t>
              </w:r>
            </w:hyperlink>
          </w:p>
        </w:tc>
      </w:tr>
      <w:tr>
        <w:trPr/>
        <w:tc>
          <w:tcPr>
            <w:tcW w:w="9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d7cc69752cd840048be6c85b640c391a_229">
              <w:r>
                <w:rPr>
                  <w:rStyle w:val="InternetLink"/>
                  <w:rFonts w:ascii="Calibri;sans-serif" w:hAnsi="Calibri;sans-serif"/>
                  <w:b/>
                  <w:strike w:val="false"/>
                  <w:dstrike w:val="false"/>
                  <w:color w:val="004054"/>
                  <w:sz w:val="22"/>
                  <w:u w:val="none"/>
                  <w:effect w:val="none"/>
                </w:rPr>
                <w:t>SIGNATURES</w:t>
              </w:r>
            </w:hyperlink>
          </w:p>
        </w:tc>
        <w:tc>
          <w:tcPr>
            <w:tcW w:w="39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d7cc69752cd840048be6c85b640c391a_229">
              <w:r>
                <w:rPr>
                  <w:rStyle w:val="InternetLink"/>
                  <w:rFonts w:ascii="Calibri;sans-serif" w:hAnsi="Calibri;sans-serif"/>
                  <w:b/>
                  <w:strike w:val="false"/>
                  <w:dstrike w:val="false"/>
                  <w:color w:val="004054"/>
                  <w:sz w:val="22"/>
                  <w:u w:val="none"/>
                  <w:effect w:val="none"/>
                </w:rPr>
                <w:t>52</w:t>
              </w:r>
            </w:hyperlink>
          </w:p>
        </w:tc>
      </w:tr>
    </w:tbl>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91540"/>
                <wp:effectExtent l="0" t="0" r="0" b="0"/>
                <wp:wrapNone/>
                <wp:docPr id="3" name="Frame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58" w:type="dxa"/>
                              <w:jc w:val="center"/>
                              <w:tblInd w:w="0" w:type="dxa"/>
                              <w:tblLayout w:type="fixed"/>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8" w:type="dxa"/>
                        <w:jc w:val="center"/>
                        <w:tblInd w:w="0" w:type="dxa"/>
                        <w:tblLayout w:type="fixed"/>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3"/>
        <w:gridCol w:w="173"/>
        <w:gridCol w:w="175"/>
        <w:gridCol w:w="2735"/>
        <w:gridCol w:w="2735"/>
        <w:gridCol w:w="3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p>
        </w:tc>
        <w:tc>
          <w:tcPr>
            <w:tcW w:w="9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0535A"/>
                <w:sz w:val="44"/>
              </w:rPr>
            </w:pPr>
            <w:r>
              <w:rPr>
                <w:rFonts w:ascii="Calibri;sans-serif" w:hAnsi="Calibri;sans-serif"/>
                <w:b/>
                <w:color w:val="50535A"/>
                <w:sz w:val="44"/>
              </w:rPr>
              <w:t>CAUTIONARY STATEMENT REGARDING FORWARD-LOOKING STATEMENTS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2023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91540"/>
                <wp:effectExtent l="0" t="0" r="0" b="0"/>
                <wp:wrapNone/>
                <wp:docPr id="7" name="Frame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5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752475"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752475"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7163"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1845"/>
        <w:gridCol w:w="1845"/>
        <w:gridCol w:w="2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276225" cy="276225"/>
                          </a:xfrm>
                          <a:prstGeom prst="rect">
                            <a:avLst/>
                          </a:prstGeom>
                        </pic:spPr>
                      </pic:pic>
                    </a:graphicData>
                  </a:graphic>
                </wp:inline>
              </w:drawing>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0535A"/>
                <w:sz w:val="44"/>
              </w:rPr>
            </w:pPr>
            <w:r>
              <w:rPr>
                <w:rFonts w:ascii="Calibri;sans-serif" w:hAnsi="Calibri;sans-serif"/>
                <w:b/>
                <w:color w:val="50535A"/>
                <w:sz w:val="44"/>
              </w:rPr>
              <w:t>PART I.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97"/>
        <w:gridCol w:w="2340"/>
        <w:gridCol w:w="2356"/>
        <w:gridCol w:w="213"/>
        <w:gridCol w:w="948"/>
        <w:gridCol w:w="118"/>
        <w:gridCol w:w="213"/>
        <w:gridCol w:w="948"/>
        <w:gridCol w:w="172"/>
      </w:tblGrid>
      <w:tr>
        <w:trPr/>
        <w:tc>
          <w:tcPr>
            <w:tcW w:w="289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20"/>
              </w:rPr>
            </w:pPr>
            <w:r>
              <w:rPr>
                <w:rFonts w:ascii="Calibri;sans-serif" w:hAnsi="Calibri;sans-serif"/>
                <w:b/>
                <w:color w:val="51555C"/>
                <w:sz w:val="20"/>
              </w:rPr>
              <w:t>Blackbaud, Inc.</w:t>
              <w:br/>
              <w:t>Condensed Consolidated Balance Sheets</w:t>
              <w:br/>
              <w:t>(Unaudited)</w:t>
            </w:r>
          </w:p>
        </w:tc>
      </w:tr>
      <w:tr>
        <w:trPr/>
        <w:tc>
          <w:tcPr>
            <w:tcW w:w="759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 except per share amounts)</w:t>
            </w:r>
          </w:p>
        </w:tc>
        <w:tc>
          <w:tcPr>
            <w:tcW w:w="12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33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759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Assets</w:t>
            </w:r>
          </w:p>
        </w:tc>
        <w:tc>
          <w:tcPr>
            <w:tcW w:w="12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Current assets:</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Cash and cash equivalents</w:t>
            </w:r>
          </w:p>
        </w:tc>
        <w:tc>
          <w:tcPr>
            <w:tcW w:w="21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26,376 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4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31,251 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cash</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356,493 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697,006 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Accounts receivable, net of allowance of $6,204 and $6,907 at March 31, 2024 and December 31, 2023, respectively</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96,097 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101,862 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Customer funds receivable</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Prepaid expenses and other current assets</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94,589 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99,285 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current assets</w:t>
            </w:r>
          </w:p>
        </w:tc>
        <w:tc>
          <w:tcPr>
            <w:tcW w:w="11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577,084 </w:t>
            </w:r>
          </w:p>
        </w:tc>
        <w:tc>
          <w:tcPr>
            <w:tcW w:w="11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929,757 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Property and equipment, net</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96,074 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98,689 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Operating lease right-of-use assets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35,464 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36,927 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Software and content development costs, net</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162,491 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160,194 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Goodwill</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1,053,130 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1,053,738 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Intangible assets, net</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565,008 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581,937 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assets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59,883 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51,037 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assets</w:t>
            </w:r>
          </w:p>
        </w:tc>
        <w:tc>
          <w:tcPr>
            <w:tcW w:w="21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4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2,549,134 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4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2,912,279 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Liabilities and stockholders’ equity</w:t>
            </w:r>
          </w:p>
        </w:tc>
        <w:tc>
          <w:tcPr>
            <w:tcW w:w="1279"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Current liabilities:</w:t>
            </w:r>
          </w:p>
        </w:tc>
        <w:tc>
          <w:tcPr>
            <w:tcW w:w="127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Trade accounts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48,863 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25,184 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Accrued expenses and other current liabilities</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75,271 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64,322 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Due to customers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358,836 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695,842 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Debt, current portion</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19,302 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19,259 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 current portion</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360,355 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392,530 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current liabilities</w:t>
            </w:r>
          </w:p>
        </w:tc>
        <w:tc>
          <w:tcPr>
            <w:tcW w:w="11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862,627 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1,197,137 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Debt, net of current portion</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1,020,520 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760,405 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tax liability</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82,446 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93,292 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 net of current portion</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Operating lease liabilities, net of current portion</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38,492 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40,085 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liabilities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4,163 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10,258 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liabilities</w:t>
            </w:r>
          </w:p>
        </w:tc>
        <w:tc>
          <w:tcPr>
            <w:tcW w:w="11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2,015,080 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2,103,574 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Commitments and contingencies (see Note 9)</w:t>
            </w:r>
          </w:p>
        </w:tc>
        <w:tc>
          <w:tcPr>
            <w:tcW w:w="1279"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Stockholders’ equity:</w:t>
            </w:r>
          </w:p>
        </w:tc>
        <w:tc>
          <w:tcPr>
            <w:tcW w:w="127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Preferred stock; 20,000,000 shares authorized, none outstanding</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Common stock, $0.001 par value; 180,000,000 shares authorized, 70,861,507 and 69,188,304 shares issued at March 31, 2024 and December 31, 2023, respectively; 51,624,243 and 53,625,440 shares outstanding at March 31, 2024 and December 31, 2023, respectively</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71 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Additional paid-in capital</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1,184,338 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1,203,012 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Treasury stock, at cost; 19,237,264 and 15,562,864 shares at March 31, 2024 and December 31, 2023, respectively</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(855,692)</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(591,557)</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Accumulated other comprehensive income (loss)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(1,688)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Retained earnings</w:t>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204,115 </w:t>
            </w:r>
          </w:p>
        </w:tc>
        <w:tc>
          <w:tcPr>
            <w:tcW w:w="11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198,869 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stockholders’ equity</w:t>
            </w:r>
          </w:p>
        </w:tc>
        <w:tc>
          <w:tcPr>
            <w:tcW w:w="11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534,054 </w:t>
            </w:r>
          </w:p>
        </w:tc>
        <w:tc>
          <w:tcPr>
            <w:tcW w:w="11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808,705 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liabilities and stockholders’ equity</w:t>
            </w:r>
          </w:p>
        </w:tc>
        <w:tc>
          <w:tcPr>
            <w:tcW w:w="21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4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2,549,134 </w:t>
            </w:r>
          </w:p>
        </w:tc>
        <w:tc>
          <w:tcPr>
            <w:tcW w:w="11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4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2,912,279 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91540"/>
                <wp:effectExtent l="0" t="0" r="0" b="0"/>
                <wp:wrapNone/>
                <wp:docPr id="11" name="Frame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58" w:type="dxa"/>
                              <w:jc w:val="center"/>
                              <w:tblInd w:w="0" w:type="dxa"/>
                              <w:tblLayout w:type="fixed"/>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8" w:type="dxa"/>
                        <w:jc w:val="center"/>
                        <w:tblInd w:w="0" w:type="dxa"/>
                        <w:tblLayout w:type="fixed"/>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0"/>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center"/>
        <w:rPr/>
      </w:pPr>
      <w:r>
        <w:rPr/>
      </w:r>
    </w:p>
    <w:p>
      <w:pPr>
        <w:pStyle w:val="TextBody"/>
        <w:bidi w:val="0"/>
        <w:spacing w:before="180" w:after="283"/>
        <w:jc w:val="center"/>
        <w:rPr/>
      </w:pPr>
      <w:r>
        <w:rPr/>
      </w:r>
    </w:p>
    <w:tbl>
      <w:tblPr>
        <w:tblW w:w="10098" w:type="dxa"/>
        <w:jc w:val="center"/>
        <w:tblInd w:w="0" w:type="dxa"/>
        <w:tblLayout w:type="fixed"/>
        <w:tblCellMar>
          <w:top w:w="28" w:type="dxa"/>
          <w:left w:w="28" w:type="dxa"/>
          <w:bottom w:w="28" w:type="dxa"/>
          <w:right w:w="28" w:type="dxa"/>
        </w:tblCellMar>
      </w:tblPr>
      <w:tblGrid>
        <w:gridCol w:w="1784"/>
        <w:gridCol w:w="1566"/>
        <w:gridCol w:w="1566"/>
        <w:gridCol w:w="1255"/>
        <w:gridCol w:w="1268"/>
        <w:gridCol w:w="146"/>
        <w:gridCol w:w="263"/>
        <w:gridCol w:w="989"/>
        <w:gridCol w:w="146"/>
        <w:gridCol w:w="202"/>
        <w:gridCol w:w="759"/>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39" w:type="dxa"/>
            <w:gridSpan w:val="5"/>
            <w:tcBorders>
              <w:bottom w:val="single" w:sz="8" w:space="0" w:color="004054"/>
            </w:tcBorders>
            <w:tcMar>
              <w:top w:w="0" w:type="dxa"/>
              <w:left w:w="0" w:type="dxa"/>
              <w:bottom w:w="30" w:type="dxa"/>
              <w:right w:w="0" w:type="dxa"/>
            </w:tcMar>
            <w:vAlign w:val="center"/>
          </w:tcPr>
          <w:p>
            <w:pPr>
              <w:pStyle w:val="TableContents"/>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ableContents"/>
              <w:bidi w:val="0"/>
              <w:spacing w:lineRule="auto" w:line="288" w:before="0" w:after="0"/>
              <w:jc w:val="center"/>
              <w:rPr>
                <w:rFonts w:ascii="Calibri;sans-serif" w:hAnsi="Calibri;sans-serif"/>
                <w:b/>
                <w:color w:val="51555C"/>
                <w:sz w:val="20"/>
              </w:rPr>
            </w:pPr>
            <w:r>
              <w:rPr>
                <w:rFonts w:ascii="Calibri;sans-serif" w:hAnsi="Calibri;sans-serif"/>
                <w:b/>
                <w:color w:val="51555C"/>
                <w:sz w:val="20"/>
              </w:rPr>
              <w:t>Condensed Consolidated Statements of Comprehensive Income (Loss)</w:t>
            </w:r>
          </w:p>
          <w:p>
            <w:pPr>
              <w:pStyle w:val="TableContents"/>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c>
        <w:tc>
          <w:tcPr>
            <w:tcW w:w="2659" w:type="dxa"/>
            <w:gridSpan w:val="7"/>
            <w:tcBorders/>
          </w:tcPr>
          <w:p>
            <w:pPr>
              <w:pStyle w:val="TableContents"/>
              <w:bidi w:val="0"/>
              <w:spacing w:before="0" w:after="283"/>
              <w:jc w:val="left"/>
              <w:rPr>
                <w:sz w:val="4"/>
                <w:szCs w:val="4"/>
              </w:rPr>
            </w:pPr>
            <w:r>
              <w:rPr>
                <w:sz w:val="4"/>
                <w:szCs w:val="4"/>
              </w:rPr>
            </w:r>
          </w:p>
        </w:tc>
      </w:tr>
      <w:tr>
        <w:trPr/>
        <w:tc>
          <w:tcPr>
            <w:tcW w:w="491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Three months ended</w:t>
              <w:br/>
              <w:t>March 31,</w:t>
            </w:r>
          </w:p>
        </w:tc>
        <w:tc>
          <w:tcPr>
            <w:tcW w:w="1115" w:type="dxa"/>
            <w:gridSpan w:val="3"/>
            <w:tcBorders/>
          </w:tcPr>
          <w:p>
            <w:pPr>
              <w:pStyle w:val="TableContents"/>
              <w:bidi w:val="0"/>
              <w:spacing w:before="0" w:after="283"/>
              <w:jc w:val="left"/>
              <w:rPr>
                <w:sz w:val="4"/>
                <w:szCs w:val="4"/>
              </w:rPr>
            </w:pPr>
            <w:r>
              <w:rPr>
                <w:sz w:val="4"/>
                <w:szCs w:val="4"/>
              </w:rPr>
            </w:r>
          </w:p>
        </w:tc>
      </w:tr>
      <w:tr>
        <w:trPr/>
        <w:tc>
          <w:tcPr>
            <w:tcW w:w="491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 except per share amounts)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2024</w:t>
            </w:r>
          </w:p>
        </w:tc>
        <w:tc>
          <w:tcPr>
            <w:tcW w:w="111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2023</w:t>
            </w:r>
          </w:p>
        </w:tc>
      </w:tr>
      <w:tr>
        <w:trPr/>
        <w:tc>
          <w:tcPr>
            <w:tcW w:w="491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Revenue</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Recurring</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271,518 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252,748 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One-time services and other</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7,732 </w:t>
            </w:r>
          </w:p>
        </w:tc>
        <w:tc>
          <w:tcPr>
            <w:tcW w:w="1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9,005 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revenue</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279,250 </w:t>
            </w:r>
          </w:p>
        </w:tc>
        <w:tc>
          <w:tcPr>
            <w:tcW w:w="1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261,753 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Cost of revenue</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Cost of recurring</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119,188 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Cost of one-time services and other</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7,018 </w:t>
            </w:r>
          </w:p>
        </w:tc>
        <w:tc>
          <w:tcPr>
            <w:tcW w:w="1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8,612 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cost of revenue</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126,206 </w:t>
            </w:r>
          </w:p>
        </w:tc>
        <w:tc>
          <w:tcPr>
            <w:tcW w:w="1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123,112 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Gross profit</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153,044 </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138,641 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Operating expenses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Sales, marketing and customer success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50,865 </w:t>
            </w:r>
          </w:p>
        </w:tc>
        <w:tc>
          <w:tcPr>
            <w:tcW w:w="1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54,385 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Research and development</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42,802 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General and administrative</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47,754 </w:t>
            </w:r>
          </w:p>
        </w:tc>
        <w:tc>
          <w:tcPr>
            <w:tcW w:w="1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52,838 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Amortization</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operating expenses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142,325 </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148,588 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Income (loss) from operations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10,719 </w:t>
            </w:r>
          </w:p>
        </w:tc>
        <w:tc>
          <w:tcPr>
            <w:tcW w:w="1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(9,947)</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Interest expense</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(10,276)</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(10,662)</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income, net</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Income (loss) before benefit for income taxes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3,790 </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(18,602)</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Income tax benefit</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income (loss)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5,246 </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Earnings (loss) per share</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Basic</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0.10 </w:t>
            </w:r>
          </w:p>
        </w:tc>
        <w:tc>
          <w:tcPr>
            <w:tcW w:w="1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(0.28)</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Diluted</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Common shares and equivalents outstanding</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Basic weighted average shares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52,052,370 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52,132,999 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Diluted weighted average shares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53,414,495 </w:t>
            </w:r>
          </w:p>
        </w:tc>
        <w:tc>
          <w:tcPr>
            <w:tcW w:w="1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52,132,999 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Other comprehensive income (loss)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Foreign currency translation adjustment</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(1,185)</w:t>
            </w:r>
          </w:p>
        </w:tc>
        <w:tc>
          <w:tcPr>
            <w:tcW w:w="1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2,158 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Unrealized gain (loss) on derivative instruments, net of tax</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other comprehensive income (loss)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2,910 </w:t>
            </w:r>
          </w:p>
        </w:tc>
        <w:tc>
          <w:tcPr>
            <w:tcW w:w="14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(8,534)</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Comprehensive income (loss)</w:t>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8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8,156 </w:t>
            </w:r>
          </w:p>
        </w:tc>
        <w:tc>
          <w:tcPr>
            <w:tcW w:w="1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(23,235)</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c>
          <w:tcPr>
            <w:tcW w:w="2659" w:type="dxa"/>
            <w:gridSpan w:val="7"/>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91540"/>
                <wp:effectExtent l="0" t="0" r="0" b="0"/>
                <wp:wrapNone/>
                <wp:docPr id="14" name="Frame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5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752475"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752475"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10205" w:type="dxa"/>
        <w:jc w:val="center"/>
        <w:tblInd w:w="0" w:type="dxa"/>
        <w:tblLayout w:type="fixed"/>
        <w:tblCellMar>
          <w:top w:w="28" w:type="dxa"/>
          <w:left w:w="28" w:type="dxa"/>
          <w:bottom w:w="28" w:type="dxa"/>
          <w:right w:w="28" w:type="dxa"/>
        </w:tblCellMar>
      </w:tblPr>
      <w:tblGrid>
        <w:gridCol w:w="2359"/>
        <w:gridCol w:w="2068"/>
        <w:gridCol w:w="2075"/>
        <w:gridCol w:w="341"/>
        <w:gridCol w:w="1280"/>
        <w:gridCol w:w="189"/>
        <w:gridCol w:w="341"/>
        <w:gridCol w:w="1280"/>
        <w:gridCol w:w="272"/>
      </w:tblGrid>
      <w:tr>
        <w:trPr/>
        <w:tc>
          <w:tcPr>
            <w:tcW w:w="235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4054"/>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color w:val="51555C"/>
                <w:sz w:val="20"/>
              </w:rPr>
            </w:pPr>
            <w:r>
              <w:rPr>
                <w:rFonts w:ascii="Calibri;sans-serif" w:hAnsi="Calibri;sans-serif"/>
                <w:b/>
                <w:color w:val="51555C"/>
                <w:sz w:val="20"/>
              </w:rPr>
              <w:t>Blackbaud, Inc.</w:t>
              <w:br/>
              <w:t>Condensed Consolidated Statements of Cash Flows</w:t>
              <w:br/>
              <w:t>(Unaudited)</w:t>
            </w:r>
          </w:p>
        </w:tc>
      </w:tr>
      <w:tr>
        <w:trPr/>
        <w:tc>
          <w:tcPr>
            <w:tcW w:w="650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703"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Three months ended</w:t>
              <w:br/>
              <w:t>March 31,</w:t>
            </w:r>
          </w:p>
        </w:tc>
      </w:tr>
      <w:tr>
        <w:trPr/>
        <w:tc>
          <w:tcPr>
            <w:tcW w:w="650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2024</w:t>
            </w:r>
          </w:p>
        </w:tc>
        <w:tc>
          <w:tcPr>
            <w:tcW w:w="189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2023</w:t>
            </w:r>
          </w:p>
        </w:tc>
      </w:tr>
      <w:tr>
        <w:trPr/>
        <w:tc>
          <w:tcPr>
            <w:tcW w:w="650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operating activities</w:t>
            </w:r>
          </w:p>
        </w:tc>
        <w:tc>
          <w:tcPr>
            <w:tcW w:w="181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income (loss)</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5,246 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Adjustments to reconcile net income (loss) to net cash provided by operating activities:</w:t>
            </w:r>
          </w:p>
        </w:tc>
        <w:tc>
          <w:tcPr>
            <w:tcW w:w="181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Depreciation and amortization</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30,095 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27,272 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Provision for credit losses and sales returns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305 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1,522 </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 expense</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33,570 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taxes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(12,239)</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9,245 </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Amortization of deferred financing costs and discount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Loss on disposition of business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1,561 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non-cash adjustments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Changes in operating assets and liabilities, net of acquisition and disposal of businesses:</w:t>
            </w:r>
          </w:p>
        </w:tc>
        <w:tc>
          <w:tcPr>
            <w:tcW w:w="181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Accounts receivable</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3,844 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1,139 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Prepaid expenses and other assets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(3,265)</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(2,750)</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Trade accounts payable</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23,086 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3,362 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Accrued expenses and other liabilities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7,912 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(15,931)</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(25,845)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(17,562)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cash provided by operating activities</w:t>
            </w:r>
          </w:p>
        </w:tc>
        <w:tc>
          <w:tcPr>
            <w:tcW w:w="162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64,619 </w:t>
            </w:r>
          </w:p>
        </w:tc>
        <w:tc>
          <w:tcPr>
            <w:tcW w:w="18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21,806 </w:t>
            </w:r>
          </w:p>
        </w:tc>
        <w:tc>
          <w:tcPr>
            <w:tcW w:w="2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investing activities</w:t>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Purchase of property and equipment</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(261)</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(1,364)</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Capitalized software and content development costs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(13,070)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(13,967)</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cash used in disposition of business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(1,179)</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cash used in investing activities</w:t>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(14,510)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(15,331)</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financing activities</w:t>
            </w:r>
          </w:p>
        </w:tc>
        <w:tc>
          <w:tcPr>
            <w:tcW w:w="181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Proceeds from issuance of debt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339,800 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92,600 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Payments on debt</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(79,343)</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(75,403)</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Employee taxes paid for withheld shares upon equity award settlement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(52,723)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(31,417)</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 in due to customers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(336,578)</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(337,159)</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 in customer funds receivable</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(3,197)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(1,859)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Purchase of treasury stock</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(262,596)</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cash used in financing activities</w:t>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(394,637)</w:t>
            </w:r>
          </w:p>
        </w:tc>
        <w:tc>
          <w:tcPr>
            <w:tcW w:w="18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(353,238)</w:t>
            </w:r>
          </w:p>
        </w:tc>
        <w:tc>
          <w:tcPr>
            <w:tcW w:w="2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Effect of exchange rate on cash, cash equivalents and restricted cash</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(860)</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986 </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decrease in cash, cash equivalents and restricted cash</w:t>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(345,388)</w:t>
            </w:r>
          </w:p>
        </w:tc>
        <w:tc>
          <w:tcPr>
            <w:tcW w:w="18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(345,777)</w:t>
            </w:r>
          </w:p>
        </w:tc>
        <w:tc>
          <w:tcPr>
            <w:tcW w:w="2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cash equivalents and restricted cash, beginning of period</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728,257 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733,931 </w:t>
            </w:r>
          </w:p>
        </w:tc>
        <w:tc>
          <w:tcPr>
            <w:tcW w:w="2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cash equivalents and restricted cash, end of period</w:t>
            </w:r>
          </w:p>
        </w:tc>
        <w:tc>
          <w:tcPr>
            <w:tcW w:w="34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382,869 </w:t>
            </w:r>
          </w:p>
        </w:tc>
        <w:tc>
          <w:tcPr>
            <w:tcW w:w="18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388,154 </w:t>
            </w:r>
          </w:p>
        </w:tc>
        <w:tc>
          <w:tcPr>
            <w:tcW w:w="27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tbl>
      <w:tblPr>
        <w:tblW w:w="8074" w:type="dxa"/>
        <w:jc w:val="left"/>
        <w:tblInd w:w="0" w:type="dxa"/>
        <w:tblLayout w:type="fixed"/>
        <w:tblCellMar>
          <w:top w:w="28" w:type="dxa"/>
          <w:left w:w="28" w:type="dxa"/>
          <w:bottom w:w="28" w:type="dxa"/>
          <w:right w:w="28" w:type="dxa"/>
        </w:tblCellMar>
      </w:tblPr>
      <w:tblGrid>
        <w:gridCol w:w="2135"/>
        <w:gridCol w:w="1875"/>
        <w:gridCol w:w="1884"/>
        <w:gridCol w:w="196"/>
        <w:gridCol w:w="736"/>
        <w:gridCol w:w="109"/>
        <w:gridCol w:w="205"/>
        <w:gridCol w:w="773"/>
        <w:gridCol w:w="161"/>
      </w:tblGrid>
      <w:tr>
        <w:trPr/>
        <w:tc>
          <w:tcPr>
            <w:tcW w:w="213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58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Cash and cash equivalents</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26,376 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31,251 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697,006 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cash, cash equivalents and restricted cash in the statement of cash flows</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382,869 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728,257 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91540"/>
                <wp:effectExtent l="0" t="0" r="0" b="0"/>
                <wp:wrapNone/>
                <wp:docPr id="17" name="Frame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58" w:type="dxa"/>
                              <w:jc w:val="center"/>
                              <w:tblInd w:w="0" w:type="dxa"/>
                              <w:tblLayout w:type="fixed"/>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58" w:type="dxa"/>
                        <w:jc w:val="center"/>
                        <w:tblInd w:w="0" w:type="dxa"/>
                        <w:tblLayout w:type="fixed"/>
                        <w:tblCellMar>
                          <w:top w:w="28" w:type="dxa"/>
                          <w:left w:w="28" w:type="dxa"/>
                          <w:bottom w:w="28" w:type="dxa"/>
                          <w:right w:w="28" w:type="dxa"/>
                        </w:tblCellMar>
                      </w:tblPr>
                      <w:tblGrid>
                        <w:gridCol w:w="766"/>
                        <w:gridCol w:w="671"/>
                        <w:gridCol w:w="678"/>
                        <w:gridCol w:w="423"/>
                        <w:gridCol w:w="423"/>
                        <w:gridCol w:w="42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4"/>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Condensed Consolidated Statements of Stockholders' Equity</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tbl>
      <w:tblPr>
        <w:tblW w:w="10415" w:type="dxa"/>
        <w:jc w:val="left"/>
        <w:tblInd w:w="0" w:type="dxa"/>
        <w:tblLayout w:type="fixed"/>
        <w:tblCellMar>
          <w:top w:w="28" w:type="dxa"/>
          <w:left w:w="28" w:type="dxa"/>
          <w:bottom w:w="28" w:type="dxa"/>
          <w:right w:w="28" w:type="dxa"/>
        </w:tblCellMar>
      </w:tblPr>
      <w:tblGrid>
        <w:gridCol w:w="599"/>
        <w:gridCol w:w="315"/>
        <w:gridCol w:w="317"/>
        <w:gridCol w:w="480"/>
        <w:gridCol w:w="481"/>
        <w:gridCol w:w="186"/>
        <w:gridCol w:w="229"/>
        <w:gridCol w:w="338"/>
        <w:gridCol w:w="109"/>
        <w:gridCol w:w="109"/>
        <w:gridCol w:w="109"/>
        <w:gridCol w:w="109"/>
        <w:gridCol w:w="488"/>
        <w:gridCol w:w="488"/>
        <w:gridCol w:w="186"/>
        <w:gridCol w:w="196"/>
        <w:gridCol w:w="751"/>
        <w:gridCol w:w="109"/>
        <w:gridCol w:w="109"/>
        <w:gridCol w:w="109"/>
        <w:gridCol w:w="109"/>
        <w:gridCol w:w="196"/>
        <w:gridCol w:w="871"/>
        <w:gridCol w:w="109"/>
        <w:gridCol w:w="265"/>
        <w:gridCol w:w="773"/>
        <w:gridCol w:w="148"/>
        <w:gridCol w:w="196"/>
        <w:gridCol w:w="736"/>
        <w:gridCol w:w="109"/>
        <w:gridCol w:w="196"/>
        <w:gridCol w:w="736"/>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2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Common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Additional</w:t>
              <w:br/>
              <w:t>paid-in</w:t>
              <w:br/>
              <w:t>capital</w:t>
            </w:r>
          </w:p>
        </w:tc>
        <w:tc>
          <w:tcPr>
            <w:tcW w:w="118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Accumulated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other</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comprehensive</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 (loss)</w:t>
            </w:r>
          </w:p>
        </w:tc>
        <w:tc>
          <w:tcPr>
            <w:tcW w:w="104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Retained</w:t>
              <w:br/>
              <w:t>earnings</w:t>
            </w:r>
          </w:p>
        </w:tc>
        <w:tc>
          <w:tcPr>
            <w:tcW w:w="108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Total</w:t>
              <w:br/>
              <w:t>stockholders'</w:t>
              <w:br/>
              <w:t>equity</w:t>
            </w:r>
          </w:p>
        </w:tc>
      </w:tr>
      <w:tr>
        <w:trPr/>
        <w:tc>
          <w:tcPr>
            <w:tcW w:w="123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14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Shares</w:t>
            </w:r>
          </w:p>
        </w:tc>
        <w:tc>
          <w:tcPr>
            <w:tcW w:w="6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Shares</w:t>
            </w:r>
          </w:p>
        </w:tc>
        <w:tc>
          <w:tcPr>
            <w:tcW w:w="105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18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4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8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23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December 31, 2023</w:t>
            </w:r>
          </w:p>
        </w:tc>
        <w:tc>
          <w:tcPr>
            <w:tcW w:w="9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69,188,304 </w:t>
            </w:r>
          </w:p>
        </w:tc>
        <w:tc>
          <w:tcPr>
            <w:tcW w:w="1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(15,562,864)</w:t>
            </w:r>
          </w:p>
        </w:tc>
        <w:tc>
          <w:tcPr>
            <w:tcW w:w="1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(591,557)</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1,203,012 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(1,688)</w:t>
            </w:r>
          </w:p>
        </w:tc>
        <w:tc>
          <w:tcPr>
            <w:tcW w:w="14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198,869 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808,705 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Purchase of treasury shares under stock repurchase program</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(2,954,211)</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(211,412)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(52,244)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4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(263,656)</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1,357,125 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Shares withheld to satisfy tax withholdings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(720,189)</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(52,723)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4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(52,723)</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335,237 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4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(19,159)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income</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2,910 </w:t>
            </w:r>
          </w:p>
        </w:tc>
        <w:tc>
          <w:tcPr>
            <w:tcW w:w="14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2,910 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March 31, 2024</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70,861,507 </w:t>
            </w:r>
          </w:p>
        </w:tc>
        <w:tc>
          <w:tcPr>
            <w:tcW w:w="18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3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(19,237,264)</w:t>
            </w:r>
          </w:p>
        </w:tc>
        <w:tc>
          <w:tcPr>
            <w:tcW w:w="18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(855,692)</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1,184,338 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1,222 </w:t>
            </w:r>
          </w:p>
        </w:tc>
        <w:tc>
          <w:tcPr>
            <w:tcW w:w="14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204,115 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534,054 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center"/>
        <w:rPr/>
      </w:pPr>
      <w:r>
        <w:rPr/>
      </w:r>
    </w:p>
    <w:tbl>
      <w:tblPr>
        <w:tblW w:w="10415" w:type="dxa"/>
        <w:jc w:val="left"/>
        <w:tblInd w:w="0" w:type="dxa"/>
        <w:tblLayout w:type="fixed"/>
        <w:tblCellMar>
          <w:top w:w="28" w:type="dxa"/>
          <w:left w:w="28" w:type="dxa"/>
          <w:bottom w:w="28" w:type="dxa"/>
          <w:right w:w="28" w:type="dxa"/>
        </w:tblCellMar>
      </w:tblPr>
      <w:tblGrid>
        <w:gridCol w:w="599"/>
        <w:gridCol w:w="315"/>
        <w:gridCol w:w="317"/>
        <w:gridCol w:w="480"/>
        <w:gridCol w:w="481"/>
        <w:gridCol w:w="186"/>
        <w:gridCol w:w="229"/>
        <w:gridCol w:w="338"/>
        <w:gridCol w:w="109"/>
        <w:gridCol w:w="109"/>
        <w:gridCol w:w="109"/>
        <w:gridCol w:w="109"/>
        <w:gridCol w:w="488"/>
        <w:gridCol w:w="488"/>
        <w:gridCol w:w="186"/>
        <w:gridCol w:w="196"/>
        <w:gridCol w:w="751"/>
        <w:gridCol w:w="109"/>
        <w:gridCol w:w="109"/>
        <w:gridCol w:w="109"/>
        <w:gridCol w:w="109"/>
        <w:gridCol w:w="196"/>
        <w:gridCol w:w="871"/>
        <w:gridCol w:w="109"/>
        <w:gridCol w:w="269"/>
        <w:gridCol w:w="765"/>
        <w:gridCol w:w="152"/>
        <w:gridCol w:w="196"/>
        <w:gridCol w:w="736"/>
        <w:gridCol w:w="109"/>
        <w:gridCol w:w="196"/>
        <w:gridCol w:w="736"/>
        <w:gridCol w:w="154"/>
      </w:tblGrid>
      <w:tr>
        <w:trPr/>
        <w:tc>
          <w:tcPr>
            <w:tcW w:w="5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2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Common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Additional</w:t>
              <w:br/>
              <w:t>paid-in</w:t>
              <w:br/>
              <w:t>capital</w:t>
            </w:r>
          </w:p>
        </w:tc>
        <w:tc>
          <w:tcPr>
            <w:tcW w:w="118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Accumulated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other</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comprehensive</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w:t>
            </w:r>
          </w:p>
        </w:tc>
        <w:tc>
          <w:tcPr>
            <w:tcW w:w="104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Retained</w:t>
              <w:br/>
              <w:t>earnings</w:t>
            </w:r>
          </w:p>
        </w:tc>
        <w:tc>
          <w:tcPr>
            <w:tcW w:w="108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Total</w:t>
              <w:br/>
              <w:t>stockholders'</w:t>
              <w:br/>
              <w:t>equity</w:t>
            </w:r>
          </w:p>
        </w:tc>
      </w:tr>
      <w:tr>
        <w:trPr/>
        <w:tc>
          <w:tcPr>
            <w:tcW w:w="123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14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Shares</w:t>
            </w:r>
          </w:p>
        </w:tc>
        <w:tc>
          <w:tcPr>
            <w:tcW w:w="6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Shares</w:t>
            </w:r>
          </w:p>
        </w:tc>
        <w:tc>
          <w:tcPr>
            <w:tcW w:w="105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18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4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8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23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December 31, 2022</w:t>
            </w:r>
          </w:p>
        </w:tc>
        <w:tc>
          <w:tcPr>
            <w:tcW w:w="9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67,814,044 </w:t>
            </w:r>
          </w:p>
        </w:tc>
        <w:tc>
          <w:tcPr>
            <w:tcW w:w="1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(14,745,230)</w:t>
            </w:r>
          </w:p>
        </w:tc>
        <w:tc>
          <w:tcPr>
            <w:tcW w:w="1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(537,287)</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1,075,264 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6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8,938 </w:t>
            </w:r>
          </w:p>
        </w:tc>
        <w:tc>
          <w:tcPr>
            <w:tcW w:w="15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197,049 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744,032 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954,147 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Shares withheld to satisfy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(533,597)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29,925 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427,941 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(41,269)</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March 31, 2023</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69,154,863 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3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(15,278,827)</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5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(568,277)</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1,105,189 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6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404 </w:t>
            </w:r>
          </w:p>
        </w:tc>
        <w:tc>
          <w:tcPr>
            <w:tcW w:w="15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182,348 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719,733 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184" w:type="dxa"/>
            <w:gridSpan w:val="30"/>
            <w:tcBorders/>
          </w:tcPr>
          <w:p>
            <w:pPr>
              <w:pStyle w:val="TableContents"/>
              <w:bidi w:val="0"/>
              <w:spacing w:before="0" w:after="283"/>
              <w:jc w:val="left"/>
              <w:rPr>
                <w:sz w:val="4"/>
                <w:szCs w:val="4"/>
              </w:rPr>
            </w:pPr>
            <w:r>
              <w:rPr>
                <w:sz w:val="4"/>
                <w:szCs w:val="4"/>
              </w:rPr>
            </w:r>
          </w:p>
        </w:tc>
      </w:tr>
    </w:tbl>
    <w:tbl>
      <w:tblPr>
        <w:tblW w:w="7484" w:type="dxa"/>
        <w:jc w:val="left"/>
        <w:tblInd w:w="0" w:type="dxa"/>
        <w:tblLayout w:type="fixed"/>
        <w:tblCellMar>
          <w:top w:w="28" w:type="dxa"/>
          <w:left w:w="28" w:type="dxa"/>
          <w:bottom w:w="28" w:type="dxa"/>
          <w:right w:w="28" w:type="dxa"/>
        </w:tblCellMar>
      </w:tblPr>
      <w:tblGrid>
        <w:gridCol w:w="2394"/>
        <w:gridCol w:w="2105"/>
        <w:gridCol w:w="2985"/>
      </w:tblGrid>
      <w:tr>
        <w:trPr/>
        <w:tc>
          <w:tcPr>
            <w:tcW w:w="239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91540"/>
                <wp:effectExtent l="0" t="0" r="0" b="0"/>
                <wp:wrapNone/>
                <wp:docPr id="20" name="Frame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6"/>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09" w:type="dxa"/>
        <w:jc w:val="center"/>
        <w:tblInd w:w="0" w:type="dxa"/>
        <w:tblLayout w:type="fixed"/>
        <w:tblCellMar>
          <w:top w:w="28" w:type="dxa"/>
          <w:left w:w="28" w:type="dxa"/>
          <w:bottom w:w="28" w:type="dxa"/>
          <w:right w:w="28" w:type="dxa"/>
        </w:tblCellMar>
      </w:tblPr>
      <w:tblGrid>
        <w:gridCol w:w="547"/>
        <w:gridCol w:w="481"/>
        <w:gridCol w:w="681"/>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 Organization</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and the United Kingdom, supporting users in 100+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2. Basis of Presentation</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Unaudited condensed consolidated interim financial statements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accompanying condensed consolidated interim financial statements have been prepared pursuant to the rules and regulations of the United States Securities and Exchange Commission ("SEC") for interim financial reporting. These condensed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condensed consolidated balance sheet at December 31, 2023 has been derived from the audited consolidated financial statements at that date. Operating results and cash flows for the three months ended March 31, 2024 are not necessarily indicative of the results that may be expected for the fiscal year ending December 31, 2024, or any other future period. Certain information and footnote disclosures normally included in annual financial statements prepared in accordance with GAAP have been omitted in accordance with the rules and regulations for interim reporting of the SEC. These unaudited, condensed consolidated interim financial statements should be read in conjunction with the consolidated financial statements and notes thereto included in our Annual Report on Form 10-K for the year ended December 31, 2023, and other forms filed with the SEC from time to time.</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Basis of consolidation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unaudited, condensed consolidated financial statements include the accounts of Blackbaud, Inc. and its wholly owned subsidiaries. All intercompany balances and transactions have been eliminated in consolidation.</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Reportable segment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Use of estimates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and content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91540"/>
                <wp:effectExtent l="0" t="0" r="0" b="0"/>
                <wp:wrapNone/>
                <wp:docPr id="23" name="Frame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Recently issued accounting pronouncements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no recently issued accounting pronouncements that we expect to have a material impact on our consolidated financial statements when adopted in the future.</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Summary of significant accounting policies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have been no material changes to our significant accounting policies described in our Annual Report on Form 10-K for the year ended December 31, 2023, filed with the SEC on February 21,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39" w:type="dxa"/>
        <w:jc w:val="center"/>
        <w:tblInd w:w="0" w:type="dxa"/>
        <w:tblLayout w:type="fixed"/>
        <w:tblCellMar>
          <w:top w:w="28" w:type="dxa"/>
          <w:left w:w="28" w:type="dxa"/>
          <w:bottom w:w="28" w:type="dxa"/>
          <w:right w:w="28" w:type="dxa"/>
        </w:tblCellMar>
      </w:tblPr>
      <w:tblGrid>
        <w:gridCol w:w="1422"/>
        <w:gridCol w:w="1248"/>
        <w:gridCol w:w="1769"/>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3. Business Combinations and Dispositions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2024 Disposition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March 2, 2024, we completed a transaction to divest our U.K.-based creative services business EVERFI Limited, formerly a wholly-owned subsidiary of EVERFI Inc, which is a wholly-owned subsidiary of Blackbaud, Inc. EVERFI Limited's total revenue during 2023 was $8.4 million. We incurred an insignificant amount of legal costs associated with the disposition of this business. As a result of the disposition, we recorded a $1.6 million loss, which was recorded in general and administrative expense in the unaudited, condensed consolidated statement of comprehensive income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944"/>
        <w:gridCol w:w="830"/>
        <w:gridCol w:w="1181"/>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4. Earnings (Loss) Per Share</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compute basic earnings (loss) per share by dividing net income (loss) available to common stockholders by the weighted average number of common shares outstanding during the period. Diluted earnings (loss) per share is computed by dividing net income (loss) available to common stockholders by the weighted average number of common shares and dilutive potential common shares outstanding during the period. Diluted earnings (loss) per share reflects the assumed exercise, settlement and vesting of all dilutive securities using the “treasury stock method” except when the effect is anti-dilutive. Potentially dilutive securities consist of shares issuable upon vesting of restricted stock awards and units. Diluted loss per share for the three months ended March 31, 2023 was the same as basic loss per share as there was a net loss in the period and inclusion of potentially dilutive securities was anti-dilutive.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sets forth the computation of basic and diluted earnings (loss) per share:</w:t>
      </w:r>
    </w:p>
    <w:tbl>
      <w:tblPr>
        <w:tblW w:w="9583" w:type="dxa"/>
        <w:jc w:val="left"/>
        <w:tblInd w:w="0" w:type="dxa"/>
        <w:tblLayout w:type="fixed"/>
        <w:tblCellMar>
          <w:top w:w="28" w:type="dxa"/>
          <w:left w:w="28" w:type="dxa"/>
          <w:bottom w:w="28" w:type="dxa"/>
          <w:right w:w="28" w:type="dxa"/>
        </w:tblCellMar>
      </w:tblPr>
      <w:tblGrid>
        <w:gridCol w:w="2382"/>
        <w:gridCol w:w="2094"/>
        <w:gridCol w:w="2109"/>
        <w:gridCol w:w="109"/>
        <w:gridCol w:w="109"/>
        <w:gridCol w:w="161"/>
        <w:gridCol w:w="312"/>
        <w:gridCol w:w="911"/>
        <w:gridCol w:w="161"/>
        <w:gridCol w:w="240"/>
        <w:gridCol w:w="841"/>
        <w:gridCol w:w="154"/>
      </w:tblGrid>
      <w:tr>
        <w:trPr/>
        <w:tc>
          <w:tcPr>
            <w:tcW w:w="23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235" w:type="dxa"/>
            <w:gridSpan w:val="3"/>
            <w:tcBorders/>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123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658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Weighted average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52,052,370 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52,132,999 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Add 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Restricted stock and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1,362,125 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Weighted average common shares assuming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53,414,495 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52,132,999 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0.10 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(0.28)</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Anti-dilutive shares excluded from calculations of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3"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622,902 </w:t>
            </w:r>
          </w:p>
        </w:tc>
        <w:tc>
          <w:tcPr>
            <w:tcW w:w="161"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1,638,453 </w:t>
            </w:r>
          </w:p>
        </w:tc>
        <w:tc>
          <w:tcPr>
            <w:tcW w:w="154"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91540"/>
                <wp:effectExtent l="0" t="0" r="0" b="0"/>
                <wp:wrapNone/>
                <wp:docPr id="26" name="Frame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9"/>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20"/>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tbl>
      <w:tblPr>
        <w:tblW w:w="2985" w:type="dxa"/>
        <w:jc w:val="left"/>
        <w:tblInd w:w="0" w:type="dxa"/>
        <w:tblLayout w:type="fixed"/>
        <w:tblCellMar>
          <w:top w:w="28" w:type="dxa"/>
          <w:left w:w="28" w:type="dxa"/>
          <w:bottom w:w="28" w:type="dxa"/>
          <w:right w:w="28" w:type="dxa"/>
        </w:tblCellMar>
      </w:tblPr>
      <w:tblGrid>
        <w:gridCol w:w="955"/>
        <w:gridCol w:w="840"/>
        <w:gridCol w:w="1190"/>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5. Fair Value Measurements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use a three-tier fair value hierarchy to measure fair value. This hierarchy prioritizes the inputs into three broad levels as follows:</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 xml:space="preserve">Level 1 - Quoted prices for identical assets or liabilities in active markets; </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Level 3 - Valuations derived from valuation techniques in which one or more significant inputs are unobservable.</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Recurring fair value measurements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Financial assets and liabilities that are measured at fair value on a recurring basis consisted of the following, as of the dates indicated below:</w:t>
      </w:r>
    </w:p>
    <w:tbl>
      <w:tblPr>
        <w:tblW w:w="10205" w:type="dxa"/>
        <w:jc w:val="left"/>
        <w:tblInd w:w="0" w:type="dxa"/>
        <w:tblLayout w:type="fixed"/>
        <w:tblCellMar>
          <w:top w:w="28" w:type="dxa"/>
          <w:left w:w="28" w:type="dxa"/>
          <w:bottom w:w="28" w:type="dxa"/>
          <w:right w:w="28" w:type="dxa"/>
        </w:tblCellMar>
      </w:tblPr>
      <w:tblGrid>
        <w:gridCol w:w="877"/>
        <w:gridCol w:w="600"/>
        <w:gridCol w:w="602"/>
        <w:gridCol w:w="759"/>
        <w:gridCol w:w="1463"/>
        <w:gridCol w:w="396"/>
        <w:gridCol w:w="109"/>
        <w:gridCol w:w="109"/>
        <w:gridCol w:w="109"/>
        <w:gridCol w:w="359"/>
        <w:gridCol w:w="1228"/>
        <w:gridCol w:w="185"/>
        <w:gridCol w:w="109"/>
        <w:gridCol w:w="109"/>
        <w:gridCol w:w="109"/>
        <w:gridCol w:w="374"/>
        <w:gridCol w:w="1094"/>
        <w:gridCol w:w="194"/>
        <w:gridCol w:w="109"/>
        <w:gridCol w:w="109"/>
        <w:gridCol w:w="109"/>
        <w:gridCol w:w="211"/>
        <w:gridCol w:w="721"/>
        <w:gridCol w:w="161"/>
      </w:tblGrid>
      <w:tr>
        <w:trPr/>
        <w:tc>
          <w:tcPr>
            <w:tcW w:w="87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6706" w:type="dxa"/>
            <w:gridSpan w:val="15"/>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Fair value measurement using</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261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Quoted Prices in Active Markets for Identical Assets and Liabilities</w:t>
              <w:br/>
              <w:t>(Level 1)</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 xml:space="preserve">Significant Other Observable Inputs </w:t>
              <w:br/>
              <w:t>(Level 2)</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 xml:space="preserve">Significant Unobservable Inputs </w:t>
              <w:br/>
              <w:t>(Level 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Total</w:t>
            </w:r>
          </w:p>
        </w:tc>
      </w:tr>
      <w:tr>
        <w:trPr/>
        <w:tc>
          <w:tcPr>
            <w:tcW w:w="207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March 31, 2024</w:t>
            </w:r>
          </w:p>
        </w:tc>
        <w:tc>
          <w:tcPr>
            <w:tcW w:w="261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assets:</w:t>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Interest rate swaps</w:t>
            </w:r>
          </w:p>
        </w:tc>
        <w:tc>
          <w:tcPr>
            <w:tcW w:w="7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16,293 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16,293 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assets</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16,553 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16,553 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March 31, 2024</w:t>
            </w:r>
          </w:p>
        </w:tc>
        <w:tc>
          <w:tcPr>
            <w:tcW w:w="261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liabilities:</w:t>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vAlign w:val="center"/>
          </w:tcPr>
          <w:p>
            <w:pPr>
              <w:pStyle w:val="TableContents"/>
              <w:bidi w:val="0"/>
              <w:spacing w:before="0" w:after="283"/>
              <w:jc w:val="left"/>
              <w:rPr>
                <w:sz w:val="4"/>
                <w:szCs w:val="4"/>
              </w:rPr>
            </w:pPr>
            <w:r>
              <w:rPr>
                <w:sz w:val="4"/>
                <w:szCs w:val="4"/>
              </w:rPr>
            </w:r>
          </w:p>
        </w:tc>
        <w:tc>
          <w:tcPr>
            <w:tcW w:w="2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7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 obligations</w:t>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liabilities</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1,403 </w:t>
            </w:r>
          </w:p>
        </w:tc>
        <w:tc>
          <w:tcPr>
            <w:tcW w:w="19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1,495 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December 31, 2023</w:t>
            </w:r>
          </w:p>
        </w:tc>
        <w:tc>
          <w:tcPr>
            <w:tcW w:w="261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assets:</w:t>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Interest rate swaps</w:t>
            </w:r>
          </w:p>
        </w:tc>
        <w:tc>
          <w:tcPr>
            <w:tcW w:w="7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16,198 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16,198 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assets</w:t>
            </w:r>
          </w:p>
        </w:tc>
        <w:tc>
          <w:tcPr>
            <w:tcW w:w="7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16,198 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16,198 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December 31, 2023</w:t>
            </w:r>
          </w:p>
        </w:tc>
        <w:tc>
          <w:tcPr>
            <w:tcW w:w="261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liabilities:</w:t>
            </w:r>
          </w:p>
        </w:tc>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Interest rate swaps</w:t>
            </w:r>
          </w:p>
        </w:tc>
        <w:tc>
          <w:tcPr>
            <w:tcW w:w="7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5,004 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5,004 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2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 obligations</w:t>
            </w:r>
          </w:p>
        </w:tc>
        <w:tc>
          <w:tcPr>
            <w:tcW w:w="22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liabilities</w:t>
            </w:r>
          </w:p>
        </w:tc>
        <w:tc>
          <w:tcPr>
            <w:tcW w:w="7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6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39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5,540 </w:t>
            </w:r>
          </w:p>
        </w:tc>
        <w:tc>
          <w:tcPr>
            <w:tcW w:w="18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1,403 </w:t>
            </w:r>
          </w:p>
        </w:tc>
        <w:tc>
          <w:tcPr>
            <w:tcW w:w="19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6,943 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91540"/>
                <wp:effectExtent l="0" t="0" r="0" b="0"/>
                <wp:wrapNone/>
                <wp:docPr id="29" name="Frame1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2"/>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pPr>
      <w:r>
        <w:rPr>
          <w:rFonts w:ascii="Calibri;sans-serif" w:hAnsi="Calibri;sans-serif"/>
          <w:b w:val="false"/>
          <w:color w:val="51555C"/>
          <w:sz w:val="20"/>
        </w:rPr>
        <w:t xml:space="preserve">Our derivative instruments within the scope of Accounting Standards Codification ("ASC") 815, </w:t>
      </w:r>
      <w:r>
        <w:rPr>
          <w:rFonts w:ascii="Calibri;sans-serif" w:hAnsi="Calibri;sans-serif"/>
          <w:b w:val="false"/>
          <w:i/>
          <w:color w:val="51555C"/>
          <w:sz w:val="20"/>
        </w:rPr>
        <w:t>Derivatives and Hedging</w:t>
      </w:r>
      <w:r>
        <w:rPr>
          <w:rFonts w:ascii="Calibri;sans-serif" w:hAnsi="Calibri;sans-serif"/>
          <w:b w:val="false"/>
          <w:color w:val="51555C"/>
          <w:sz w:val="20"/>
        </w:rPr>
        <w:t>, are required to be recorded at fair value. Our derivative instruments that are recorded at fair value include interest rate swaps and foreign currency forward contracts. See Note 8 to these unaudited, condensed consolidated financial statements for additional information about our derivative instruments.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Contingent consideration obligations arise from business acquisitions. The fair values are based on discounted cash flow analyses reflecting a probability-weighted assessment approach derived from the likelihood of possible achievement of specified performance measures or events and captures the contractual nature of the contingencies, commercial risk, and the time value of money. As the fair value measurements for our contingent consideration obligations contain significant unobservable inputs, they are classified within Level 3 of the fair value hierarchy.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the carrying amounts of our cash and cash equivalents, restricted cash, accounts receivable, trade accounts payable, accrued expenses and other current liabilities and due to customers approximate their fair values at March 31, 2024 and December 31, 2023, due to the immediate or short-term maturity of these instruments.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the carrying amount of our debt approximates its fair value at March 31, 2024 and December 31, 2023, as the debt bears interest rates that approximate market value. As SOFR rates are observable at commonly quoted intervals, our debt under the 2020 Credit Facility (as defined below) is classified within Level 2 of the fair value hierarchy. The fair value of our fixed rate debt does not exceed the carrying amount.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did not transfer any assets or liabilities among the levels within the fair value hierarchy during the three months ended March 31, 2024.</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Non-recurring fair value measurements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were no significant non-recurring fair value adjustments to our long-lived assets, intangible assets, goodwill and operating lease ROU assets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90" w:type="dxa"/>
        <w:jc w:val="left"/>
        <w:tblInd w:w="0" w:type="dxa"/>
        <w:tblLayout w:type="fixed"/>
        <w:tblCellMar>
          <w:top w:w="28" w:type="dxa"/>
          <w:left w:w="28" w:type="dxa"/>
          <w:bottom w:w="28" w:type="dxa"/>
          <w:right w:w="28" w:type="dxa"/>
        </w:tblCellMar>
      </w:tblPr>
      <w:tblGrid>
        <w:gridCol w:w="1468"/>
        <w:gridCol w:w="1290"/>
        <w:gridCol w:w="1832"/>
      </w:tblGrid>
      <w:tr>
        <w:trPr/>
        <w:tc>
          <w:tcPr>
            <w:tcW w:w="146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6. Consolidated Financial Statement Details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Restricted cash</w:t>
      </w:r>
    </w:p>
    <w:tbl>
      <w:tblPr>
        <w:tblW w:w="5442" w:type="dxa"/>
        <w:jc w:val="left"/>
        <w:tblInd w:w="0" w:type="dxa"/>
        <w:tblLayout w:type="fixed"/>
        <w:tblCellMar>
          <w:top w:w="28" w:type="dxa"/>
          <w:left w:w="28" w:type="dxa"/>
          <w:bottom w:w="28" w:type="dxa"/>
          <w:right w:w="28" w:type="dxa"/>
        </w:tblCellMar>
      </w:tblPr>
      <w:tblGrid>
        <w:gridCol w:w="1125"/>
        <w:gridCol w:w="988"/>
        <w:gridCol w:w="992"/>
        <w:gridCol w:w="211"/>
        <w:gridCol w:w="826"/>
        <w:gridCol w:w="109"/>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310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Restricted cash due to customers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355,307 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695,489 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Real estate escrow balances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restricted cash</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356,493 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697,006 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91540"/>
                <wp:effectExtent l="0" t="0" r="0" b="0"/>
                <wp:wrapNone/>
                <wp:docPr id="32" name="Frame1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3"/>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4"/>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Prepaid expenses and other assets</w:t>
      </w:r>
    </w:p>
    <w:tbl>
      <w:tblPr>
        <w:tblW w:w="7445" w:type="dxa"/>
        <w:jc w:val="left"/>
        <w:tblInd w:w="0" w:type="dxa"/>
        <w:tblLayout w:type="fixed"/>
        <w:tblCellMar>
          <w:top w:w="28" w:type="dxa"/>
          <w:left w:w="28" w:type="dxa"/>
          <w:bottom w:w="28" w:type="dxa"/>
          <w:right w:w="28" w:type="dxa"/>
        </w:tblCellMar>
      </w:tblPr>
      <w:tblGrid>
        <w:gridCol w:w="1907"/>
        <w:gridCol w:w="1676"/>
        <w:gridCol w:w="1682"/>
        <w:gridCol w:w="211"/>
        <w:gridCol w:w="721"/>
        <w:gridCol w:w="109"/>
        <w:gridCol w:w="221"/>
        <w:gridCol w:w="757"/>
        <w:gridCol w:w="161"/>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526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Costs of obtaining contracts</w:t>
            </w:r>
            <w:r>
              <w:rPr>
                <w:rFonts w:ascii="Calibri;sans-serif" w:hAnsi="Calibri;sans-serif"/>
                <w:b w:val="false"/>
                <w:color w:val="51555C"/>
                <w:sz w:val="13"/>
              </w:rPr>
              <w:t>(1)(2)</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61,313 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62,377 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Prepaid software maintenance and subscriptions</w:t>
            </w:r>
            <w:r>
              <w:rPr>
                <w:rFonts w:ascii="Calibri;sans-serif" w:hAnsi="Calibri;sans-serif"/>
                <w:b w:val="false"/>
                <w:color w:val="51555C"/>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Derivative instruments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16,553 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16,198 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Implementation costs for cloud computing arrangements, net</w:t>
            </w:r>
            <w:r>
              <w:rPr>
                <w:rFonts w:ascii="Calibri;sans-serif" w:hAnsi="Calibri;sans-serif"/>
                <w:b w:val="false"/>
                <w:color w:val="51555C"/>
                <w:sz w:val="13"/>
              </w:rPr>
              <w:t>(4)(5)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Prepaid insurance</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8,617 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3,940 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Unbilled 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5,615 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Taxes, prepaid and receivable</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3,407 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3,418 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assets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13,073 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13,702 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prepaid expenses and other assets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154,472 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150,322 </w:t>
            </w:r>
          </w:p>
        </w:tc>
        <w:tc>
          <w:tcPr>
            <w:tcW w:w="16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59,883 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51,037 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Prepaid expenses and other current assets</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94,589 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99,285 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(1)Amortization expense from costs of obtaining contracts was $4.8 million and $8.3 million for the three months ended March 31, 2024 and 2023, respectively.</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(2)The current portion of costs of obtaining contracts as of March 31, 2024 and December 31, 2023 was $18.8 million and $25.3 million, respectively.</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(3)The current portion of prepaid software maintenance and subscriptions as of March 31, 2024 and December 31, 2023 was $31.6 million and $32.4 million, respectively.</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(4)These costs primarily relate to the multi-year implementations of our new global enterprise resource planning and customer relationship management systems.</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(5)Amortization expense from capitalized cloud computing implementation costs was insignificant for the three months ended March 31, 2024 and 2023, respectively. Accumulated amortization for these costs was $8.4 million and $7.7 million as of March 31, 2024 and December 31, 2023, respectively.</w:t>
      </w:r>
    </w:p>
    <w:p>
      <w:pPr>
        <w:pStyle w:val="TextBody"/>
        <w:bidi w:val="0"/>
        <w:spacing w:before="180" w:after="283"/>
        <w:ind w:left="0" w:right="0" w:firstLine="360"/>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Accrued expenses and other liabilities</w:t>
      </w:r>
    </w:p>
    <w:tbl>
      <w:tblPr>
        <w:tblW w:w="7114" w:type="dxa"/>
        <w:jc w:val="left"/>
        <w:tblInd w:w="0" w:type="dxa"/>
        <w:tblLayout w:type="fixed"/>
        <w:tblCellMar>
          <w:top w:w="28" w:type="dxa"/>
          <w:left w:w="28" w:type="dxa"/>
          <w:bottom w:w="28" w:type="dxa"/>
          <w:right w:w="28" w:type="dxa"/>
        </w:tblCellMar>
      </w:tblPr>
      <w:tblGrid>
        <w:gridCol w:w="1788"/>
        <w:gridCol w:w="1569"/>
        <w:gridCol w:w="1577"/>
        <w:gridCol w:w="211"/>
        <w:gridCol w:w="721"/>
        <w:gridCol w:w="109"/>
        <w:gridCol w:w="221"/>
        <w:gridCol w:w="757"/>
        <w:gridCol w:w="161"/>
      </w:tblGrid>
      <w:tr>
        <w:trPr/>
        <w:tc>
          <w:tcPr>
            <w:tcW w:w="178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493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Taxes payable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29,753 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21,282 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Accrued legal costs</w:t>
            </w:r>
            <w:r>
              <w:rPr>
                <w:rFonts w:ascii="Calibri;sans-serif" w:hAnsi="Calibri;sans-serif"/>
                <w:b w:val="false"/>
                <w:color w:val="51555C"/>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Customer credit balances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9,102 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10,238 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Operating lease liabilities,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6,701 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commissions and salaries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2,987 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4,413 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health care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vacation costs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2,349 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2,452 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transaction-based costs related to payments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4,323 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Contingent consideration liability</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Derivative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5,540 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liabilities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11,017 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10,704 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accrued expenses and other liabilities</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79,434 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74,580 </w:t>
            </w:r>
          </w:p>
        </w:tc>
        <w:tc>
          <w:tcPr>
            <w:tcW w:w="16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4,163 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10,258 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expenses and other current liabilities</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75,271 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64,322 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shd w:fill="FFFFFF" w:val="clear"/>
        </w:rPr>
      </w:pPr>
      <w:r>
        <w:rPr>
          <w:rFonts w:ascii="Calibri;sans-serif" w:hAnsi="Calibri;sans-serif"/>
          <w:b w:val="false"/>
          <w:color w:val="51555C"/>
          <w:sz w:val="16"/>
          <w:shd w:fill="FFFFFF" w:val="clear"/>
        </w:rPr>
        <w:t>(1)All accrued legal costs are classified as current. See Note 9 to these unaudited, condensed consolidated financial statements for additional information about our loss contingency accruals and other legal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91540"/>
                <wp:effectExtent l="0" t="0" r="0" b="0"/>
                <wp:wrapNone/>
                <wp:docPr id="35" name="Frame1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5"/>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ind w:left="0" w:right="0" w:firstLine="720"/>
        <w:jc w:val="both"/>
        <w:rPr/>
      </w:pPr>
      <w:r>
        <w:rPr>
          <w:rFonts w:ascii="Calibri;sans-serif" w:hAnsi="Calibri;sans-serif"/>
          <w:b/>
          <w:color w:val="51555C"/>
          <w:sz w:val="20"/>
        </w:rPr>
        <w:t>Other income, net</w:t>
      </w:r>
      <w:r>
        <w:rPr>
          <w:color w:val="51555C"/>
        </w:rPr>
        <w:t xml:space="preserve"> </w:t>
      </w:r>
    </w:p>
    <w:tbl>
      <w:tblPr>
        <w:tblW w:w="5608" w:type="dxa"/>
        <w:jc w:val="left"/>
        <w:tblInd w:w="0" w:type="dxa"/>
        <w:tblLayout w:type="fixed"/>
        <w:tblCellMar>
          <w:top w:w="28" w:type="dxa"/>
          <w:left w:w="28" w:type="dxa"/>
          <w:bottom w:w="28" w:type="dxa"/>
          <w:right w:w="28" w:type="dxa"/>
        </w:tblCellMar>
      </w:tblPr>
      <w:tblGrid>
        <w:gridCol w:w="1037"/>
        <w:gridCol w:w="912"/>
        <w:gridCol w:w="915"/>
        <w:gridCol w:w="109"/>
        <w:gridCol w:w="109"/>
        <w:gridCol w:w="161"/>
        <w:gridCol w:w="312"/>
        <w:gridCol w:w="911"/>
        <w:gridCol w:w="161"/>
        <w:gridCol w:w="211"/>
        <w:gridCol w:w="61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98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28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2,048 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1,236 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Currency revaluation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1,016 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3,347 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2,007 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9" w:type="dxa"/>
        <w:jc w:val="left"/>
        <w:tblInd w:w="0" w:type="dxa"/>
        <w:tblLayout w:type="fixed"/>
        <w:tblCellMar>
          <w:top w:w="28" w:type="dxa"/>
          <w:left w:w="28" w:type="dxa"/>
          <w:bottom w:w="28" w:type="dxa"/>
          <w:right w:w="28" w:type="dxa"/>
        </w:tblCellMar>
      </w:tblPr>
      <w:tblGrid>
        <w:gridCol w:w="287"/>
        <w:gridCol w:w="253"/>
        <w:gridCol w:w="359"/>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7. Debt</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summarizes our debt balances and the related weighted average effective interest rates, which includes the effect of interest rate swap agreements.</w:t>
      </w:r>
    </w:p>
    <w:tbl>
      <w:tblPr>
        <w:tblW w:w="9080" w:type="dxa"/>
        <w:jc w:val="left"/>
        <w:tblInd w:w="0" w:type="dxa"/>
        <w:tblLayout w:type="fixed"/>
        <w:tblCellMar>
          <w:top w:w="28" w:type="dxa"/>
          <w:left w:w="28" w:type="dxa"/>
          <w:bottom w:w="28" w:type="dxa"/>
          <w:right w:w="28" w:type="dxa"/>
        </w:tblCellMar>
      </w:tblPr>
      <w:tblGrid>
        <w:gridCol w:w="1505"/>
        <w:gridCol w:w="1322"/>
        <w:gridCol w:w="1327"/>
        <w:gridCol w:w="211"/>
        <w:gridCol w:w="976"/>
        <w:gridCol w:w="109"/>
        <w:gridCol w:w="211"/>
        <w:gridCol w:w="826"/>
        <w:gridCol w:w="109"/>
        <w:gridCol w:w="109"/>
        <w:gridCol w:w="109"/>
        <w:gridCol w:w="109"/>
        <w:gridCol w:w="334"/>
        <w:gridCol w:w="207"/>
        <w:gridCol w:w="458"/>
        <w:gridCol w:w="255"/>
        <w:gridCol w:w="256"/>
        <w:gridCol w:w="647"/>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Debt balance at</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Weighted average</w:t>
              <w:br/>
              <w:t>effective interest rate at</w:t>
            </w:r>
          </w:p>
        </w:tc>
      </w:tr>
      <w:tr>
        <w:trPr/>
        <w:tc>
          <w:tcPr>
            <w:tcW w:w="41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29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c>
          <w:tcPr>
            <w:tcW w:w="327"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15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41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Credit facility:</w:t>
            </w:r>
          </w:p>
        </w:tc>
        <w:tc>
          <w:tcPr>
            <w:tcW w:w="129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Revolving credit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379,000 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7.10 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7.52 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Term loans</w:t>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603,438 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607,500 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3.48 </w:t>
            </w:r>
          </w:p>
        </w:tc>
        <w:tc>
          <w:tcPr>
            <w:tcW w:w="45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3.51 </w:t>
            </w:r>
          </w:p>
        </w:tc>
        <w:tc>
          <w:tcPr>
            <w:tcW w:w="64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Real estate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5.22 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5.22 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debt</w:t>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2,231 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8.50 </w:t>
            </w:r>
          </w:p>
        </w:tc>
        <w:tc>
          <w:tcPr>
            <w:tcW w:w="45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8.42 </w:t>
            </w:r>
          </w:p>
        </w:tc>
        <w:tc>
          <w:tcPr>
            <w:tcW w:w="64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debt</w:t>
            </w:r>
          </w:p>
        </w:tc>
        <w:tc>
          <w:tcPr>
            <w:tcW w:w="118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1,041,033 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781,145 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4.90 </w:t>
            </w:r>
          </w:p>
        </w:tc>
        <w:tc>
          <w:tcPr>
            <w:tcW w:w="45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4.24 </w:t>
            </w:r>
          </w:p>
        </w:tc>
        <w:tc>
          <w:tcPr>
            <w:tcW w:w="64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Unamortized discount and debt issuance costs</w:t>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1,211 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1,481 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Debt,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6.99 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7.02 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Debt, net of current portion</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7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1,020,520 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760,405 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4.86 </w:t>
            </w:r>
          </w:p>
        </w:tc>
        <w:tc>
          <w:tcPr>
            <w:tcW w:w="45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4.17 </w:t>
            </w:r>
          </w:p>
        </w:tc>
        <w:tc>
          <w:tcPr>
            <w:tcW w:w="64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2020 credit facility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October 2020, we entered into a five-year $900.0 million senior credit facility (the "2020 Credit Facility"). At March 31, 2024, we were in compliance with our debt covenants under the 2020 Credit Facility. </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Real estate loans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At March 31, 2024, we were in compliance with our debt covenants under the Real Estate Loans.</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Other debt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91540"/>
                <wp:effectExtent l="0" t="0" r="0" b="0"/>
                <wp:wrapNone/>
                <wp:docPr id="38" name="Frame1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7"/>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28"/>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summarizes our currently effective supplier financing agreements as of March 31, 2024:</w:t>
      </w:r>
    </w:p>
    <w:tbl>
      <w:tblPr>
        <w:tblW w:w="7211" w:type="dxa"/>
        <w:jc w:val="left"/>
        <w:tblInd w:w="0" w:type="dxa"/>
        <w:tblLayout w:type="fixed"/>
        <w:tblCellMar>
          <w:top w:w="28" w:type="dxa"/>
          <w:left w:w="28" w:type="dxa"/>
          <w:bottom w:w="28" w:type="dxa"/>
          <w:right w:w="28" w:type="dxa"/>
        </w:tblCellMar>
      </w:tblPr>
      <w:tblGrid>
        <w:gridCol w:w="1027"/>
        <w:gridCol w:w="902"/>
        <w:gridCol w:w="906"/>
        <w:gridCol w:w="279"/>
        <w:gridCol w:w="279"/>
        <w:gridCol w:w="281"/>
        <w:gridCol w:w="434"/>
        <w:gridCol w:w="434"/>
        <w:gridCol w:w="436"/>
        <w:gridCol w:w="394"/>
        <w:gridCol w:w="394"/>
        <w:gridCol w:w="396"/>
        <w:gridCol w:w="226"/>
        <w:gridCol w:w="659"/>
        <w:gridCol w:w="16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8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Term</w:t>
              <w:br/>
              <w:t> in Months</w:t>
            </w:r>
          </w:p>
        </w:tc>
        <w:tc>
          <w:tcPr>
            <w:tcW w:w="13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Number of</w:t>
              <w:br/>
              <w:t>Annual Payments</w:t>
            </w:r>
          </w:p>
        </w:tc>
        <w:tc>
          <w:tcPr>
            <w:tcW w:w="118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First Annual</w:t>
              <w:br/>
              <w:t>Payment Due</w:t>
            </w:r>
          </w:p>
        </w:tc>
        <w:tc>
          <w:tcPr>
            <w:tcW w:w="104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Original Loan</w:t>
              <w:br/>
              <w:t>Value</w:t>
            </w:r>
          </w:p>
        </w:tc>
      </w:tr>
      <w:tr>
        <w:trPr/>
        <w:tc>
          <w:tcPr>
            <w:tcW w:w="283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pPr>
            <w:r>
              <w:rPr>
                <w:rFonts w:ascii="Calibri;sans-serif" w:hAnsi="Calibri;sans-serif"/>
                <w:b/>
                <w:color w:val="51555C"/>
                <w:sz w:val="20"/>
              </w:rPr>
              <w:t xml:space="preserve">Effective dates of agreements </w:t>
            </w:r>
            <w:r>
              <w:rPr>
                <w:rFonts w:ascii="Calibri;sans-serif" w:hAnsi="Calibri;sans-serif"/>
                <w:b/>
                <w:color w:val="51555C"/>
                <w:sz w:val="13"/>
              </w:rPr>
              <w:t>(1)</w:t>
            </w:r>
            <w:r>
              <w:rPr>
                <w:rFonts w:ascii="Calibri;sans-serif" w:hAnsi="Calibri;sans-serif"/>
                <w:b/>
                <w:color w:val="51555C"/>
                <w:sz w:val="20"/>
              </w:rPr>
              <w:t>:</w:t>
            </w:r>
          </w:p>
        </w:tc>
        <w:tc>
          <w:tcPr>
            <w:tcW w:w="83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December 2022</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January 2023</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January 2023</w:t>
            </w:r>
          </w:p>
        </w:tc>
        <w:tc>
          <w:tcPr>
            <w:tcW w:w="83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w:t>
            </w:r>
          </w:p>
        </w:tc>
        <w:tc>
          <w:tcPr>
            <w:tcW w:w="86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3 </w:t>
            </w:r>
          </w:p>
        </w:tc>
        <w:tc>
          <w:tcPr>
            <w:tcW w:w="43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April 2023</w:t>
            </w:r>
          </w:p>
        </w:tc>
        <w:tc>
          <w:tcPr>
            <w:tcW w:w="2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5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2,491 </w:t>
            </w:r>
          </w:p>
        </w:tc>
        <w:tc>
          <w:tcPr>
            <w:tcW w:w="16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shd w:fill="FFFFFF" w:val="clear"/>
        </w:rPr>
      </w:pPr>
      <w:r>
        <w:rPr>
          <w:rFonts w:ascii="Calibri;sans-serif" w:hAnsi="Calibri;sans-serif"/>
          <w:b w:val="false"/>
          <w:color w:val="51555C"/>
          <w:sz w:val="16"/>
          <w:shd w:fill="FFFFFF" w:val="clear"/>
        </w:rPr>
        <w:t>(1)Represent noncash investing and financing transactions during the periods indicated as we purchased software and services by assuming directly related liabilities.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changes in supplier financing obligations during the three months ended March 31, 2024, consisted of the following:</w:t>
      </w:r>
    </w:p>
    <w:tbl>
      <w:tblPr>
        <w:tblW w:w="3591" w:type="dxa"/>
        <w:jc w:val="left"/>
        <w:tblInd w:w="0" w:type="dxa"/>
        <w:tblLayout w:type="fixed"/>
        <w:tblCellMar>
          <w:top w:w="28" w:type="dxa"/>
          <w:left w:w="28" w:type="dxa"/>
          <w:bottom w:w="28" w:type="dxa"/>
          <w:right w:w="28" w:type="dxa"/>
        </w:tblCellMar>
      </w:tblPr>
      <w:tblGrid>
        <w:gridCol w:w="945"/>
        <w:gridCol w:w="831"/>
        <w:gridCol w:w="834"/>
        <w:gridCol w:w="211"/>
        <w:gridCol w:w="61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98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Total</w:t>
            </w:r>
          </w:p>
        </w:tc>
      </w:tr>
      <w:tr>
        <w:trPr/>
        <w:tc>
          <w:tcPr>
            <w:tcW w:w="261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Balance at December 31, 2023</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2,800 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Settlements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(569)</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Balance at March 31, 2024</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2,231 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29" w:type="dxa"/>
        <w:jc w:val="left"/>
        <w:tblInd w:w="0" w:type="dxa"/>
        <w:tblLayout w:type="fixed"/>
        <w:tblCellMar>
          <w:top w:w="28" w:type="dxa"/>
          <w:left w:w="28" w:type="dxa"/>
          <w:bottom w:w="28" w:type="dxa"/>
          <w:right w:w="28" w:type="dxa"/>
        </w:tblCellMar>
      </w:tblPr>
      <w:tblGrid>
        <w:gridCol w:w="874"/>
        <w:gridCol w:w="768"/>
        <w:gridCol w:w="108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8. Derivative Instruments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All of our derivative instruments are governed by International Swap Dealers Association, Inc. master agreements with our counterparties. As of March 31, 2024 and December 31, 2023, we have presented the fair value of our derivative instruments at the gross amounts in the condensed consolidated balance sheets as the gross fair values of our derivative instruments equaled their net fair values.</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Cash flow hedges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entered into interest rate swap agreements, which effectively convert portions of our variable rate debt under the 2020 Credit Facility to a fixed rate for the term of the swap agreements. We designated each of the interest rate swaps as cash flow hedges at the inception of the contracts. As of March 31, 2024 and December 31, 2023, the aggregate notional values of the interest rate swaps were $935.0 million and $935.0 million, respectively. All of the contracts have maturities on or before October 2028.</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March 31, 2024 and December 31, 2023, the aggregate notional values of the foreign currency forward contracts designated as cash flow hedges that we held to buy USD in exchange for Canadian Dollars were $30.6 million CAD and $29.9 million CAD, respectively. All of the contracts have maturities of 12 months or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91540"/>
                <wp:effectExtent l="0" t="0" r="0" b="0"/>
                <wp:wrapNone/>
                <wp:docPr id="41" name="Frame1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2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Net investment hedges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March 31, 2024 and December 31, 2023, the aggregate notional values of the foreign currency forward contracts designated as net investment hedges to reduce the volatility of the U.S. dollar value of a portion of our GBP-denominated investments was £16.6 million and £13.2 million, respectively.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fair values of our derivative instruments were as follows as of:</w:t>
      </w:r>
    </w:p>
    <w:tbl>
      <w:tblPr>
        <w:tblW w:w="10205" w:type="dxa"/>
        <w:jc w:val="left"/>
        <w:tblInd w:w="0" w:type="dxa"/>
        <w:tblLayout w:type="fixed"/>
        <w:tblCellMar>
          <w:top w:w="28" w:type="dxa"/>
          <w:left w:w="28" w:type="dxa"/>
          <w:bottom w:w="28" w:type="dxa"/>
          <w:right w:w="28" w:type="dxa"/>
        </w:tblCellMar>
      </w:tblPr>
      <w:tblGrid>
        <w:gridCol w:w="1203"/>
        <w:gridCol w:w="945"/>
        <w:gridCol w:w="933"/>
        <w:gridCol w:w="519"/>
        <w:gridCol w:w="430"/>
        <w:gridCol w:w="432"/>
        <w:gridCol w:w="211"/>
        <w:gridCol w:w="721"/>
        <w:gridCol w:w="109"/>
        <w:gridCol w:w="216"/>
        <w:gridCol w:w="738"/>
        <w:gridCol w:w="111"/>
        <w:gridCol w:w="109"/>
        <w:gridCol w:w="109"/>
        <w:gridCol w:w="109"/>
        <w:gridCol w:w="554"/>
        <w:gridCol w:w="465"/>
        <w:gridCol w:w="467"/>
        <w:gridCol w:w="222"/>
        <w:gridCol w:w="427"/>
        <w:gridCol w:w="114"/>
        <w:gridCol w:w="226"/>
        <w:gridCol w:w="662"/>
        <w:gridCol w:w="173"/>
      </w:tblGrid>
      <w:tr>
        <w:trPr/>
        <w:tc>
          <w:tcPr>
            <w:tcW w:w="120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Asset derivatives</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Liability derivatives</w:t>
            </w:r>
          </w:p>
        </w:tc>
      </w:tr>
      <w:tr>
        <w:trPr/>
        <w:tc>
          <w:tcPr>
            <w:tcW w:w="30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3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Balance sheet location</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06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Balance sheet location</w:t>
            </w:r>
          </w:p>
        </w:tc>
        <w:tc>
          <w:tcPr>
            <w:tcW w:w="76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06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308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Derivative instruments designated as hedging instruments:</w:t>
            </w:r>
          </w:p>
        </w:tc>
        <w:tc>
          <w:tcPr>
            <w:tcW w:w="138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rate swaps, current portion</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Prepaid expenses</w:t>
              <w:br/>
              <w:t>and 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Accrued expenses</w:t>
              <w:br/>
              <w:t>and other current liabilities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 current portion</w:t>
            </w:r>
          </w:p>
        </w:tc>
        <w:tc>
          <w:tcPr>
            <w:tcW w:w="1381"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Calibri;sans-serif" w:hAnsi="Calibri;sans-serif"/>
                <w:b w:val="false"/>
                <w:color w:val="51555C"/>
                <w:sz w:val="20"/>
              </w:rPr>
            </w:pPr>
            <w:r>
              <w:rPr>
                <w:rFonts w:ascii="Calibri;sans-serif" w:hAnsi="Calibri;sans-serif"/>
                <w:b w:val="false"/>
                <w:color w:val="51555C"/>
                <w:sz w:val="20"/>
              </w:rPr>
              <w:t>Prepaid expenses</w:t>
            </w:r>
          </w:p>
          <w:p>
            <w:pPr>
              <w:pStyle w:val="TableContents"/>
              <w:bidi w:val="0"/>
              <w:spacing w:lineRule="auto" w:line="288" w:before="60" w:after="283"/>
              <w:jc w:val="right"/>
              <w:rPr>
                <w:rFonts w:ascii="Calibri;sans-serif" w:hAnsi="Calibri;sans-serif"/>
                <w:b w:val="false"/>
                <w:color w:val="51555C"/>
                <w:sz w:val="20"/>
              </w:rPr>
            </w:pPr>
            <w:r>
              <w:rPr>
                <w:rFonts w:ascii="Calibri;sans-serif" w:hAnsi="Calibri;sans-serif"/>
                <w:b w:val="false"/>
                <w:color w:val="51555C"/>
                <w:sz w:val="20"/>
              </w:rPr>
              <w:t>and other current assets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Accrued expenses</w:t>
              <w:br/>
              <w:t>and other</w:t>
              <w:br/>
              <w:t>current liabilities</w:t>
            </w:r>
          </w:p>
        </w:tc>
        <w:tc>
          <w:tcPr>
            <w:tcW w:w="6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536 </w:t>
            </w:r>
          </w:p>
        </w:tc>
        <w:tc>
          <w:tcPr>
            <w:tcW w:w="1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Interest rate swaps, long-term</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Other liabilities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Total derivative instruments designated as hedging instruments</w:t>
            </w:r>
          </w:p>
        </w:tc>
        <w:tc>
          <w:tcPr>
            <w:tcW w:w="1381"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16,553 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3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16,198 </w:t>
            </w:r>
          </w:p>
        </w:tc>
        <w:tc>
          <w:tcPr>
            <w:tcW w:w="1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42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92 </w:t>
            </w:r>
          </w:p>
        </w:tc>
        <w:tc>
          <w:tcPr>
            <w:tcW w:w="11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6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5,540 </w:t>
            </w:r>
          </w:p>
        </w:tc>
        <w:tc>
          <w:tcPr>
            <w:tcW w:w="17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effects of derivative instruments in cash flow and net investment hedging relationships were as follows:</w:t>
      </w:r>
    </w:p>
    <w:tbl>
      <w:tblPr>
        <w:tblW w:w="10086" w:type="dxa"/>
        <w:jc w:val="left"/>
        <w:tblInd w:w="0" w:type="dxa"/>
        <w:tblLayout w:type="fixed"/>
        <w:tblCellMar>
          <w:top w:w="28" w:type="dxa"/>
          <w:left w:w="28" w:type="dxa"/>
          <w:bottom w:w="28" w:type="dxa"/>
          <w:right w:w="28" w:type="dxa"/>
        </w:tblCellMar>
      </w:tblPr>
      <w:tblGrid>
        <w:gridCol w:w="1053"/>
        <w:gridCol w:w="926"/>
        <w:gridCol w:w="930"/>
        <w:gridCol w:w="328"/>
        <w:gridCol w:w="1122"/>
        <w:gridCol w:w="170"/>
        <w:gridCol w:w="484"/>
        <w:gridCol w:w="484"/>
        <w:gridCol w:w="486"/>
        <w:gridCol w:w="109"/>
        <w:gridCol w:w="109"/>
        <w:gridCol w:w="833"/>
        <w:gridCol w:w="2437"/>
        <w:gridCol w:w="615"/>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Gain (loss) recognized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in accumulated other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comprehensive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 (loss) as of</w:t>
            </w:r>
          </w:p>
        </w:tc>
        <w:tc>
          <w:tcPr>
            <w:tcW w:w="145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Location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of gain (loss)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reclassified from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accumulated other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comprehensive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 (loss) into</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Gain reclassified from accumulated</w:t>
            </w:r>
          </w:p>
          <w:p>
            <w:pPr>
              <w:pStyle w:val="TableContents"/>
              <w:bidi w:val="0"/>
              <w:spacing w:lineRule="auto" w:line="288" w:before="0" w:after="0"/>
              <w:jc w:val="right"/>
              <w:rPr>
                <w:color w:val="FFFFFF"/>
              </w:rPr>
            </w:pPr>
            <w:r>
              <w:rPr>
                <w:color w:val="FFFFFF"/>
              </w:rPr>
              <w:t> </w:t>
            </w:r>
            <w:r>
              <w:rPr>
                <w:rFonts w:ascii="Calibri;sans-serif" w:hAnsi="Calibri;sans-serif"/>
                <w:b/>
                <w:color w:val="FFFFFF"/>
                <w:sz w:val="16"/>
              </w:rPr>
              <w:t>other comprehensive income (loss) into income (loss)</w:t>
            </w:r>
          </w:p>
        </w:tc>
      </w:tr>
      <w:tr>
        <w:trPr/>
        <w:tc>
          <w:tcPr>
            <w:tcW w:w="29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62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45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 2024</w:t>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Cash Flow Hedges</w:t>
            </w:r>
          </w:p>
        </w:tc>
        <w:tc>
          <w:tcPr>
            <w:tcW w:w="162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rate swaps</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16,293 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2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5,473 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260 </w:t>
            </w:r>
          </w:p>
        </w:tc>
        <w:tc>
          <w:tcPr>
            <w:tcW w:w="1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243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34 </w:t>
            </w:r>
          </w:p>
        </w:tc>
        <w:tc>
          <w:tcPr>
            <w:tcW w:w="61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Net Investment Hedges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w:t>
            </w:r>
          </w:p>
        </w:tc>
        <w:tc>
          <w:tcPr>
            <w:tcW w:w="1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243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61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2023</w:t>
            </w:r>
          </w:p>
        </w:tc>
        <w:tc>
          <w:tcPr>
            <w:tcW w:w="1454"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 2023</w:t>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Cash Flow Hedges</w:t>
            </w:r>
          </w:p>
        </w:tc>
        <w:tc>
          <w:tcPr>
            <w:tcW w:w="162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rate swaps</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17,594 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2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4,499 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1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243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125 </w:t>
            </w:r>
          </w:p>
        </w:tc>
        <w:tc>
          <w:tcPr>
            <w:tcW w:w="61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Net Investment Hedges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(417)</w:t>
            </w:r>
          </w:p>
        </w:tc>
        <w:tc>
          <w:tcPr>
            <w:tcW w:w="170"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243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61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91540"/>
                <wp:effectExtent l="0" t="0" r="0" b="0"/>
                <wp:wrapNone/>
                <wp:docPr id="44" name="Frame1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31"/>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32"/>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March 31, 2024 that is expected to be reclassified into earnings within the next twelve months is $14.7 million. There were no ineffective portions of our interest rate swap or foreign currency forward derivatives during the three months ended March 31, 2024 and 2023. See Note 11 to these unaudited, condensed consolidated financial statements for a summary of the changes in accumulated other comprehensive income (loss) by component. We classify cash flows related to derivative instruments as operating activities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50" w:type="dxa"/>
        <w:jc w:val="left"/>
        <w:tblInd w:w="0" w:type="dxa"/>
        <w:tblLayout w:type="fixed"/>
        <w:tblCellMar>
          <w:top w:w="28" w:type="dxa"/>
          <w:left w:w="28" w:type="dxa"/>
          <w:bottom w:w="28" w:type="dxa"/>
          <w:right w:w="28" w:type="dxa"/>
        </w:tblCellMar>
      </w:tblPr>
      <w:tblGrid>
        <w:gridCol w:w="1200"/>
        <w:gridCol w:w="1056"/>
        <w:gridCol w:w="149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9. Commitments and Contingencies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Leases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operating leases for corporate offices, subleased offices and certain equipment and furniture. As of March 31, 2024, we did not have any operating leases that had not yet commenced.</w:t>
      </w:r>
    </w:p>
    <w:p>
      <w:pPr>
        <w:pStyle w:val="TextBody"/>
        <w:bidi w:val="0"/>
        <w:spacing w:lineRule="auto" w:line="288" w:before="180" w:after="283"/>
        <w:jc w:val="left"/>
        <w:rPr>
          <w:rFonts w:ascii="Calibri;sans-serif" w:hAnsi="Calibri;sans-serif"/>
          <w:b w:val="false"/>
          <w:color w:val="51555C"/>
          <w:sz w:val="20"/>
        </w:rPr>
      </w:pPr>
      <w:r>
        <w:rPr>
          <w:rFonts w:ascii="Calibri;sans-serif" w:hAnsi="Calibri;sans-serif"/>
          <w:b w:val="false"/>
          <w:color w:val="51555C"/>
          <w:sz w:val="20"/>
        </w:rPr>
        <w:t>The following table summarizes the components of our lease expense:</w:t>
      </w:r>
    </w:p>
    <w:tbl>
      <w:tblPr>
        <w:tblW w:w="4619" w:type="dxa"/>
        <w:jc w:val="left"/>
        <w:tblInd w:w="0" w:type="dxa"/>
        <w:tblLayout w:type="fixed"/>
        <w:tblCellMar>
          <w:top w:w="28" w:type="dxa"/>
          <w:left w:w="28" w:type="dxa"/>
          <w:bottom w:w="28" w:type="dxa"/>
          <w:right w:w="28" w:type="dxa"/>
        </w:tblCellMar>
      </w:tblPr>
      <w:tblGrid>
        <w:gridCol w:w="679"/>
        <w:gridCol w:w="597"/>
        <w:gridCol w:w="599"/>
        <w:gridCol w:w="109"/>
        <w:gridCol w:w="109"/>
        <w:gridCol w:w="161"/>
        <w:gridCol w:w="312"/>
        <w:gridCol w:w="911"/>
        <w:gridCol w:w="161"/>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98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187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Operating lease cost</w:t>
            </w:r>
            <w:r>
              <w:rPr>
                <w:rFonts w:ascii="Calibri;sans-serif" w:hAnsi="Calibri;sans-serif"/>
                <w:b w:val="false"/>
                <w:color w:val="51555C"/>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1,986 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2,385 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(698)</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(811)</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1,601 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2,006 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short-term lease costs, which were immaterial.</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Other commitments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contractual obligations for third-party technology used in our solutions and for other services we purchase as part of our normal operations. In certain cases, these arrangements require a minimum annual purchase commitment by us. As of March 31, 2024, the remaining aggregate minimum purchase commitment under these arrangements was approximately $239.8 million through 2029.</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Solution and service indemnifications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91540"/>
                <wp:effectExtent l="0" t="0" r="0" b="0"/>
                <wp:wrapNone/>
                <wp:docPr id="47" name="Frame1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3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Legal proceedings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subject to legal proceedings and claims that arise in the ordinary course of business, as well as certain other non-ordinary course proceedings, claims and investigations,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pStyle w:val="TextBody"/>
        <w:bidi w:val="0"/>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do not believe that any data went beyond the cybercriminal, has been misused, or has been disseminated or otherwise made available publicly. Our investigation into the Security Incident remains ongoing.</w:t>
      </w:r>
    </w:p>
    <w:p>
      <w:pPr>
        <w:pStyle w:val="TextBody"/>
        <w:bidi w:val="0"/>
        <w:spacing w:lineRule="auto" w:line="288" w:before="180" w:after="283"/>
        <w:jc w:val="both"/>
        <w:rPr/>
      </w:pPr>
      <w:r>
        <w:rPr>
          <w:rFonts w:ascii="Calibri;sans-serif" w:hAnsi="Calibri;sans-serif"/>
          <w:b w:val="false"/>
          <w:color w:val="51555C"/>
          <w:sz w:val="20"/>
        </w:rPr>
        <w:t>As a result of the Security Incident, we are currently subject to certain legal proceedings, claims and investigations, as discussed below, and could be the subject of additional legal proceedings, claims, inquiries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reduced our fina</w:t>
      </w:r>
      <w:r>
        <w:rPr>
          <w:rFonts w:ascii="Calibri;sans-serif" w:hAnsi="Calibri;sans-serif"/>
          <w:b w:val="false"/>
          <w:color w:val="51555C"/>
          <w:sz w:val="20"/>
          <w:shd w:fill="FFFFFF" w:val="clear"/>
        </w:rPr>
        <w:t>ncial exposure related to the Security Incident in prior years.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recorded expenses and offsetting insurance recoveries related to the Security Incident as follows:</w:t>
      </w:r>
    </w:p>
    <w:tbl>
      <w:tblPr>
        <w:tblW w:w="5413" w:type="dxa"/>
        <w:jc w:val="left"/>
        <w:tblInd w:w="0" w:type="dxa"/>
        <w:tblLayout w:type="fixed"/>
        <w:tblCellMar>
          <w:top w:w="28" w:type="dxa"/>
          <w:left w:w="28" w:type="dxa"/>
          <w:bottom w:w="28" w:type="dxa"/>
          <w:right w:w="28" w:type="dxa"/>
        </w:tblCellMar>
      </w:tblPr>
      <w:tblGrid>
        <w:gridCol w:w="929"/>
        <w:gridCol w:w="816"/>
        <w:gridCol w:w="820"/>
        <w:gridCol w:w="109"/>
        <w:gridCol w:w="109"/>
        <w:gridCol w:w="146"/>
        <w:gridCol w:w="283"/>
        <w:gridCol w:w="969"/>
        <w:gridCol w:w="146"/>
        <w:gridCol w:w="211"/>
        <w:gridCol w:w="72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086" w:type="dxa"/>
            <w:gridSpan w:val="3"/>
            <w:tcBorders/>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256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Gross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10,323 </w:t>
            </w:r>
          </w:p>
        </w:tc>
        <w:tc>
          <w:tcPr>
            <w:tcW w:w="1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17,783 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Offsetting insurance 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6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10,323 </w:t>
            </w:r>
          </w:p>
        </w:tc>
        <w:tc>
          <w:tcPr>
            <w:tcW w:w="1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17,783 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91540"/>
                <wp:effectExtent l="0" t="0" r="0" b="0"/>
                <wp:wrapNone/>
                <wp:docPr id="50" name="Frame1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35"/>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36"/>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summarizes our cumulative expenses, insurance recoveries recognized and insurance recoveries paid as of:</w:t>
      </w:r>
    </w:p>
    <w:tbl>
      <w:tblPr>
        <w:tblW w:w="6702" w:type="dxa"/>
        <w:jc w:val="left"/>
        <w:tblInd w:w="0" w:type="dxa"/>
        <w:tblLayout w:type="fixed"/>
        <w:tblCellMar>
          <w:top w:w="28" w:type="dxa"/>
          <w:left w:w="28" w:type="dxa"/>
          <w:bottom w:w="28" w:type="dxa"/>
          <w:right w:w="28" w:type="dxa"/>
        </w:tblCellMar>
      </w:tblPr>
      <w:tblGrid>
        <w:gridCol w:w="1581"/>
        <w:gridCol w:w="1389"/>
        <w:gridCol w:w="1395"/>
        <w:gridCol w:w="211"/>
        <w:gridCol w:w="826"/>
        <w:gridCol w:w="109"/>
        <w:gridCol w:w="211"/>
        <w:gridCol w:w="826"/>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436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gross expense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171,754 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161,431 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offsetting insurance recoveries recognized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net expense</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121,754 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111,431 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offsetting insurance recoveries paid</w:t>
            </w:r>
          </w:p>
        </w:tc>
        <w:tc>
          <w:tcPr>
            <w:tcW w:w="21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Recorded expenses have consisted primarily of payments to third-party service providers and consultants, including legal fees, settlement of the previously disclosed SEC and multi-state Attorneys General investigations (discussed below), settlements of customer claims and accruals for certain loss contingencies. Not included in the expenses discussed above were costs associated with enhancements to our cybersecurity program. We present expenses and insurance recoveries related to the Security Incident in general and administrative expense on our unaudited, condensed consolidated statements of comprehensive income (loss) and as operating activities on our unaudited, condensed consolidated statements of cash flows. Total costs related to the Security Incident exceeded the limit of our insurance coverage during the first quarter of 2022. We expect to continue to experience significant expenses related to our response to the Security Incident, resolution of legal proceedings, claims and investigations, including those discussed below, and our efforts to further enhance our cybersecurity measures. For the three months ended March 31, 2024, we incurred net pre-tax expenses of $10.3 million related to the Security Incident, which included $3.3 million for ongoing legal fees and additional accruals for loss contingencies of $7.0 million. During the three months ended March 31, 2024, we had net cash outlays of $2.0 million related to the Security Incident for ongoing legal fees. In line with our policy, legal fees are expensed as incurred. For full year 2024, we currently expect pre-tax expenses of approximately $5.0 million to $10.0 million and cash outlays of approximately $8.0 million to $13.0 million for ongoing legal fees related to the Security Incident. Not included in these ranges are our previous settlements or current accruals for loss contingencies related to the matters discussed below.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2024, we have recorded approximately $8.5 million in aggregate liabilities for loss contingencies based primarily on recent negotiations with certain customers and governmental agencies related to the Security Incident that we believed we could reasonably estimate in accordance with our loss contingency procedures described above. Our liabilities for loss contingencies are recorded in accrued expenses and other current liabilities on our unaudited, condensed consolidated balance sheets. It is reasonably possible that our estimated actual losses may change in the near term for those matters and be materially in excess of the amounts accrued, but we are unable at this time to reasonably estimate the possible additional loss.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other Security Incident-related matters, including customer claims, customer constituent class actions and governmental investigations, for which we have not recorded a liability for a loss contingency as of March 31, 2024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pStyle w:val="TextBody"/>
        <w:bidi w:val="0"/>
        <w:spacing w:lineRule="auto" w:line="288" w:before="180" w:after="283"/>
        <w:jc w:val="both"/>
        <w:rPr/>
      </w:pPr>
      <w:r>
        <w:rPr>
          <w:rFonts w:ascii="Calibri;sans-serif" w:hAnsi="Calibri;sans-serif"/>
          <w:b/>
          <w:i/>
          <w:color w:val="51555C"/>
          <w:sz w:val="20"/>
        </w:rPr>
        <w:t>Customer claims.</w:t>
      </w:r>
      <w:r>
        <w:rPr>
          <w:color w:val="51555C"/>
        </w:rPr>
        <w:t xml:space="preserve"> </w:t>
      </w:r>
      <w:r>
        <w:rPr>
          <w:rFonts w:ascii="Calibri;sans-serif" w:hAnsi="Calibri;sans-serif"/>
          <w:b w:val="false"/>
          <w:color w:val="51555C"/>
          <w:sz w:val="20"/>
        </w:rPr>
        <w:t>To date, we have received approximately 260 specific requests from customers for reimbursement of expenses incurred by them related to the Security Incident, approximately 214 (or 82%) of which have been fully resolved and closed and approximately 39 (or 15%) are inactive and are considered by us to have been abandoned by the customers. We have also received approximately 400 reservations of the right to seek expense recovery in the future from customers or their attorneys in the U.S., U.K. and Canada related to the Security Incident, none of which resulted in claims submitted to us and are considered by us to have been abandoned by the customers. We have also received notices of proposed claims on behalf of a number of U.K. data subjects, which we are reviewing. In addition, insurance companies representing various customers’ interests through subrogation claims have contacted us, and certain insurance companies have filed subrogation claims in court, of which 3 cases remain active and unresolved.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91540"/>
                <wp:effectExtent l="0" t="0" r="0" b="0"/>
                <wp:wrapNone/>
                <wp:docPr id="53" name="Frame1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pPr>
      <w:r>
        <w:rPr>
          <w:rFonts w:ascii="Calibri;sans-serif" w:hAnsi="Calibri;sans-serif"/>
          <w:b/>
          <w:i/>
          <w:color w:val="51555C"/>
          <w:sz w:val="20"/>
        </w:rPr>
        <w:t xml:space="preserve">Customer constituent class actions. </w:t>
      </w:r>
      <w:r>
        <w:rPr>
          <w:rFonts w:ascii="Calibri;sans-serif" w:hAnsi="Calibri;sans-serif"/>
          <w:b w:val="false"/>
          <w:color w:val="51555C"/>
          <w:sz w:val="20"/>
        </w:rPr>
        <w:t>Presently, we are a defendant in putative consumer class action cases in U.S. federal courts (most of which have been consolidated under multi district litigation to a single federal court) and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We are currently engaged in court proceedings to determine whether this will proceed as a class action.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Furthermore, for putative class actions, it is often not possible to reasonably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pStyle w:val="TextBody"/>
        <w:bidi w:val="0"/>
        <w:spacing w:lineRule="auto" w:line="288" w:before="180" w:after="283"/>
        <w:jc w:val="both"/>
        <w:rPr/>
      </w:pPr>
      <w:r>
        <w:rPr>
          <w:rFonts w:ascii="Calibri;sans-serif" w:hAnsi="Calibri;sans-serif"/>
          <w:b/>
          <w:i/>
          <w:color w:val="51555C"/>
          <w:sz w:val="20"/>
        </w:rPr>
        <w:t>Governmental investigations.</w:t>
      </w:r>
      <w:r>
        <w:rPr>
          <w:color w:val="51555C"/>
        </w:rPr>
        <w:t xml:space="preserve"> </w:t>
      </w:r>
      <w:r>
        <w:rPr>
          <w:rFonts w:ascii="Calibri;sans-serif" w:hAnsi="Calibri;sans-serif"/>
          <w:b w:val="false"/>
          <w:color w:val="51555C"/>
          <w:sz w:val="20"/>
        </w:rPr>
        <w:t>We have received a Civil Investigative Demand from the office of the California Attorney General relating to the Security Incident and are in discussions with the Attorney General about potential resolution of issues arising from this investigation. Although we are hopeful that we can resolve this matter on acceptable terms, there is no assurance that we will be able to do so on terms acceptable to us and the state of California.</w:t>
      </w:r>
    </w:p>
    <w:p>
      <w:pPr>
        <w:pStyle w:val="TextBody"/>
        <w:bidi w:val="0"/>
        <w:spacing w:lineRule="auto" w:line="288" w:before="180" w:after="283"/>
        <w:jc w:val="left"/>
        <w:rPr>
          <w:rFonts w:ascii="Calibri;sans-serif" w:hAnsi="Calibri;sans-serif"/>
          <w:b w:val="false"/>
          <w:color w:val="51555C"/>
          <w:sz w:val="20"/>
        </w:rPr>
      </w:pPr>
      <w:r>
        <w:rPr>
          <w:rFonts w:ascii="Calibri;sans-serif" w:hAnsi="Calibri;sans-serif"/>
          <w:b w:val="false"/>
          <w:color w:val="51555C"/>
          <w:sz w:val="20"/>
        </w:rPr>
        <w:t xml:space="preserve">We also are subject to the following pending governmental actions: </w:t>
      </w:r>
    </w:p>
    <w:p>
      <w:pPr>
        <w:pStyle w:val="TextBody"/>
        <w:bidi w:val="0"/>
        <w:spacing w:lineRule="auto" w:line="288" w:before="120" w:after="283"/>
        <w:ind w:left="0" w:right="0" w:hanging="360"/>
        <w:jc w:val="both"/>
        <w:rPr/>
      </w:pPr>
      <w:r>
        <w:rPr>
          <w:color w:val="51555C"/>
        </w:rPr>
        <w:t>•</w:t>
      </w:r>
      <w:r>
        <w:rPr>
          <w:rFonts w:ascii="Calibri;sans-serif" w:hAnsi="Calibri;sans-serif"/>
          <w:b w:val="false"/>
          <w:color w:val="51555C"/>
          <w:sz w:val="20"/>
        </w:rPr>
        <w:t>an investigation by the U.S. Federal Trade Commission (the "FTC"), as further described below; and</w:t>
      </w:r>
    </w:p>
    <w:p>
      <w:pPr>
        <w:pStyle w:val="TextBody"/>
        <w:bidi w:val="0"/>
        <w:spacing w:lineRule="auto" w:line="288" w:before="120" w:after="283"/>
        <w:ind w:left="0" w:right="0" w:hanging="360"/>
        <w:jc w:val="both"/>
        <w:rPr/>
      </w:pPr>
      <w:r>
        <w:rPr>
          <w:color w:val="51555C"/>
        </w:rPr>
        <w:t>•</w:t>
      </w:r>
      <w:r>
        <w:rPr>
          <w:rFonts w:ascii="Calibri;sans-serif" w:hAnsi="Calibri;sans-serif"/>
          <w:b w:val="false"/>
          <w:color w:val="51555C"/>
          <w:sz w:val="20"/>
        </w:rPr>
        <w:t>an investigation by the U.S. Department of Health and Human Services.</w:t>
      </w:r>
    </w:p>
    <w:p>
      <w:pPr>
        <w:pStyle w:val="TextBody"/>
        <w:bidi w:val="0"/>
        <w:spacing w:lineRule="auto" w:line="288" w:before="120" w:after="283"/>
        <w:jc w:val="both"/>
        <w:rPr>
          <w:rFonts w:ascii="Calibri;sans-serif" w:hAnsi="Calibri;sans-serif"/>
          <w:b w:val="false"/>
          <w:color w:val="51555C"/>
          <w:sz w:val="20"/>
        </w:rPr>
      </w:pPr>
      <w:r>
        <w:rPr>
          <w:rFonts w:ascii="Calibri;sans-serif" w:hAnsi="Calibri;sans-serif"/>
          <w:b w:val="false"/>
          <w:color w:val="51555C"/>
          <w:sz w:val="20"/>
        </w:rPr>
        <w:t xml:space="preserve">We also responded to inquiries from the Office of the Australian Information Commissioner in September 2020 and the Office of the Privacy Commissioner of Canada in October 2020. </w:t>
      </w:r>
    </w:p>
    <w:p>
      <w:pPr>
        <w:pStyle w:val="TextBody"/>
        <w:bidi w:val="0"/>
        <w:spacing w:lineRule="auto" w:line="288" w:before="180" w:after="283"/>
        <w:jc w:val="both"/>
        <w:rPr/>
      </w:pPr>
      <w:r>
        <w:rPr>
          <w:rFonts w:ascii="Calibri;sans-serif" w:hAnsi="Calibri;sans-serif"/>
          <w:b w:val="false"/>
          <w:color w:val="51555C"/>
          <w:sz w:val="20"/>
          <w:shd w:fill="FFFFFF" w:val="clear"/>
        </w:rPr>
        <w:t>As previously disclosed, on February 1, 2024, the FTC announced its approval of an Agreement Containing Consent Order (the “Proposed Order”) evidencing its</w:t>
      </w:r>
      <w:r>
        <w:rPr>
          <w:color w:val="51555C"/>
        </w:rPr>
        <w:t xml:space="preserve"> </w:t>
      </w:r>
      <w:r>
        <w:rPr>
          <w:rFonts w:ascii="Calibri;sans-serif" w:hAnsi="Calibri;sans-serif"/>
          <w:b w:val="false"/>
          <w:color w:val="51555C"/>
          <w:sz w:val="20"/>
          <w:shd w:fill="FFFFFF" w:val="clear"/>
        </w:rPr>
        <w:t xml:space="preserve">settlement with the Company in connection with the Security Incident. Pursuant to its rules, the FTC placed the Proposed Order and related draft complaint on the public record for a period of 30 days for the receipt of public comments after which the FTC will consider any comments received from interested persons prior to determining whether and in what form to finalize the Proposed Order. The 30-day comment period expired on March 14, 2024. As part of the FTC’s proposed order, the Company has not been fined and is not otherwise required to make any payment. Furthermore, the Company has agreed to the FTC’s proposed order without admitting or denying any of the FTC’s allegations, except as expressly stated otherwise in the Proposed Order. If finalized, the settlement described in the Proposed Order will fully resolve the FTC investigation. Although we believe the Proposed Order will be finalized in substantially its current form, there can be no assurances as to whether that will occur or its timing. For more information, see the form of Proposed Order that was furnished as Exhibit 99.2 to the Company’s Current Report on Form 8-K filed with the SEC on February 2, 2024 and in </w:t>
      </w:r>
      <w:r>
        <w:rPr>
          <w:rFonts w:ascii="Calibri;sans-serif" w:hAnsi="Calibri;sans-serif"/>
          <w:b w:val="false"/>
          <w:color w:val="51555C"/>
          <w:sz w:val="20"/>
        </w:rPr>
        <w:t>Note 11 to our audited consolidated financial statements contained in our Annual Report on Form 10-K filed with the SEC on February 21, 2024.</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on October 5, 2023, we entered into separate, substantially similar Administrative Orders with each of 49 state Attorneys General and the District of Columbia relating to the Security Incident which fully resolved the previously disclosed multi-state Civil Investigative Demand and the separate Civil Investigative Demand from the Office of the Indiana Attorney General relating to the Security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91540"/>
                <wp:effectExtent l="0" t="0" r="0" b="0"/>
                <wp:wrapNone/>
                <wp:docPr id="56" name="Frame1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39"/>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40"/>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March 9, 2023, we reached a settlement with the SEC in connection with the Security Incident that fully resolved the previously disclosed SEC investigation of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September 28, 2021, the Information Commissioner’s Office in the United Kingdom under the U.K. Data Protection Act 2018 notified us that it has closed its investigation of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September 24, 2021, we received notice from the Spanish Data Protection Authority that it has concluded its investigation of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January 15, 2021, we were notified by the Data Protection Commission of Ireland that it has concluded its investigation of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For more information about these completed government investigations and related actions, see Note 11 to our audited consolidated financial statements contained in our Annual Report on Form 10-K filed with the SEC on February 21, 2024.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continue to cooperate with all ongoing investigations, which include various requests for documents, policies, narratives and communications, as well as requests to interview or depose various Company-related personnel. As noted above, each of these separate governmental investigations could result in adverse judgments, settlements, fines, penalties or other resolution, the amount, scope and timing of which we are currently unable to predict, but could have a material adverse impact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10. Income Taxes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income tax benefit and effective income tax rates, including the effects of period-specific events, were:</w:t>
      </w:r>
    </w:p>
    <w:tbl>
      <w:tblPr>
        <w:tblW w:w="4990" w:type="dxa"/>
        <w:jc w:val="left"/>
        <w:tblInd w:w="0" w:type="dxa"/>
        <w:tblLayout w:type="fixed"/>
        <w:tblCellMar>
          <w:top w:w="28" w:type="dxa"/>
          <w:left w:w="28" w:type="dxa"/>
          <w:bottom w:w="28" w:type="dxa"/>
          <w:right w:w="28" w:type="dxa"/>
        </w:tblCellMar>
      </w:tblPr>
      <w:tblGrid>
        <w:gridCol w:w="739"/>
        <w:gridCol w:w="649"/>
        <w:gridCol w:w="652"/>
        <w:gridCol w:w="109"/>
        <w:gridCol w:w="109"/>
        <w:gridCol w:w="134"/>
        <w:gridCol w:w="260"/>
        <w:gridCol w:w="853"/>
        <w:gridCol w:w="297"/>
        <w:gridCol w:w="211"/>
        <w:gridCol w:w="691"/>
        <w:gridCol w:w="286"/>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88" w:type="dxa"/>
            <w:gridSpan w:val="3"/>
            <w:tcBorders/>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118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20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5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(1,456)</w:t>
            </w:r>
          </w:p>
        </w:tc>
        <w:tc>
          <w:tcPr>
            <w:tcW w:w="29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9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(3,901)</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13"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(38.4)</w:t>
            </w:r>
          </w:p>
        </w:tc>
        <w:tc>
          <w:tcPr>
            <w:tcW w:w="297"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90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21.0 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change in our effective income tax rate for the three months ended March 31, 2024 when compared to the same period in 2023 was primarily attributable to favorable impacts of benefits attributable to stock-based compensation and research and development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39" w:type="dxa"/>
        <w:jc w:val="left"/>
        <w:tblInd w:w="0" w:type="dxa"/>
        <w:tblLayout w:type="fixed"/>
        <w:tblCellMar>
          <w:top w:w="28" w:type="dxa"/>
          <w:left w:w="28" w:type="dxa"/>
          <w:bottom w:w="28" w:type="dxa"/>
          <w:right w:w="28" w:type="dxa"/>
        </w:tblCellMar>
      </w:tblPr>
      <w:tblGrid>
        <w:gridCol w:w="845"/>
        <w:gridCol w:w="742"/>
        <w:gridCol w:w="1052"/>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11. Stockholders' Equity</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Stock repurchase program</w:t>
      </w:r>
    </w:p>
    <w:p>
      <w:pPr>
        <w:pStyle w:val="TextBody"/>
        <w:bidi w:val="0"/>
        <w:spacing w:lineRule="auto" w:line="288" w:before="180" w:after="283"/>
        <w:jc w:val="both"/>
        <w:rPr/>
      </w:pPr>
      <w:r>
        <w:rPr>
          <w:rFonts w:ascii="Calibri;sans-serif" w:hAnsi="Calibri;sans-serif"/>
          <w:b w:val="false"/>
          <w:color w:val="51555C"/>
          <w:sz w:val="20"/>
        </w:rPr>
        <w:t xml:space="preserve">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2024 Credit Agreement (as defined below), we have restrictions on our ability to repurchase shares of our common stock, which are summarized on page </w:t>
      </w:r>
      <w:hyperlink w:anchor="id7cc69752cd840048be6c85b640c391a_184">
        <w:r>
          <w:rPr>
            <w:rStyle w:val="InternetLink"/>
            <w:rFonts w:ascii="Calibri;sans-serif" w:hAnsi="Calibri;sans-serif"/>
            <w:b w:val="false"/>
            <w:strike w:val="false"/>
            <w:dstrike w:val="false"/>
            <w:color w:val="51555C"/>
            <w:sz w:val="20"/>
            <w:u w:val="none"/>
            <w:effect w:val="none"/>
          </w:rPr>
          <w:t>40</w:t>
        </w:r>
      </w:hyperlink>
      <w:r>
        <w:rPr>
          <w:rFonts w:ascii="Calibri;sans-serif" w:hAnsi="Calibri;sans-serif"/>
          <w:b w:val="false"/>
          <w:color w:val="51555C"/>
          <w:sz w:val="20"/>
        </w:rPr>
        <w:t xml:space="preserve"> in this report.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We account for purchases of treasury stock under the cost method. On January 17, 2024, our Board of Directors reauthorized, expanded and replenished our stock repurchase program by expanding the total capacity under the program from $250.0 million to $500.0 million available for repurchases.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March 2024, we entered into an issuer forward repurchase transaction with a large financial institution to repurchase an aggregate $200 million of shares of our common stock (the "ASR Transaction"). Pursuant to the terms of the ASR Transaction, we provided the financial institution with a prepayment of $200 million and received an initial delivery of 2.1 million shares of our common stock, representing approximately 70% of the total shares then-expected to be repurchased under the ASR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91540"/>
                <wp:effectExtent l="0" t="0" r="0" b="0"/>
                <wp:wrapNone/>
                <wp:docPr id="59" name="Frame2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4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42"/>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Transaction. The final number of shares of common stock delivered to us under the ASR Transaction will be based on the average of the daily volume-weighted average prices of the common stock during the term of the ASR Transaction, less a discount and subject to customary adjustments upon events affecting the common stock (e.g., dilutive or concentrative events, mergers and acquisitions, and market disruptions). At settlement, the financial institution may be required to deliver additional shares of our common stock to us or, under certain circumstances, we may be required to deliver a cash payment or shares of our common stock to the financial institution, with the method of settlement at our election. The final settlement of the ASR Transaction is scheduled to occur by the fourth quarter of 2024, unless settled earlier at the election of the financial institution.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difference of $52.2 million between the prepayment of $200 million and the value of the shares repurchased on the ASR Transaction date represents an unsettled prepaid forward contract indexed to our common stock and met all of the applicable criteria for equity classification; therefore, it was not accounted for as a derivative instrument as of March 31, 2024. Because of our ability to settle in shares, the $52.2 million prepaid forward contract was classified as a reduction to additional paid-in capital within our unaudited, condensed consolidated statement of stockholders' equity. We funded the ASR Transaction prepayment with borrowings pursuant to a revolving credit loan under the 2020 Credit Facility.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2024, we repurchased an aggregate of 2,954,211 shares for $262.6 million, including the initial delivery of shares repurchased pursuant to the ASR Transaction. The remaining amount available to purchase stock under the approved stock repurchase program was $259.7 million as of March 31, 2024.</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Changes in accumulated other comprehensive income (loss) by component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changes in accumulated other comprehensive income (loss) by component, consisted of the following:</w:t>
      </w:r>
    </w:p>
    <w:tbl>
      <w:tblPr>
        <w:tblW w:w="10205" w:type="dxa"/>
        <w:jc w:val="left"/>
        <w:tblInd w:w="0" w:type="dxa"/>
        <w:tblLayout w:type="fixed"/>
        <w:tblCellMar>
          <w:top w:w="28" w:type="dxa"/>
          <w:left w:w="28" w:type="dxa"/>
          <w:bottom w:w="28" w:type="dxa"/>
          <w:right w:w="28" w:type="dxa"/>
        </w:tblCellMar>
      </w:tblPr>
      <w:tblGrid>
        <w:gridCol w:w="2650"/>
        <w:gridCol w:w="2329"/>
        <w:gridCol w:w="2351"/>
        <w:gridCol w:w="109"/>
        <w:gridCol w:w="109"/>
        <w:gridCol w:w="141"/>
        <w:gridCol w:w="275"/>
        <w:gridCol w:w="942"/>
        <w:gridCol w:w="141"/>
        <w:gridCol w:w="211"/>
        <w:gridCol w:w="789"/>
        <w:gridCol w:w="158"/>
      </w:tblGrid>
      <w:tr>
        <w:trPr/>
        <w:tc>
          <w:tcPr>
            <w:tcW w:w="2650"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3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58" w:type="dxa"/>
            <w:gridSpan w:val="3"/>
            <w:tcBorders/>
          </w:tcPr>
          <w:p>
            <w:pPr>
              <w:pStyle w:val="TableContents"/>
              <w:bidi w:val="0"/>
              <w:spacing w:before="0" w:after="283"/>
              <w:jc w:val="left"/>
              <w:rPr>
                <w:sz w:val="4"/>
                <w:szCs w:val="4"/>
              </w:rPr>
            </w:pPr>
            <w:r>
              <w:rPr>
                <w:sz w:val="4"/>
                <w:szCs w:val="4"/>
              </w:rPr>
            </w:r>
          </w:p>
        </w:tc>
      </w:tr>
      <w:tr>
        <w:trPr/>
        <w:tc>
          <w:tcPr>
            <w:tcW w:w="733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115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733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Accumulated other comprehensive (loss) income,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4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(1,688)</w:t>
            </w:r>
          </w:p>
        </w:tc>
        <w:tc>
          <w:tcPr>
            <w:tcW w:w="14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8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8,938 </w:t>
            </w:r>
          </w:p>
        </w:tc>
        <w:tc>
          <w:tcPr>
            <w:tcW w:w="15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By component: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Gains and losses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income 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23,833 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Other comprehensive income (loss) before reclassifications, net of tax effects of $(2,966) and $2,566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8,121 </w:t>
            </w:r>
          </w:p>
        </w:tc>
        <w:tc>
          <w:tcPr>
            <w:tcW w:w="14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(7,289)</w:t>
            </w:r>
          </w:p>
        </w:tc>
        <w:tc>
          <w:tcPr>
            <w:tcW w:w="1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Amounts reclassified from 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(5,507)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(4,624)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Tax expense included in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1,481 </w:t>
            </w:r>
          </w:p>
        </w:tc>
        <w:tc>
          <w:tcPr>
            <w:tcW w:w="14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1,221 </w:t>
            </w:r>
          </w:p>
        </w:tc>
        <w:tc>
          <w:tcPr>
            <w:tcW w:w="1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amounts reclassified from 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(4,026)</w:t>
            </w:r>
          </w:p>
        </w:tc>
        <w:tc>
          <w:tcPr>
            <w:tcW w:w="14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(3,403)</w:t>
            </w:r>
          </w:p>
        </w:tc>
        <w:tc>
          <w:tcPr>
            <w:tcW w:w="1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current-period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4,095 </w:t>
            </w:r>
          </w:p>
        </w:tc>
        <w:tc>
          <w:tcPr>
            <w:tcW w:w="14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(10,692)</w:t>
            </w:r>
          </w:p>
        </w:tc>
        <w:tc>
          <w:tcPr>
            <w:tcW w:w="15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income 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4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12,253 </w:t>
            </w:r>
          </w:p>
        </w:tc>
        <w:tc>
          <w:tcPr>
            <w:tcW w:w="14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8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13,141 </w:t>
            </w:r>
          </w:p>
        </w:tc>
        <w:tc>
          <w:tcPr>
            <w:tcW w:w="1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loss 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(9,846)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(14,895)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(1,185)</w:t>
            </w:r>
          </w:p>
        </w:tc>
        <w:tc>
          <w:tcPr>
            <w:tcW w:w="14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2,158 </w:t>
            </w:r>
          </w:p>
        </w:tc>
        <w:tc>
          <w:tcPr>
            <w:tcW w:w="1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loss 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(11,031)</w:t>
            </w:r>
          </w:p>
        </w:tc>
        <w:tc>
          <w:tcPr>
            <w:tcW w:w="14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(12,737)</w:t>
            </w:r>
          </w:p>
        </w:tc>
        <w:tc>
          <w:tcPr>
            <w:tcW w:w="1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Accumulated other comprehensive income,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94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1,222 </w:t>
            </w:r>
          </w:p>
        </w:tc>
        <w:tc>
          <w:tcPr>
            <w:tcW w:w="14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8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404 </w:t>
            </w:r>
          </w:p>
        </w:tc>
        <w:tc>
          <w:tcPr>
            <w:tcW w:w="15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84" w:type="dxa"/>
        <w:jc w:val="left"/>
        <w:tblInd w:w="0" w:type="dxa"/>
        <w:tblLayout w:type="fixed"/>
        <w:tblCellMar>
          <w:top w:w="28" w:type="dxa"/>
          <w:left w:w="28" w:type="dxa"/>
          <w:bottom w:w="28" w:type="dxa"/>
          <w:right w:w="28" w:type="dxa"/>
        </w:tblCellMar>
      </w:tblPr>
      <w:tblGrid>
        <w:gridCol w:w="859"/>
        <w:gridCol w:w="754"/>
        <w:gridCol w:w="1071"/>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12. Revenue Recognition</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Transaction price allocated to the remaining performance obligations</w:t>
      </w:r>
    </w:p>
    <w:p>
      <w:pPr>
        <w:pStyle w:val="TextBody"/>
        <w:bidi w:val="0"/>
        <w:spacing w:lineRule="auto" w:line="288" w:before="180" w:after="283"/>
        <w:jc w:val="both"/>
        <w:rPr/>
      </w:pPr>
      <w:r>
        <w:rPr>
          <w:rFonts w:ascii="Calibri;sans-serif" w:hAnsi="Calibri;sans-serif"/>
          <w:b w:val="false"/>
          <w:color w:val="51555C"/>
          <w:sz w:val="20"/>
        </w:rPr>
        <w:t xml:space="preserve">As of March 31, 2024, approximately </w:t>
      </w:r>
      <w:r>
        <w:rPr>
          <w:rFonts w:ascii="Calibri;sans-serif" w:hAnsi="Calibri;sans-serif"/>
          <w:b w:val="false"/>
          <w:color w:val="51555C"/>
          <w:sz w:val="20"/>
          <w:shd w:fill="FFFFFF" w:val="clear"/>
        </w:rPr>
        <w:t>$1.2 billion</w:t>
      </w:r>
      <w:r>
        <w:rPr>
          <w:color w:val="51555C"/>
        </w:rPr>
        <w:t xml:space="preserve"> </w:t>
      </w:r>
      <w:r>
        <w:rPr>
          <w:rFonts w:ascii="Calibri;sans-serif" w:hAnsi="Calibri;sans-serif"/>
          <w:b w:val="false"/>
          <w:color w:val="51555C"/>
          <w:sz w:val="20"/>
        </w:rPr>
        <w:t xml:space="preserve">of revenue under contract is expected to be recognized from remaining performance obligations. We expect to recognize revenue on approximately </w:t>
      </w:r>
      <w:r>
        <w:rPr>
          <w:rFonts w:ascii="Calibri;sans-serif" w:hAnsi="Calibri;sans-serif"/>
          <w:b w:val="false"/>
          <w:color w:val="51555C"/>
          <w:sz w:val="20"/>
          <w:shd w:fill="FFFFFF" w:val="clear"/>
        </w:rPr>
        <w:t>50%</w:t>
      </w:r>
      <w:r>
        <w:rPr>
          <w:color w:val="51555C"/>
        </w:rPr>
        <w:t xml:space="preserve"> </w:t>
      </w:r>
      <w:r>
        <w:rPr>
          <w:rFonts w:ascii="Calibri;sans-serif" w:hAnsi="Calibri;sans-serif"/>
          <w:b w:val="false"/>
          <w:color w:val="51555C"/>
          <w:sz w:val="20"/>
        </w:rPr>
        <w:t>of these remaining performance obligations over the next 12 months, with the remainder recognized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91540"/>
                <wp:effectExtent l="0" t="0" r="0" b="0"/>
                <wp:wrapNone/>
                <wp:docPr id="62" name="Frame2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43"/>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44"/>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Contract balances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contract assets as of March 31, 2024 and December 31, 2023 were insignificant. Our closing balances of deferred revenue were as follows:</w:t>
      </w:r>
    </w:p>
    <w:tbl>
      <w:tblPr>
        <w:tblW w:w="4271" w:type="dxa"/>
        <w:jc w:val="left"/>
        <w:tblInd w:w="0" w:type="dxa"/>
        <w:tblLayout w:type="fixed"/>
        <w:tblCellMar>
          <w:top w:w="28" w:type="dxa"/>
          <w:left w:w="28" w:type="dxa"/>
          <w:bottom w:w="28" w:type="dxa"/>
          <w:right w:w="28" w:type="dxa"/>
        </w:tblCellMar>
      </w:tblPr>
      <w:tblGrid>
        <w:gridCol w:w="700"/>
        <w:gridCol w:w="616"/>
        <w:gridCol w:w="618"/>
        <w:gridCol w:w="211"/>
        <w:gridCol w:w="826"/>
        <w:gridCol w:w="109"/>
        <w:gridCol w:w="211"/>
        <w:gridCol w:w="826"/>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r>
      <w:tr>
        <w:trPr/>
        <w:tc>
          <w:tcPr>
            <w:tcW w:w="193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deferred revenue</w:t>
            </w:r>
          </w:p>
        </w:tc>
        <w:tc>
          <w:tcPr>
            <w:tcW w:w="211"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367,187 </w:t>
            </w:r>
          </w:p>
        </w:tc>
        <w:tc>
          <w:tcPr>
            <w:tcW w:w="10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394,927 </w:t>
            </w:r>
          </w:p>
        </w:tc>
        <w:tc>
          <w:tcPr>
            <w:tcW w:w="154"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Calibri;sans-serif" w:hAnsi="Calibri;sans-serif"/>
          <w:b w:val="false"/>
          <w:color w:val="51555C"/>
          <w:sz w:val="20"/>
        </w:rPr>
        <w:t>The decrease in deferred revenue during the three months ended March 31, 2024 was primarily due to a seasonal decrease in customer contract renewals.</w:t>
      </w:r>
      <w:r>
        <w:rPr>
          <w:color w:val="51555C"/>
          <w:shd w:fill="FFFFFF" w:val="clear"/>
        </w:rPr>
        <w:t xml:space="preserve"> </w:t>
      </w:r>
      <w:r>
        <w:rPr>
          <w:rFonts w:ascii="Calibri;sans-serif" w:hAnsi="Calibri;sans-serif"/>
          <w:b w:val="false"/>
          <w:color w:val="51555C"/>
          <w:sz w:val="20"/>
          <w:shd w:fill="FFFFFF" w:val="clear"/>
        </w:rPr>
        <w:t>Historically, due to the timing of customer budget cycles, we have an increase in customer contract renewals at or near the beginning of our third quarter. Generally, our lowest balance of deferred revenue during the year is at the end of our first quarter. The amount of revenue recognized during the three months ended March 31, 2024 that was included in the deferred reven</w:t>
      </w:r>
      <w:r>
        <w:rPr>
          <w:rFonts w:ascii="Calibri;sans-serif" w:hAnsi="Calibri;sans-serif"/>
          <w:b w:val="false"/>
          <w:color w:val="51555C"/>
          <w:sz w:val="20"/>
        </w:rPr>
        <w:t xml:space="preserve">ue balance at the beginning of the period was approximately $173 million. The amount of revenue recognized during the three months ended March 31, 2024 from performance obligations satisfied in prior periods was </w:t>
      </w:r>
      <w:r>
        <w:rPr>
          <w:rFonts w:ascii="Calibri;sans-serif" w:hAnsi="Calibri;sans-serif"/>
          <w:b w:val="false"/>
          <w:color w:val="51555C"/>
          <w:sz w:val="20"/>
          <w:shd w:fill="FFFFFF" w:val="clear"/>
        </w:rPr>
        <w:t>insignificant</w:t>
      </w:r>
      <w:r>
        <w:rPr>
          <w:rFonts w:ascii="Calibri;sans-serif" w:hAnsi="Calibri;sans-serif"/>
          <w:b w:val="false"/>
          <w:color w:val="51555C"/>
          <w:sz w:val="20"/>
        </w:rPr>
        <w:t>.</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Disaggregation of revenue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tbl>
      <w:tblPr>
        <w:tblW w:w="4527" w:type="dxa"/>
        <w:jc w:val="left"/>
        <w:tblInd w:w="0" w:type="dxa"/>
        <w:tblLayout w:type="fixed"/>
        <w:tblCellMar>
          <w:top w:w="28" w:type="dxa"/>
          <w:left w:w="28" w:type="dxa"/>
          <w:bottom w:w="28" w:type="dxa"/>
          <w:right w:w="28" w:type="dxa"/>
        </w:tblCellMar>
      </w:tblPr>
      <w:tblGrid>
        <w:gridCol w:w="570"/>
        <w:gridCol w:w="501"/>
        <w:gridCol w:w="503"/>
        <w:gridCol w:w="109"/>
        <w:gridCol w:w="109"/>
        <w:gridCol w:w="134"/>
        <w:gridCol w:w="259"/>
        <w:gridCol w:w="1017"/>
        <w:gridCol w:w="134"/>
        <w:gridCol w:w="211"/>
        <w:gridCol w:w="82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91" w:type="dxa"/>
            <w:gridSpan w:val="3"/>
            <w:tcBorders/>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15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238,109 </w:t>
            </w:r>
          </w:p>
        </w:tc>
        <w:tc>
          <w:tcPr>
            <w:tcW w:w="13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221,669 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26,129 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15,012 </w:t>
            </w:r>
          </w:p>
        </w:tc>
        <w:tc>
          <w:tcPr>
            <w:tcW w:w="13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14,036 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279,250 </w:t>
            </w:r>
          </w:p>
        </w:tc>
        <w:tc>
          <w:tcPr>
            <w:tcW w:w="13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261,753 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shd w:fill="FFFFFF" w:val="clear"/>
        </w:rPr>
      </w:pPr>
      <w:r>
        <w:rPr>
          <w:rFonts w:ascii="Calibri;sans-serif" w:hAnsi="Calibri;sans-serif"/>
          <w:b w:val="false"/>
          <w:color w:val="51555C"/>
          <w:sz w:val="20"/>
          <w:shd w:fill="FFFFFF" w:val="clear"/>
        </w:rPr>
        <w:t>The Social Sector and Corporate Sector market groups comprised our go-to-market organizations as of March 31, 2024. The following is a description of each market group as of that date:</w:t>
      </w:r>
    </w:p>
    <w:p>
      <w:pPr>
        <w:pStyle w:val="TextBody"/>
        <w:bidi w:val="0"/>
        <w:spacing w:lineRule="auto" w:line="288" w:before="120" w:after="283"/>
        <w:ind w:left="0" w:right="0" w:hanging="360"/>
        <w:jc w:val="both"/>
        <w:rPr/>
      </w:pPr>
      <w:r>
        <w:rPr>
          <w:color w:val="51555C"/>
        </w:rPr>
        <w:t>•</w:t>
      </w:r>
      <w:r>
        <w:rPr>
          <w:rFonts w:ascii="Calibri;sans-serif" w:hAnsi="Calibri;sans-serif"/>
          <w:b w:val="false"/>
          <w:color w:val="51555C"/>
          <w:sz w:val="20"/>
        </w:rPr>
        <w:t>The Social Sector market group focuses on sales to customers and prospects in the social sector, such as nonprofits, foundations, education institutions, healthcare organizations and other not-for-profit entities globally, and includes JustGiving; and</w:t>
      </w:r>
    </w:p>
    <w:p>
      <w:pPr>
        <w:pStyle w:val="TextBody"/>
        <w:bidi w:val="0"/>
        <w:spacing w:lineRule="auto" w:line="288" w:before="120" w:after="283"/>
        <w:ind w:left="0" w:right="0" w:hanging="360"/>
        <w:jc w:val="both"/>
        <w:rPr/>
      </w:pPr>
      <w:r>
        <w:rPr>
          <w:color w:val="51555C"/>
        </w:rPr>
        <w:t>•</w:t>
      </w:r>
      <w:r>
        <w:rPr>
          <w:rFonts w:ascii="Calibri;sans-serif" w:hAnsi="Calibri;sans-serif"/>
          <w:b w:val="false"/>
          <w:color w:val="51555C"/>
          <w:sz w:val="20"/>
        </w:rPr>
        <w:t>The Corporate Sector market group focuses on sales to customers and prospects in the corporate sector globally, and includes EVERFI and YourCause.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91540"/>
                <wp:effectExtent l="0" t="0" r="0" b="0"/>
                <wp:wrapNone/>
                <wp:docPr id="65" name="Frame2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45"/>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4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our revenue by market group:</w:t>
      </w:r>
    </w:p>
    <w:tbl>
      <w:tblPr>
        <w:tblW w:w="4527" w:type="dxa"/>
        <w:jc w:val="left"/>
        <w:tblInd w:w="0" w:type="dxa"/>
        <w:tblLayout w:type="fixed"/>
        <w:tblCellMar>
          <w:top w:w="28" w:type="dxa"/>
          <w:left w:w="28" w:type="dxa"/>
          <w:bottom w:w="28" w:type="dxa"/>
          <w:right w:w="28" w:type="dxa"/>
        </w:tblCellMar>
      </w:tblPr>
      <w:tblGrid>
        <w:gridCol w:w="570"/>
        <w:gridCol w:w="501"/>
        <w:gridCol w:w="503"/>
        <w:gridCol w:w="109"/>
        <w:gridCol w:w="109"/>
        <w:gridCol w:w="134"/>
        <w:gridCol w:w="259"/>
        <w:gridCol w:w="1017"/>
        <w:gridCol w:w="134"/>
        <w:gridCol w:w="211"/>
        <w:gridCol w:w="82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91" w:type="dxa"/>
            <w:gridSpan w:val="3"/>
            <w:tcBorders/>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15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Social Sector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244,444 </w:t>
            </w:r>
          </w:p>
        </w:tc>
        <w:tc>
          <w:tcPr>
            <w:tcW w:w="13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224,897 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Corporate Sector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34,806 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279,250 </w:t>
            </w:r>
          </w:p>
        </w:tc>
        <w:tc>
          <w:tcPr>
            <w:tcW w:w="1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261,753 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our recurring revenue by type:</w:t>
      </w:r>
    </w:p>
    <w:tbl>
      <w:tblPr>
        <w:tblW w:w="4932" w:type="dxa"/>
        <w:jc w:val="left"/>
        <w:tblInd w:w="0" w:type="dxa"/>
        <w:tblLayout w:type="fixed"/>
        <w:tblCellMar>
          <w:top w:w="28" w:type="dxa"/>
          <w:left w:w="28" w:type="dxa"/>
          <w:bottom w:w="28" w:type="dxa"/>
          <w:right w:w="28" w:type="dxa"/>
        </w:tblCellMar>
      </w:tblPr>
      <w:tblGrid>
        <w:gridCol w:w="717"/>
        <w:gridCol w:w="630"/>
        <w:gridCol w:w="632"/>
        <w:gridCol w:w="109"/>
        <w:gridCol w:w="109"/>
        <w:gridCol w:w="134"/>
        <w:gridCol w:w="259"/>
        <w:gridCol w:w="1017"/>
        <w:gridCol w:w="134"/>
        <w:gridCol w:w="211"/>
        <w:gridCol w:w="82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191" w:type="dxa"/>
            <w:gridSpan w:val="3"/>
            <w:tcBorders/>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197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Contractual recurring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190,855 </w:t>
            </w:r>
          </w:p>
        </w:tc>
        <w:tc>
          <w:tcPr>
            <w:tcW w:w="13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177,603 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Transactional recurring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80,663 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75,145 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recurring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271,518 </w:t>
            </w:r>
          </w:p>
        </w:tc>
        <w:tc>
          <w:tcPr>
            <w:tcW w:w="13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252,748 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74" w:type="dxa"/>
        <w:jc w:val="center"/>
        <w:tblInd w:w="0" w:type="dxa"/>
        <w:tblLayout w:type="fixed"/>
        <w:tblCellMar>
          <w:top w:w="28" w:type="dxa"/>
          <w:left w:w="28" w:type="dxa"/>
          <w:bottom w:w="28" w:type="dxa"/>
          <w:right w:w="28" w:type="dxa"/>
        </w:tblCellMar>
      </w:tblPr>
      <w:tblGrid>
        <w:gridCol w:w="792"/>
        <w:gridCol w:w="695"/>
        <w:gridCol w:w="987"/>
      </w:tblGrid>
      <w:tr>
        <w:trP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bottom w:val="single" w:sz="8" w:space="0" w:color="71BF4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13. Subsequent Events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April 2024 credit agreement refinancing</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April 30, 2024, we entered into the Third Amendment to Credit Agreement (the "Amendment"), by and among us, the lenders party thereto and Bank of America N.A., as administrative agent (the "Agent"). The Amendment amends the Amended and Restated Credit Agreement, dated as of October 30, 2020 (as previously amended, the "Existing Credit Agreement" and the Existing Credit Agreement as amended by the Amendment, the “2024 Credit Agreement”), by and among us, the lenders from time-to-time party thereto and the Agent.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Amendment amends the Existing Credit Agreement to, among other things, (a) refinance the existing $1.1 billion credit facilities under the Existing Credit Agreement to provide for new credit facilities in the aggregate principal amount of $1.5 billion consisting of (i) a $700.0 million revolving credit facility with a $50.0 million letter of credit subfacility, a $50.0 million swingline subfacility and a $150.0 million sublimit available for multicurrency borrowings (the “2024 Revolving Facility”) and (ii) a $800.0 million term loan facility (the “2024 Term Facility” and together with the 2024 Revolving Facility, the “2024 Credit Facilities”), (b) extend the maturity date to April 30, 2029, (c) modify the definition of Applicable Margin (as defined below) and (iv) modify certain negative and financial covenants to provide additional operational flexibility.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2024 Credit Facilities, dollar tranche revolving loans and term loans bear interest at a rate per annum equal to, at the option of the Company: (a) a base rate equal to the highest of (i) the Federal Funds Rate plus 0.50%, (ii) the prime rate announced by Bank of America, N.A., and (iii) Term SOFR plus 1.00% (the “Base Rate”), plus an applicable margin as specified in the 2024 Credit Agreement (the “Applicable Margin”); (b) Term SOFR plus the Applicable Margin; or (c) the Daily SOFR Rate plus the Applicable Margin. The Applicable Margin shall be adjusted quarterly, varies based on our net leverage ratio and varies based on whether the loan is a Base Rate Loan (0.375% to 1.500%), or a Term SOFR Loan/Daily SOFR Loan (1.375% to 2.500%). The 2024 Credit Agreement also provides for a commitment fee of between 0.250% and 0.500% of the unused commitment under the 2024 Revolving Facility depending on our net leverage ratio.</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Under the 2024 Credit Facilities, designated currency tranche revolving loans bear interest at a rate per annum equal to, at the option of the Company: (a) the Designated Currency Daily Rate (as defined in the 2024 Credit Agreement) plus the Applicable Margin; or (b) the Designated Currency Term Rate (as defined in the 2024 Credit Agreement) plus the Applicable Margin. The Applicable Margin shall be adjusted quarterly and varies based on our net leverage ratio for both Designated Currency Daily Rate Loans and Designated Currency Term Rate Loans (1.375% to 2.500%).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may prepay the 2024 Credit Agreement in whole or in part at any time without premium or penalty, other than customary breakage costs with respect to certain types of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91540"/>
                <wp:effectExtent l="0" t="0" r="0" b="0"/>
                <wp:wrapNone/>
                <wp:docPr id="68" name="Frame2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47"/>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48"/>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terms of the 2024 Credit Agreement, we are entitled on one or more occasion, subject to the satisfaction of certain conditions, to request an increase in the commitments under the 2024 Revolving Facility and/or request additional incremental term loans in the aggregate principal amount of up to the sum of (i)(x) the greater of (A) $360.0 million and (B) 100% of EBITDA (as defined in the 2024 Credit Agreement), plus (ii) at our option, up to an amount such that the net leverage ratio shall be no greater than 3.50 to 1.00.</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2024 Credit Agreement contains various representations, warranties and affirmative, negative and financial covenants customary for financings of this type. Financial covenants include a net leverage ratio and an interest coverage ratio.</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Amendment is filed as Exhibit 10.1 of this Quarterly Report on Form 10-Q. The descriptions of the Amendment and the 2024 Credit Agreement contained herein do not purport to be complete and are subject to, and qualified in their entirety by, the full and complete terms contained in the Amendment, a copy of which is filed as Exhibit 10.1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91540"/>
                <wp:effectExtent l="0" t="0" r="0" b="0"/>
                <wp:wrapNone/>
                <wp:docPr id="71" name="Frame2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6" descr=""/>
                                                <pic:cNvPicPr>
                                                  <a:picLocks noChangeAspect="1" noChangeArrowheads="1"/>
                                                </pic:cNvPicPr>
                                              </pic:nvPicPr>
                                              <pic:blipFill>
                                                <a:blip r:embed="rId4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5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2. MANAGEMENT'S DISCUSSION AND ANALYSIS OF FINANCIAL CONDITION AND RESULTS OF OPERATIONS</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59" w:type="dxa"/>
        <w:jc w:val="left"/>
        <w:tblInd w:w="0" w:type="dxa"/>
        <w:tblLayout w:type="fixed"/>
        <w:tblCellMar>
          <w:top w:w="28" w:type="dxa"/>
          <w:left w:w="28" w:type="dxa"/>
          <w:bottom w:w="28" w:type="dxa"/>
          <w:right w:w="28" w:type="dxa"/>
        </w:tblCellMar>
      </w:tblPr>
      <w:tblGrid>
        <w:gridCol w:w="691"/>
        <w:gridCol w:w="607"/>
        <w:gridCol w:w="861"/>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Executive Summary</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and the United Kingdom, supporting users in 100+ countries.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revenue is primarily generated from the following sources: (i) charging for the use of our software solutions in cloud and hosted environments; (ii) providing payment and transaction services; and (iii) providing Impact-as-a-Service™ digital educational content.</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Update on Select Key Operational Initiatives</w:t>
      </w:r>
    </w:p>
    <w:p>
      <w:pPr>
        <w:pStyle w:val="TextBody"/>
        <w:bidi w:val="0"/>
        <w:spacing w:lineRule="auto" w:line="288" w:before="180" w:after="283"/>
        <w:jc w:val="left"/>
        <w:rPr>
          <w:rFonts w:ascii="Calibri;sans-serif" w:hAnsi="Calibri;sans-serif"/>
          <w:b w:val="false"/>
          <w:i/>
          <w:color w:val="51555C"/>
          <w:sz w:val="20"/>
        </w:rPr>
      </w:pPr>
      <w:r>
        <w:rPr>
          <w:rFonts w:ascii="Calibri;sans-serif" w:hAnsi="Calibri;sans-serif"/>
          <w:b w:val="false"/>
          <w:i/>
          <w:color w:val="51555C"/>
          <w:sz w:val="20"/>
        </w:rPr>
        <w:t>Product Innovation and Delivery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To maintain our market leadership position, we are accelerating the pace of innovation and new feature delivery to our customers. Our focus has been on two areas, generative artificial intelligence (AI) and enhancements that continue to improve the connectivity of our suite of solutions. These enhancements are aimed at improving fundraising outcomes while reducing the administrative burden of our end users. Some examples include:</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We have released a number of AI capabilities over the past few quarters, including new generative AI functionality for our JustGiving platform. During the first quarter of 2024, we released generative AI capabilities for Raiser’s Edge NXT®, and we expect that Blackbaud Co-pilot will be available to our Raiser's Edge NXT customers soon. Using Blackbaud Co-pilot, users can ask ad hoc questions such as “How can I improve my average donation size?” and the tool will provide intelligent responses as well as recommended actions intended to drive that outcome.</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During the first quarter of 2024, our Online Giving and Prospect Insights capabilities were natively integrated into Raiser's Edge NXT. With these integrations, fundraising administrators can now drive a viral giving campaign, keep records of each donor interaction, identify new donation opportunities, and provide personalized messaging, all in one integrated experience.</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 xml:space="preserve">Last quarter, we announced our new optimized donation forms were coming to Raiser's Edge NXT. We now have a few hundred customers up and running with nearly a thousand more experimenting. We expect these forms to drive higher revenue for our customers and for Blackbaud.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include these exciting new features in our products at no additional cost, to increase the value our customers receive from their existing subscription. We are delivering more innovation, evolving our products and ensuring our customers receive more value from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91540"/>
                <wp:effectExtent l="0" t="0" r="0" b="0"/>
                <wp:wrapNone/>
                <wp:docPr id="74" name="Frame2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7" descr=""/>
                                                <pic:cNvPicPr>
                                                  <a:picLocks noChangeAspect="1" noChangeArrowheads="1"/>
                                                </pic:cNvPicPr>
                                              </pic:nvPicPr>
                                              <pic:blipFill>
                                                <a:blip r:embed="rId51"/>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52"/>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val="false"/>
          <w:i/>
          <w:color w:val="51555C"/>
          <w:sz w:val="20"/>
        </w:rPr>
      </w:pPr>
      <w:bookmarkStart w:id="0" w:name="i4b564979de434ea0b3a3ddbb081d7f7e_6677"/>
      <w:bookmarkEnd w:id="0"/>
      <w:r>
        <w:rPr>
          <w:rFonts w:ascii="Calibri;sans-serif" w:hAnsi="Calibri;sans-serif"/>
          <w:b w:val="false"/>
          <w:i/>
          <w:color w:val="51555C"/>
          <w:sz w:val="20"/>
        </w:rPr>
        <w:t>Modernized Approach to Pricing and Multi-Year Contracts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the summer of 2022, we put in place an updated renewal pricing policy primarily for our social sector customers that directly reflects the value we provide to them, is in-line with the broader market and reflects the inflationary pressures that all businesses are facing. This program is designed to deliver sustained revenue growth beyond the initial three-year renewal cycle and will provide us with improved revenue visibility. As previously disclosed, this new approach has three main components: </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1.offering 3-year contract renewal terms as our standard, which the vast majority of customers are adopting;</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2.embedded annual price increases within the 3-year renewal term, which we have not had previously and are beginning to take effect; and</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 xml:space="preserve">3.a larger first year price increase to bring our pricing in-line with the broader market.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first two components, as well as a portion of the third, will continue on beyond the initial renewal cycle, creating what we believe will be a sustainable source of revenue growth. Approximately one half of our 2024 total company revenue growth is expected to be impacted by this modernized contract and pricing initiative, and by the end of 2024, we anticipate we will renew approximately two-thirds of that base into the new model. During the first and second quarters of 2024, we expect a larger contribution to our total revenue growth to come from this initiative.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51555C"/>
          <w:sz w:val="20"/>
        </w:rPr>
      </w:pPr>
      <w:r>
        <w:rPr>
          <w:rFonts w:ascii="Calibri;sans-serif" w:hAnsi="Calibri;sans-serif"/>
          <w:b/>
          <w:color w:val="51555C"/>
          <w:sz w:val="20"/>
        </w:rPr>
        <w:t>Financial Summary</w:t>
      </w:r>
    </w:p>
    <w:p>
      <w:pPr>
        <w:pStyle w:val="TextBody"/>
        <w:bidi w:val="0"/>
        <w:spacing w:before="180" w:after="283"/>
        <w:jc w:val="both"/>
        <w:rPr/>
      </w:pPr>
      <w:r>
        <w:rPr/>
      </w:r>
    </w:p>
    <w:tbl>
      <w:tblPr>
        <w:tblW w:w="4931"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868"/>
        <w:gridCol w:w="868"/>
        <w:gridCol w:w="123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Total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Calibri;sans-serif" w:hAnsi="Calibri;sans-serif"/>
                <w:b w:val="false"/>
                <w:i/>
                <w:color w:val="51555C"/>
                <w:sz w:val="20"/>
              </w:rPr>
            </w:pPr>
            <w:r>
              <w:rPr>
                <w:rFonts w:ascii="Calibri;sans-serif" w:hAnsi="Calibri;sans-serif"/>
                <w:b w:val="false"/>
                <w:i/>
                <w:color w:val="51555C"/>
                <w:sz w:val="20"/>
              </w:rPr>
              <w:t>Income (Loss) from operations ($M)</w:t>
            </w:r>
          </w:p>
        </w:tc>
      </w:tr>
      <w:tr>
        <w:trPr/>
        <w:tc>
          <w:tcPr>
            <w:tcW w:w="163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r>
    </w:tbl>
    <w:p>
      <w:pPr>
        <w:pStyle w:val="TextBody"/>
        <w:bidi w:val="0"/>
        <w:spacing w:lineRule="auto" w:line="288" w:before="180" w:after="283"/>
        <w:jc w:val="both"/>
        <w:rPr/>
      </w:pPr>
      <w:r>
        <w:rPr>
          <w:color w:val="51555C"/>
        </w:rPr>
        <w:t>       </w:t>
      </w:r>
      <w:r>
        <w:rPr/>
        <w:drawing>
          <wp:inline distT="0" distB="0" distL="0" distR="0">
            <wp:extent cx="2533650" cy="1581150"/>
            <wp:effectExtent l="0" t="0" r="0" b="0"/>
            <wp:docPr id="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8" descr=""/>
                    <pic:cNvPicPr>
                      <a:picLocks noChangeAspect="1" noChangeArrowheads="1"/>
                    </pic:cNvPicPr>
                  </pic:nvPicPr>
                  <pic:blipFill>
                    <a:blip r:embed="rId53"/>
                    <a:stretch>
                      <a:fillRect/>
                    </a:stretch>
                  </pic:blipFill>
                  <pic:spPr bwMode="auto">
                    <a:xfrm>
                      <a:off x="0" y="0"/>
                      <a:ext cx="2533650" cy="1581150"/>
                    </a:xfrm>
                    <a:prstGeom prst="rect">
                      <a:avLst/>
                    </a:prstGeom>
                  </pic:spPr>
                </pic:pic>
              </a:graphicData>
            </a:graphic>
          </wp:inline>
        </w:drawing>
      </w:r>
      <w:r>
        <w:rPr>
          <w:color w:val="51555C"/>
        </w:rPr>
        <w:t>                                    </w:t>
      </w:r>
      <w:r>
        <w:rPr/>
        <w:drawing>
          <wp:inline distT="0" distB="0" distL="0" distR="0">
            <wp:extent cx="2533650" cy="1581150"/>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54"/>
                    <a:stretch>
                      <a:fillRect/>
                    </a:stretch>
                  </pic:blipFill>
                  <pic:spPr bwMode="auto">
                    <a:xfrm>
                      <a:off x="0" y="0"/>
                      <a:ext cx="2533650" cy="1581150"/>
                    </a:xfrm>
                    <a:prstGeom prst="rect">
                      <a:avLst/>
                    </a:prstGeom>
                  </pic:spPr>
                </pic:pic>
              </a:graphicData>
            </a:graphic>
          </wp:inline>
        </w:drawing>
      </w:r>
      <w:r>
        <w:rPr>
          <w:color w:val="51555C"/>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Total revenue increased by $17.5 million during the three months ended March 31, 2024, when compared to the same period in 2023,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66"/>
        <w:gridCol w:w="2661"/>
        <w:gridCol w:w="37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Growth in recurring revenue primarily related to:</w:t>
            </w:r>
          </w:p>
          <w:p>
            <w:pPr>
              <w:pStyle w:val="TableContents"/>
              <w:bidi w:val="0"/>
              <w:spacing w:lineRule="auto" w:line="288" w:before="60" w:after="283"/>
              <w:ind w:left="0" w:right="0" w:hanging="360"/>
              <w:jc w:val="both"/>
              <w:rPr/>
            </w:pPr>
            <w:r>
              <w:rPr>
                <w:color w:val="51555C"/>
              </w:rPr>
              <w:t>•</w:t>
            </w:r>
            <w:r>
              <w:rPr>
                <w:rFonts w:ascii="Calibri;sans-serif" w:hAnsi="Calibri;sans-serif"/>
                <w:b w:val="false"/>
                <w:color w:val="51555C"/>
                <w:sz w:val="20"/>
              </w:rPr>
              <w:t>an increase in contractual recurring revenue of $13.3 million related to the impact of our modernized contract initiative and pricing within the Social Sector as well as the performance of our cloud solutions; partially offset by a decrease in revenue from EVERFI as discussed below</w:t>
            </w:r>
          </w:p>
          <w:p>
            <w:pPr>
              <w:pStyle w:val="TableContents"/>
              <w:bidi w:val="0"/>
              <w:spacing w:lineRule="auto" w:line="288" w:before="60" w:after="283"/>
              <w:ind w:left="0" w:right="0" w:hanging="360"/>
              <w:jc w:val="both"/>
              <w:rPr/>
            </w:pPr>
            <w:r>
              <w:rPr>
                <w:color w:val="51555C"/>
              </w:rPr>
              <w:t>•</w:t>
            </w:r>
            <w:r>
              <w:rPr>
                <w:rFonts w:ascii="Calibri;sans-serif" w:hAnsi="Calibri;sans-serif"/>
                <w:b w:val="false"/>
                <w:color w:val="51555C"/>
                <w:sz w:val="20"/>
              </w:rPr>
              <w:t>an increase in transactional recurring revenue of $5.5 million primarily due to positive results related to pricing initiatives we implemented at the beginning of 2023 and, to a lesser extent, increases in volume for our Blackbaud Tuition Management and JustGiving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one-time service and other revenue primarily related to:</w:t>
            </w:r>
          </w:p>
          <w:p>
            <w:pPr>
              <w:pStyle w:val="TableContents"/>
              <w:bidi w:val="0"/>
              <w:spacing w:lineRule="auto" w:line="288" w:before="60" w:after="283"/>
              <w:ind w:left="0" w:right="0" w:hanging="360"/>
              <w:jc w:val="both"/>
              <w:rPr/>
            </w:pPr>
            <w:r>
              <w:rPr>
                <w:color w:val="51555C"/>
              </w:rPr>
              <w:t>•</w:t>
            </w:r>
            <w:r>
              <w:rPr>
                <w:rFonts w:ascii="Calibri;sans-serif" w:hAnsi="Calibri;sans-serif"/>
                <w:b w:val="false"/>
                <w:color w:val="51555C"/>
                <w:sz w:val="20"/>
              </w:rPr>
              <w:t>decrease in one-time consulting revenue due primarily due to less revenue from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91540"/>
                <wp:effectExtent l="0" t="0" r="0" b="0"/>
                <wp:wrapNone/>
                <wp:docPr id="79" name="Frame2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0" descr=""/>
                                                <pic:cNvPicPr>
                                                  <a:picLocks noChangeAspect="1" noChangeArrowheads="1"/>
                                                </pic:cNvPicPr>
                                              </pic:nvPicPr>
                                              <pic:blipFill>
                                                <a:blip r:embed="rId55"/>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 descr=""/>
                                          <pic:cNvPicPr>
                                            <a:picLocks noChangeAspect="1" noChangeArrowheads="1"/>
                                          </pic:cNvPicPr>
                                        </pic:nvPicPr>
                                        <pic:blipFill>
                                          <a:blip r:embed="rId5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and discussed above, we have a number of multi-year pricing initiatives underway, some to bring our pricing in line with the market while others are model changes that are expected to drive greater revenue for both us and our customers. We expect that the decline in our non-strategic one-time services and other revenue will slow in 2024 compared to the previous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Our Social Sector revenue (which represents approximately 88% of our total revenue) increased $19.5 million, or 8.7%, during the three months ended March 31, 2024, when compared to the same period in 2023, driven primarily by the increases in contractual recurring revenue and transactional recurring revenue discussed above.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Our Corporate Sector revenue (which represents approximately 12% of our total revenue) decreased $2.1 million, or 5.6%, during the three months ended March 31, 2024, when compared to the same period in 2023, driven primarily by EVERFI. EVERFI has faced macroeconomic challenges in the form of tightening corporate CSR budgets, especially in the financial services market where EVERFI has a significant position. While we expect our Corporate Sector revenue to decline for the full year 2024, we are working on plans to ensure it contributes to shareholder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Income from operations increased by $20.7 million during the three months ended March 31, 2024, when compared to the same period in 2023,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077"/>
        <w:gridCol w:w="2535"/>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total revenue,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Security Incident-related expenses of $7.5 million. See "Security Incident update"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Decrease in employee severance costs of $4.3 million primarily due to our targeted workforce reductions during the fourth quarter of 2022 and the first quarter of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commission expense of $3.4 million due to fewer sales headcount and a prospective increase in the period of benefit over which we amortized costs of obtaining contracts with customers from 5 to 6 years beginning in the year ending 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corporate costs of $2.2 million primarily related to the release of certain accrued tax liabilities due to favorable sales tax rulings and a decrease in bad debt expense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20"/>
              </w:rPr>
            </w:pPr>
            <w:r>
              <w:rPr>
                <w:rFonts w:ascii="Calibri;sans-serif" w:hAnsi="Calibri;sans-serif"/>
                <w:b w:val="false"/>
                <w:color w:val="51555C"/>
                <w:sz w:val="20"/>
              </w:rPr>
              <w:t>Increase in stock-based compensation expense of $3.6 million primarily due to overall Company performance against targets for certain performance-based equity awards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advertising costs of $2.0 million primarily due to timing differences compared to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of $2.0 million due to an increase in amortization of capitalized software and content development costs and a decrease in software and content development costs that were required to be capitalized under the internal-use software guidance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amortization of intangible assets from business combinations of $1.7 million due to our acquisition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acquisition and disposition-related costs of $1.6 million primarily related to the disposition of EVERFI Limited; see Note 3 of our unaudited, condensed consolidated financial statements in this report for more information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transaction-based costs of $1.4 million related to the increase in the volume of transactions for which we process payments and, to a lesser extent, increases in vendor rates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hosting and data center costs of $1.3 million as we continue to migrate our cloud infrastructure to leading public cloud service providers and make investments in security; currently, we expect our cloud infrastructure migration efforts and increased level of cybersecurity investments to continue for the foreseeable future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continuing to make critical investments in the business in areas such as innovation, cybersecurity, and our continued shift of cloud infrastructure to leading public cloud service providers. Our profitability during the first quarter of 2024 reflects some of these incremental investments.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91540"/>
                <wp:effectExtent l="0" t="0" r="0" b="0"/>
                <wp:wrapNone/>
                <wp:docPr id="82" name="Frame2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1" descr=""/>
                                                <pic:cNvPicPr>
                                                  <a:picLocks noChangeAspect="1" noChangeArrowheads="1"/>
                                                </pic:cNvPicPr>
                                              </pic:nvPicPr>
                                              <pic:blipFill>
                                                <a:blip r:embed="rId57"/>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1" descr=""/>
                                          <pic:cNvPicPr>
                                            <a:picLocks noChangeAspect="1" noChangeArrowheads="1"/>
                                          </pic:cNvPicPr>
                                        </pic:nvPicPr>
                                        <pic:blipFill>
                                          <a:blip r:embed="rId58"/>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2528" w:type="dxa"/>
        <w:jc w:val="left"/>
        <w:tblInd w:w="0" w:type="dxa"/>
        <w:tblLayout w:type="fixed"/>
        <w:tblCellMar>
          <w:top w:w="28" w:type="dxa"/>
          <w:left w:w="28" w:type="dxa"/>
          <w:bottom w:w="28" w:type="dxa"/>
          <w:right w:w="28" w:type="dxa"/>
        </w:tblCellMar>
      </w:tblPr>
      <w:tblGrid>
        <w:gridCol w:w="661"/>
        <w:gridCol w:w="583"/>
        <w:gridCol w:w="585"/>
        <w:gridCol w:w="109"/>
        <w:gridCol w:w="109"/>
        <w:gridCol w:w="109"/>
        <w:gridCol w:w="109"/>
        <w:gridCol w:w="109"/>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dollar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533650" cy="1457325"/>
            <wp:effectExtent l="0" t="0" r="0" b="0"/>
            <wp:docPr id="8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2" descr=""/>
                    <pic:cNvPicPr>
                      <a:picLocks noChangeAspect="1" noChangeArrowheads="1"/>
                    </pic:cNvPicPr>
                  </pic:nvPicPr>
                  <pic:blipFill>
                    <a:blip r:embed="rId59"/>
                    <a:stretch>
                      <a:fillRect/>
                    </a:stretch>
                  </pic:blipFill>
                  <pic:spPr bwMode="auto">
                    <a:xfrm>
                      <a:off x="0" y="0"/>
                      <a:ext cx="2533650" cy="1457325"/>
                    </a:xfrm>
                    <a:prstGeom prst="rect">
                      <a:avLst/>
                    </a:prstGeom>
                  </pic:spPr>
                </pic:pic>
              </a:graphicData>
            </a:graphic>
          </wp:inline>
        </w:drawing>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recurring subscription contracts are typically for a term of three years at contract inception. A key factor to our overall success is the renewal and expansion of our existing subscription agreements with our customers. 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March 31, 2024, our gross dollar retention was approximately 89%. This gross dollar retention rate was slightly lower than our rate for the full year ended December 31, 2023, primarily due to EVERFI. Excluding EVERFI, our gross dollar retention during the twelve months ended March 31, 2024 was slightly higher than our rate for the full year ended December 31, 2023. We are continually investing in innovation, which we believe will increase gross dollar retention over the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Balance sheet and cash flow</w:t>
      </w:r>
    </w:p>
    <w:p>
      <w:pPr>
        <w:pStyle w:val="TextBody"/>
        <w:bidi w:val="0"/>
        <w:spacing w:lineRule="auto" w:line="288" w:before="180" w:after="283"/>
        <w:jc w:val="both"/>
        <w:rPr/>
      </w:pPr>
      <w:r>
        <w:rPr>
          <w:rFonts w:ascii="Calibri;sans-serif" w:hAnsi="Calibri;sans-serif"/>
          <w:b w:val="false"/>
          <w:color w:val="51555C"/>
          <w:sz w:val="20"/>
        </w:rPr>
        <w:t xml:space="preserve">At March 31, 2024, our cash and cash equivalents were $26.4 million. Under the 2020 Credit Facility, the carrying amount of our debt was $981.7 million and our net leverage ratio </w:t>
      </w:r>
      <w:r>
        <w:rPr>
          <w:rFonts w:ascii="Calibri;sans-serif" w:hAnsi="Calibri;sans-serif"/>
          <w:b w:val="false"/>
          <w:color w:val="51555C"/>
          <w:sz w:val="20"/>
          <w:shd w:fill="FFFFFF" w:val="clear"/>
        </w:rPr>
        <w:t xml:space="preserve">was </w:t>
      </w:r>
      <w:r>
        <w:rPr>
          <w:rFonts w:ascii="Calibri;sans-serif" w:hAnsi="Calibri;sans-serif"/>
          <w:b w:val="false"/>
          <w:color w:val="51555C"/>
          <w:sz w:val="20"/>
        </w:rPr>
        <w:t>2.72 to 1.00</w:t>
      </w:r>
      <w:r>
        <w:rPr>
          <w:rFonts w:ascii="Calibri;sans-serif" w:hAnsi="Calibri;sans-serif"/>
          <w:b w:val="false"/>
          <w:color w:val="51555C"/>
          <w:sz w:val="20"/>
          <w:shd w:fill="FFFFFF" w:val="clear"/>
        </w:rPr>
        <w:t>.</w:t>
      </w:r>
      <w:r>
        <w:rPr>
          <w:color w:val="51555C"/>
        </w:rPr>
        <w:t xml:space="preserve">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2024, we generated $64.6 million in cash from operations, had a net increase in borrowings of $260.5 million, returned $262.6 million to stockholders by way of share repurchases and had aggregate cash outlays of $13.3 million for purchases of property and equipment and capitalized software and content development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Security Incident update</w:t>
      </w:r>
    </w:p>
    <w:p>
      <w:pPr>
        <w:pStyle w:val="TextBody"/>
        <w:bidi w:val="0"/>
        <w:spacing w:lineRule="auto" w:line="288" w:before="180" w:after="283"/>
        <w:jc w:val="both"/>
        <w:rPr/>
      </w:pPr>
      <w:r>
        <w:rPr>
          <w:rFonts w:ascii="Calibri;sans-serif" w:hAnsi="Calibri;sans-serif"/>
          <w:b w:val="false"/>
          <w:color w:val="51555C"/>
          <w:sz w:val="20"/>
        </w:rPr>
        <w:t>As discussed in Note 9 to our unaudited, condensed consolidated financial statements in this report, t</w:t>
      </w:r>
      <w:r>
        <w:rPr>
          <w:rFonts w:ascii="Calibri;sans-serif" w:hAnsi="Calibri;sans-serif"/>
          <w:b w:val="false"/>
          <w:color w:val="51555C"/>
          <w:sz w:val="20"/>
          <w:shd w:fill="FFFFFF" w:val="clear"/>
        </w:rPr>
        <w:t>otal costs related to the Security Incident exceeded the limit of our insurance coverage in the first quarter of 2022</w:t>
      </w:r>
      <w:r>
        <w:rPr>
          <w:rFonts w:ascii="Calibri;sans-serif" w:hAnsi="Calibri;sans-serif"/>
          <w:b w:val="false"/>
          <w:color w:val="51555C"/>
          <w:sz w:val="20"/>
        </w:rPr>
        <w:t>. Accordingly, the Security Incident has negatively impacted, and we expect it to continue for the foreseeable future to negatively impact, our GAAP profitab</w:t>
      </w:r>
      <w:r>
        <w:rPr>
          <w:rFonts w:ascii="Calibri;sans-serif" w:hAnsi="Calibri;sans-serif"/>
          <w:b w:val="false"/>
          <w:color w:val="51555C"/>
          <w:sz w:val="20"/>
          <w:shd w:fill="FFFFFF" w:val="clear"/>
        </w:rPr>
        <w:t xml:space="preserve">ility and GAAP cash flow (see discussion regarding non-GAAP free cash flow and non-GAAP adjusted free cash flow on page </w:t>
      </w:r>
      <w:hyperlink w:anchor="id7cc69752cd840048be6c85b640c391a_163">
        <w:r>
          <w:rPr>
            <w:rStyle w:val="InternetLink"/>
            <w:rFonts w:ascii="Calibri;sans-serif" w:hAnsi="Calibri;sans-serif"/>
            <w:b w:val="false"/>
            <w:strike w:val="false"/>
            <w:dstrike w:val="false"/>
            <w:color w:val="51555C"/>
            <w:sz w:val="20"/>
            <w:u w:val="none"/>
            <w:effect w:val="none"/>
          </w:rPr>
          <w:t>37</w:t>
        </w:r>
      </w:hyperlink>
      <w:r>
        <w:rPr>
          <w:rFonts w:ascii="Calibri;sans-serif" w:hAnsi="Calibri;sans-serif"/>
          <w:b w:val="false"/>
          <w:color w:val="51555C"/>
          <w:sz w:val="20"/>
          <w:shd w:fill="FFFFFF" w:val="clear"/>
        </w:rPr>
        <w:t xml:space="preserve">). </w:t>
      </w:r>
      <w:r>
        <w:rPr>
          <w:rFonts w:ascii="Calibri;sans-serif" w:hAnsi="Calibri;sans-serif"/>
          <w:b w:val="false"/>
          <w:color w:val="51555C"/>
          <w:sz w:val="20"/>
        </w:rPr>
        <w:t xml:space="preserve">For the three months ended March 31, 2024, we incurred net pre-tax expenses of $10.3 million related to the Security Incident, which included $3.3 million for ongoing legal fees and additional accruals for loss contingencies of $7.0 million. During the three months ended March 31, 2024, we had cash outlays of $2.0 million related to the Security Incident for ongoing legal fees. In line with our policy, legal fees are expensed as incurred. For full year 2024, we currently expect pre-tax expenses of approximately $5.0 million to $10.0 million and cash outlays of approximately $8.0 million to $13.0 million for ongoing legal fees related to the Security Incident. Not included in these ranges are our previous settlements or current accruals for loss contingencies related to the matters discussed below.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2024, we have recorded approximately $8.5 million in aggregate liabilities for loss contingencies based primarily on recent negotiations with certain customers and governmental agencies related to the Security Incident that we believed we could reasonably estimate in accordance with our loss contingency procedures described above and as more fully described in Note 9. It is reasonably possible that our estimated actual losses may change in the near term for those matters and be materially in excess of the amounts accrued, but we are unable at this time to reasonably estimate the possible additional loss.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There are other Security Incident-related matters, including customer claims, customer constituent class actions and governmental investigations, for which we have not recorded a liability for a loss contingency as of March 31, 2024 because we are unable at this time to reasonably estimate the possible loss or range of loss. Each of these matters could, separately or in the aggregate, result in an adverse judgment, settlement, fine, penalty or other resolution, the amount, scope and timing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91540"/>
                <wp:effectExtent l="0" t="0" r="0" b="0"/>
                <wp:wrapNone/>
                <wp:docPr id="86" name="Frame2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3" descr=""/>
                                                <pic:cNvPicPr>
                                                  <a:picLocks noChangeAspect="1" noChangeArrowheads="1"/>
                                                </pic:cNvPicPr>
                                              </pic:nvPicPr>
                                              <pic:blipFill>
                                                <a:blip r:embed="rId6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3" descr=""/>
                                          <pic:cNvPicPr>
                                            <a:picLocks noChangeAspect="1" noChangeArrowheads="1"/>
                                          </pic:cNvPicPr>
                                        </pic:nvPicPr>
                                        <pic:blipFill>
                                          <a:blip r:embed="rId6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which we are currently unable to predict, but could have a material adverse impact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val="false"/>
          <w:i/>
          <w:color w:val="51555C"/>
          <w:sz w:val="20"/>
        </w:rPr>
      </w:pPr>
      <w:r>
        <w:rPr>
          <w:rFonts w:ascii="Calibri;sans-serif" w:hAnsi="Calibri;sans-serif"/>
          <w:b w:val="false"/>
          <w:i/>
          <w:color w:val="51555C"/>
          <w:sz w:val="20"/>
        </w:rPr>
        <w:t>Termination of stockholder rights agreement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March 18, 2024, the Company and Broadridge Corporate Issuer Solutions, LLC, a Pennsylvania limited liability company, entered into the Third Amendment to Stockholder Rights Agreement, dated as of March 18, 2024 (as amended, the “Rights Agreement”). The third amendment terminated the Rights Agreement by accelerating the expiration time of the Company’s preferred share purchase rights (each, a “Right” and, collectively, the “Rights”) to 5:00 P.M., New York City time, on March 18, 2024. At the time of the termination of the Rights Agreement, all of the Rights, which were previously distributed to holders of the Company’s issued and outstanding common stock, par value $0.001, pursuant to the Rights Agreement,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val="false"/>
          <w:i/>
          <w:color w:val="51555C"/>
          <w:sz w:val="20"/>
        </w:rPr>
      </w:pPr>
      <w:r>
        <w:rPr>
          <w:rFonts w:ascii="Calibri;sans-serif" w:hAnsi="Calibri;sans-serif"/>
          <w:b w:val="false"/>
          <w:i/>
          <w:color w:val="51555C"/>
          <w:sz w:val="20"/>
        </w:rPr>
        <w:t>April 2024 credit agreement refinancing</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April 30, 2024, we entered into the Amendment, which amended the Existing Credit Agreement to, among other things, (a) refinance the credit facilities under the Existing Credit Agreement to provide for (i) a $700.0 million revolving credit facility with a $50.0 million letter of credit subfacility, a $50.0 million swingline subfacility and a $150.0 million sublimit available for multicurrency borrowings (the “2024 Revolving Facility”) and (ii) a $800.0 million term loan facility (the “2024 Term Facility” and together with the 2024 Revolving Facility, the “2024 Credit Facilities”), (b) extend the maturity date to April 30, 2029, (c) modify the definition of Applicable Margin (as defined below) and (iv) modify certain negative and financial covenants to provide additional operational flexibility. See Part II, Item 5. “Other Information” for a summary of the terms of the 2024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39" w:type="dxa"/>
        <w:jc w:val="left"/>
        <w:tblInd w:w="0" w:type="dxa"/>
        <w:tblLayout w:type="fixed"/>
        <w:tblCellMar>
          <w:top w:w="28" w:type="dxa"/>
          <w:left w:w="28" w:type="dxa"/>
          <w:bottom w:w="28" w:type="dxa"/>
          <w:right w:w="28" w:type="dxa"/>
        </w:tblCellMar>
      </w:tblPr>
      <w:tblGrid>
        <w:gridCol w:w="748"/>
        <w:gridCol w:w="658"/>
        <w:gridCol w:w="9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Results of Operations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Comparison of the three months ended March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Calibri;sans-serif" w:hAnsi="Calibri;sans-serif"/>
          <w:b/>
          <w:color w:val="51555C"/>
          <w:sz w:val="20"/>
        </w:rPr>
      </w:pPr>
      <w:r>
        <w:rPr>
          <w:rFonts w:ascii="Calibri;sans-serif" w:hAnsi="Calibri;sans-serif"/>
          <w:b/>
          <w:color w:val="51555C"/>
          <w:sz w:val="20"/>
        </w:rPr>
        <w:t>Revenue and Cost of Revenue</w:t>
      </w:r>
    </w:p>
    <w:tbl>
      <w:tblPr>
        <w:tblW w:w="5498" w:type="dxa"/>
        <w:jc w:val="left"/>
        <w:tblInd w:w="0" w:type="dxa"/>
        <w:tblLayout w:type="fixed"/>
        <w:tblCellMar>
          <w:top w:w="28" w:type="dxa"/>
          <w:left w:w="28" w:type="dxa"/>
          <w:bottom w:w="28" w:type="dxa"/>
          <w:right w:w="28" w:type="dxa"/>
        </w:tblCellMar>
      </w:tblPr>
      <w:tblGrid>
        <w:gridCol w:w="445"/>
        <w:gridCol w:w="391"/>
        <w:gridCol w:w="394"/>
        <w:gridCol w:w="109"/>
        <w:gridCol w:w="109"/>
        <w:gridCol w:w="109"/>
        <w:gridCol w:w="589"/>
        <w:gridCol w:w="589"/>
        <w:gridCol w:w="591"/>
        <w:gridCol w:w="109"/>
        <w:gridCol w:w="109"/>
        <w:gridCol w:w="109"/>
        <w:gridCol w:w="540"/>
        <w:gridCol w:w="540"/>
        <w:gridCol w:w="765"/>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Recurring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profit ($M)</w:t>
              <w:br/>
              <w:t>and gross margin (%)</w:t>
            </w:r>
          </w:p>
        </w:tc>
      </w:tr>
      <w:tr>
        <w:trPr/>
        <w:tc>
          <w:tcPr>
            <w:tcW w:w="123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drawing>
          <wp:inline distT="0" distB="0" distL="0" distR="0">
            <wp:extent cx="2152650" cy="1581150"/>
            <wp:effectExtent l="0" t="0" r="0" b="0"/>
            <wp:docPr id="8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4" descr=""/>
                    <pic:cNvPicPr>
                      <a:picLocks noChangeAspect="1" noChangeArrowheads="1"/>
                    </pic:cNvPicPr>
                  </pic:nvPicPr>
                  <pic:blipFill>
                    <a:blip r:embed="rId62"/>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9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5" descr=""/>
                    <pic:cNvPicPr>
                      <a:picLocks noChangeAspect="1" noChangeArrowheads="1"/>
                    </pic:cNvPicPr>
                  </pic:nvPicPr>
                  <pic:blipFill>
                    <a:blip r:embed="rId63"/>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9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6" descr=""/>
                    <pic:cNvPicPr>
                      <a:picLocks noChangeAspect="1" noChangeArrowheads="1"/>
                    </pic:cNvPicPr>
                  </pic:nvPicPr>
                  <pic:blipFill>
                    <a:blip r:embed="rId64"/>
                    <a:stretch>
                      <a:fillRect/>
                    </a:stretch>
                  </pic:blipFill>
                  <pic:spPr bwMode="auto">
                    <a:xfrm>
                      <a:off x="0" y="0"/>
                      <a:ext cx="2152650" cy="1581150"/>
                    </a:xfrm>
                    <a:prstGeom prst="rect">
                      <a:avLst/>
                    </a:prstGeom>
                  </pic:spPr>
                </pic:pic>
              </a:graphicData>
            </a:graphic>
          </wp:inline>
        </w:drawing>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Recurring revenue includes two components: contractual recurring and transactional recurring.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Contractual recurring revenue is primarily comprised of fees for the use of our subscription-based software solutions, which includes providing access to cloud solutions, Impact-as-a-Service™ digital educational content, online training programs and subscription-based analytic services. Contractual recurring revenue also includes fees from maintenance services for our on-premises solutions.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Transactional recurring revenue is comprised of transaction fees associated with the use of our solutions, including donation processing, tuition management, consumer giving and event-based usage.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91540"/>
                <wp:effectExtent l="0" t="0" r="0" b="0"/>
                <wp:wrapNone/>
                <wp:docPr id="92" name="Frame2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7" descr=""/>
                                                <pic:cNvPicPr>
                                                  <a:picLocks noChangeAspect="1" noChangeArrowheads="1"/>
                                                </pic:cNvPicPr>
                                              </pic:nvPicPr>
                                              <pic:blipFill>
                                                <a:blip r:embed="rId65"/>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7" descr=""/>
                                          <pic:cNvPicPr>
                                            <a:picLocks noChangeAspect="1" noChangeArrowheads="1"/>
                                          </pic:cNvPicPr>
                                        </pic:nvPicPr>
                                        <pic:blipFill>
                                          <a:blip r:embed="rId66"/>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customers continue to prefer cloud subscription offerings with integrated analytics, training and payment services. We intend to continue focusing on innovation, quality and integration of our cloud solutions, which we believe will drive future revenue growth.</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Recurring revenue increased by $18.8 million, or 7.4%, during the three months ended March 31, 2024, when compared to the same period in 2023, driven primarily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03"/>
        <w:gridCol w:w="2694"/>
        <w:gridCol w:w="3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contractual recurring revenue of $13.3 million related to the impact of our modernized contract initiative and pricing within the Social Sector as well as the performance of our cloud solutions; partially offset by a decrease in revenue from EVERFI as discussed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transactional recurring revenue of $5.5 million primarily due to positive results related to pricing initiatives we implemented at the beginning of 2023 and, to a lesser extent, increases in volume for our Blackbaud Tuition Management and JustGiving solutions.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recurring revenue increased by $4.7 million, or 4.1%, during the three months ended March 31, 2024, when compared to the same period in 2023,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64"/>
        <w:gridCol w:w="2626"/>
        <w:gridCol w:w="37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amortization of intangible assets from business combinations of $1.6 million primarily due to our acquisition of EVERFI in December 2021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transaction-based costs of $1.5 million related to the increase in the volume of transactions for which we process payments and, to a lesser extent, increases in vendor rates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hosting and data center costs of $1.3 million as we continue to migrate our cloud infrastructure to leading public cloud service providers and make investments in security; currently, we expect our cloud infrastructure migration efforts and increased level of cybersecurity investments to continue for the foreseeable future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Recurring gross margin increased by 140 basis points for the three months ended March 31, 2024, when compared to the same period in 2023, primarily due to the increases in recurring revenue outpacing the increases in cost of recurring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93" w:type="dxa"/>
        <w:jc w:val="left"/>
        <w:tblInd w:w="0" w:type="dxa"/>
        <w:tblLayout w:type="fixed"/>
        <w:tblCellMar>
          <w:top w:w="28" w:type="dxa"/>
          <w:left w:w="28" w:type="dxa"/>
          <w:bottom w:w="28" w:type="dxa"/>
          <w:right w:w="28" w:type="dxa"/>
        </w:tblCellMar>
      </w:tblPr>
      <w:tblGrid>
        <w:gridCol w:w="842"/>
        <w:gridCol w:w="739"/>
        <w:gridCol w:w="744"/>
        <w:gridCol w:w="109"/>
        <w:gridCol w:w="109"/>
        <w:gridCol w:w="109"/>
        <w:gridCol w:w="589"/>
        <w:gridCol w:w="589"/>
        <w:gridCol w:w="591"/>
        <w:gridCol w:w="109"/>
        <w:gridCol w:w="109"/>
        <w:gridCol w:w="109"/>
        <w:gridCol w:w="540"/>
        <w:gridCol w:w="540"/>
        <w:gridCol w:w="765"/>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One-time services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profit ($M)</w:t>
              <w:br/>
              <w:t>and gross margin (%)</w:t>
            </w:r>
          </w:p>
        </w:tc>
      </w:tr>
      <w:tr>
        <w:trPr/>
        <w:tc>
          <w:tcPr>
            <w:tcW w:w="2325"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152650" cy="1581150"/>
            <wp:effectExtent l="0" t="0" r="0" b="0"/>
            <wp:docPr id="9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8" descr=""/>
                    <pic:cNvPicPr>
                      <a:picLocks noChangeAspect="1" noChangeArrowheads="1"/>
                    </pic:cNvPicPr>
                  </pic:nvPicPr>
                  <pic:blipFill>
                    <a:blip r:embed="rId67"/>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9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9" descr=""/>
                    <pic:cNvPicPr>
                      <a:picLocks noChangeAspect="1" noChangeArrowheads="1"/>
                    </pic:cNvPicPr>
                  </pic:nvPicPr>
                  <pic:blipFill>
                    <a:blip r:embed="rId68"/>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9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0" descr=""/>
                    <pic:cNvPicPr>
                      <a:picLocks noChangeAspect="1" noChangeArrowheads="1"/>
                    </pic:cNvPicPr>
                  </pic:nvPicPr>
                  <pic:blipFill>
                    <a:blip r:embed="rId69"/>
                    <a:stretch>
                      <a:fillRect/>
                    </a:stretch>
                  </pic:blipFill>
                  <pic:spPr bwMode="auto">
                    <a:xfrm>
                      <a:off x="0" y="0"/>
                      <a:ext cx="2152650" cy="1581150"/>
                    </a:xfrm>
                    <a:prstGeom prst="rect">
                      <a:avLst/>
                    </a:prstGeom>
                  </pic:spPr>
                </pic:pic>
              </a:graphicData>
            </a:graphic>
          </wp:inline>
        </w:drawing>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revenue is comprised of fees for one-time consulting, analytic and onsite training services, and fees for retained and managed services contracts that we do not expect to have a term consistent with our cloud solution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91540"/>
                <wp:effectExtent l="0" t="0" r="0" b="0"/>
                <wp:wrapNone/>
                <wp:docPr id="98" name="Frame3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1" descr=""/>
                                                <pic:cNvPicPr>
                                                  <a:picLocks noChangeAspect="1" noChangeArrowheads="1"/>
                                                </pic:cNvPicPr>
                                              </pic:nvPicPr>
                                              <pic:blipFill>
                                                <a:blip r:embed="rId7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1" descr=""/>
                                          <pic:cNvPicPr>
                                            <a:picLocks noChangeAspect="1" noChangeArrowheads="1"/>
                                          </pic:cNvPicPr>
                                        </pic:nvPicPr>
                                        <pic:blipFill>
                                          <a:blip r:embed="rId7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allocated depreciation, facilities and IT support costs and amortization of intangible assets from business combinations.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revenue decreased by $1.3 million, or 14.1%, during the three months ended March 31, 2024, when compared to the same period in 2023,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one-time consulting revenue of $1.1 million primarily due to less sales of creative services and implementation and customization services. As discussed in Note 3 to our unaudited, condensed consolidated financial statements in this report, our sale of EVERFI Limited contributed to the decrease in creative services revenue. Also contributing to the decrease in one-time consulting revenue is an increase in utilization of third-party service delivery partners. For several years, we have been strategically shifting away from a one-time services business model towards sales of retained and managed services and also embedding services in our renewable cloud solution contracts. Retained and managed services contracts that we expect to have a term consistent with our cloud solution contracts, and embedded services are recorded as recurring revenue.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one-time services and other decreased by $1.6 million, or 18.5%, during the three months ended March 31, 2024, when compared to the same period in 2023,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compensation costs of $1.2 million primarily related to our prior period targeted workforce reductions discussed above and a continued shift in resources historically supporting one-time services and other towards recurring revenue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gross margin increased by 480 basis points during the three months ended March 31, 2024, when compared to the same period in 2023, primarily due to the decrease in compensation costs discussed above outpacing the decrease of one-time services and other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Calibri;sans-serif" w:hAnsi="Calibri;sans-serif"/>
          <w:b/>
          <w:color w:val="51555C"/>
          <w:sz w:val="20"/>
        </w:rPr>
      </w:pPr>
      <w:r>
        <w:rPr>
          <w:rFonts w:ascii="Calibri;sans-serif" w:hAnsi="Calibri;sans-serif"/>
          <w:b/>
          <w:color w:val="51555C"/>
          <w:sz w:val="20"/>
        </w:rPr>
        <w:t>Operating Expenses</w:t>
      </w:r>
    </w:p>
    <w:tbl>
      <w:tblPr>
        <w:tblW w:w="5842" w:type="dxa"/>
        <w:jc w:val="left"/>
        <w:tblInd w:w="0" w:type="dxa"/>
        <w:tblLayout w:type="fixed"/>
        <w:tblCellMar>
          <w:top w:w="28" w:type="dxa"/>
          <w:left w:w="28" w:type="dxa"/>
          <w:bottom w:w="28" w:type="dxa"/>
          <w:right w:w="28" w:type="dxa"/>
        </w:tblCellMar>
      </w:tblPr>
      <w:tblGrid>
        <w:gridCol w:w="683"/>
        <w:gridCol w:w="602"/>
        <w:gridCol w:w="604"/>
        <w:gridCol w:w="109"/>
        <w:gridCol w:w="109"/>
        <w:gridCol w:w="109"/>
        <w:gridCol w:w="524"/>
        <w:gridCol w:w="524"/>
        <w:gridCol w:w="526"/>
        <w:gridCol w:w="109"/>
        <w:gridCol w:w="109"/>
        <w:gridCol w:w="109"/>
        <w:gridCol w:w="505"/>
        <w:gridCol w:w="505"/>
        <w:gridCol w:w="715"/>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Sales, marketing and</w:t>
              <w:br/>
              <w:t>customer success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Research and</w:t>
              <w:br/>
              <w:t>development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General and</w:t>
              <w:br/>
              <w:t>administrative ($M)</w:t>
            </w:r>
          </w:p>
        </w:tc>
      </w:tr>
      <w:tr>
        <w:trPr/>
        <w:tc>
          <w:tcPr>
            <w:tcW w:w="5842" w:type="dxa"/>
            <w:gridSpan w:val="15"/>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expenses as a percentage of total revenue</w:t>
            </w:r>
          </w:p>
        </w:tc>
      </w:tr>
    </w:tbl>
    <w:p>
      <w:pPr>
        <w:pStyle w:val="TextBody"/>
        <w:bidi w:val="0"/>
        <w:spacing w:before="180" w:after="283"/>
        <w:jc w:val="left"/>
        <w:rPr/>
      </w:pPr>
      <w:r>
        <w:rPr/>
        <w:drawing>
          <wp:inline distT="0" distB="0" distL="0" distR="0">
            <wp:extent cx="2152650" cy="1581150"/>
            <wp:effectExtent l="0" t="0" r="0" b="0"/>
            <wp:docPr id="10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2" descr=""/>
                    <pic:cNvPicPr>
                      <a:picLocks noChangeAspect="1" noChangeArrowheads="1"/>
                    </pic:cNvPicPr>
                  </pic:nvPicPr>
                  <pic:blipFill>
                    <a:blip r:embed="rId72"/>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0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3" descr=""/>
                    <pic:cNvPicPr>
                      <a:picLocks noChangeAspect="1" noChangeArrowheads="1"/>
                    </pic:cNvPicPr>
                  </pic:nvPicPr>
                  <pic:blipFill>
                    <a:blip r:embed="rId73"/>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0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4" descr=""/>
                    <pic:cNvPicPr>
                      <a:picLocks noChangeAspect="1" noChangeArrowheads="1"/>
                    </pic:cNvPicPr>
                  </pic:nvPicPr>
                  <pic:blipFill>
                    <a:blip r:embed="rId74"/>
                    <a:stretch>
                      <a:fillRect/>
                    </a:stretch>
                  </pic:blipFill>
                  <pic:spPr bwMode="auto">
                    <a:xfrm>
                      <a:off x="0" y="0"/>
                      <a:ext cx="2152650" cy="1581150"/>
                    </a:xfrm>
                    <a:prstGeom prst="rect">
                      <a:avLst/>
                    </a:prstGeom>
                  </pic:spPr>
                </pic:pic>
              </a:graphicData>
            </a:graphic>
          </wp:inline>
        </w:drawing>
      </w:r>
    </w:p>
    <w:p>
      <w:pPr>
        <w:pStyle w:val="TextBody"/>
        <w:bidi w:val="0"/>
        <w:spacing w:lineRule="auto" w:line="288" w:before="180" w:after="283"/>
        <w:jc w:val="left"/>
        <w:rPr>
          <w:rFonts w:ascii="Calibri;sans-serif" w:hAnsi="Calibri;sans-serif"/>
          <w:b w:val="false"/>
          <w:i/>
          <w:color w:val="51555C"/>
          <w:sz w:val="20"/>
        </w:rPr>
      </w:pPr>
      <w:r>
        <w:rPr>
          <w:rFonts w:ascii="Calibri;sans-serif" w:hAnsi="Calibri;sans-serif"/>
          <w:b w:val="false"/>
          <w:i/>
          <w:color w:val="51555C"/>
          <w:sz w:val="20"/>
        </w:rPr>
        <w:t>Sales, marketing and customer success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expected to reduce our average customer acquisition cost per customer as well as the related payback period while increasing sales velocity.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91540"/>
                <wp:effectExtent l="0" t="0" r="0" b="0"/>
                <wp:wrapNone/>
                <wp:docPr id="104" name="Frame3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5" descr=""/>
                                                <pic:cNvPicPr>
                                                  <a:picLocks noChangeAspect="1" noChangeArrowheads="1"/>
                                                </pic:cNvPicPr>
                                              </pic:nvPicPr>
                                              <pic:blipFill>
                                                <a:blip r:embed="rId75"/>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5" descr=""/>
                                          <pic:cNvPicPr>
                                            <a:picLocks noChangeAspect="1" noChangeArrowheads="1"/>
                                          </pic:cNvPicPr>
                                        </pic:nvPicPr>
                                        <pic:blipFill>
                                          <a:blip r:embed="rId76"/>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Sales, marketing and customer success expense decreased by $3.5 million or 6.5%, during the three months ended March 31, 2024, when compared to the same period in 2023. The decreases in dollars and as a percentage of total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Decrease in commission expense of $3.5 million due to fewer sales headcount and a prospective increase in the period of benefit over which we amortized costs of obtaining contracts with customers from 5 to 6 years beginning in the year ending December 31,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Decrease in employee severance costs of $1.6 million primarily due to our prior period targeted workforce reductions discussed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advertising costs of $2.0 million primarily due to timing differences compared to 2023</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Research and development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continue to make investments to delight our customers with innovative and secure cloud solutions. Research and development expenses increased by $2.2 million or 5.4%, during the three months ended March 31, 2024, when compared to the same period in 2023,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compensation costs of $2.4 million primarily related to an increase in resources dedicated to the security-related compliance of our solutions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Decrease in employee severance costs of $1.1 million primarily due to our prior period targeted workforce reductions discussed above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Calibri;sans-serif" w:hAnsi="Calibri;sans-serif"/>
          <w:b w:val="false"/>
          <w:color w:val="51555C"/>
          <w:sz w:val="20"/>
        </w:rPr>
        <w:t xml:space="preserve">Not included in research and development expense for the three months ended March 31, 2024 and 2023 were $13.7 million and $14.2 million, respectively, of qualifying costs associated with software and content development activities that are required to be capitalized under GAAP, such as those for our cloud solutions, as well as development costs associated with acquired companies. Qualifying capitalized development costs associated with our cloud solutions are subsequently amortized to cost </w:t>
      </w:r>
      <w:r>
        <w:rPr>
          <w:rFonts w:ascii="Calibri;sans-serif" w:hAnsi="Calibri;sans-serif"/>
          <w:b w:val="false"/>
          <w:color w:val="51555C"/>
          <w:sz w:val="20"/>
          <w:shd w:fill="FFFFFF" w:val="clear"/>
        </w:rPr>
        <w:t xml:space="preserve">of recurring revenue over the related assets' estimated useful life, which generally range from three to seven years. </w:t>
      </w:r>
      <w:r>
        <w:rPr>
          <w:rFonts w:ascii="Calibri;sans-serif" w:hAnsi="Calibri;sans-serif"/>
          <w:b w:val="false"/>
          <w:color w:val="51555C"/>
          <w:sz w:val="20"/>
        </w:rPr>
        <w:t>We expect that the amount of software and content development costs capitalized will be relatively consistent in the near-term as we continue making investments in innovation, quality, security and the integration of our solutions, which we believe will drive long-term revenue growth.</w:t>
      </w:r>
    </w:p>
    <w:p>
      <w:pPr>
        <w:pStyle w:val="TextBody"/>
        <w:bidi w:val="0"/>
        <w:spacing w:lineRule="auto" w:line="288" w:before="180" w:after="283"/>
        <w:jc w:val="left"/>
        <w:rPr>
          <w:rFonts w:ascii="Calibri;sans-serif" w:hAnsi="Calibri;sans-serif"/>
          <w:b w:val="false"/>
          <w:i/>
          <w:color w:val="51555C"/>
          <w:sz w:val="20"/>
        </w:rPr>
      </w:pPr>
      <w:r>
        <w:rPr>
          <w:rFonts w:ascii="Calibri;sans-serif" w:hAnsi="Calibri;sans-serif"/>
          <w:b w:val="false"/>
          <w:i/>
          <w:color w:val="51555C"/>
          <w:sz w:val="20"/>
        </w:rPr>
        <w:t>General and administrative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costs, acquisition-related expenses and other administrative expenses.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General and administrative expense decreased by $5.1 million or 9.6%, during the three months ended March 31, 2024, when compared to the same period in 2023. The decreases in dollars and as a percentage of total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14"/>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pPr>
            <w:r>
              <w:rPr>
                <w:rFonts w:ascii="Calibri;sans-serif" w:hAnsi="Calibri;sans-serif"/>
                <w:b w:val="false"/>
                <w:color w:val="51555C"/>
                <w:sz w:val="20"/>
              </w:rPr>
              <w:t xml:space="preserve">Decrease in Security Incident-related expenses of $7.5 million. See "Security Incident update" on page </w:t>
            </w:r>
            <w:hyperlink w:anchor="id7cc69752cd840048be6c85b640c391a_124">
              <w:r>
                <w:rPr>
                  <w:rStyle w:val="InternetLink"/>
                  <w:rFonts w:ascii="Calibri;sans-serif" w:hAnsi="Calibri;sans-serif"/>
                  <w:b w:val="false"/>
                  <w:strike w:val="false"/>
                  <w:dstrike w:val="false"/>
                  <w:color w:val="51555C"/>
                  <w:sz w:val="20"/>
                  <w:u w:val="none"/>
                  <w:effect w:val="none"/>
                </w:rPr>
                <w:t>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corporate costs of $2.2 million primarily related to the release of certain accrued tax liabilities due to favorable sales tax rulings and a decrease in bad debt expense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Decrease in employee severance costs of $0.8 million due to our prior period targeted workforce reductions discussed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Increase in compensation costs of $4.7 million primarily related to an increase in stock-based compensation due to overall Company performance against targets for certain performance-based equity awards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acquisition and disposition-related costs of $1.6 million primarily related to the disposition of EVERFI Limited; see Note 3 to our unaudited, condensed consolidated financial statements in this report for more information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91540"/>
                <wp:effectExtent l="0" t="0" r="0" b="0"/>
                <wp:wrapNone/>
                <wp:docPr id="107" name="Frame3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6" descr=""/>
                                                <pic:cNvPicPr>
                                                  <a:picLocks noChangeAspect="1" noChangeArrowheads="1"/>
                                                </pic:cNvPicPr>
                                              </pic:nvPicPr>
                                              <pic:blipFill>
                                                <a:blip r:embed="rId7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6" descr=""/>
                                          <pic:cNvPicPr>
                                            <a:picLocks noChangeAspect="1" noChangeArrowheads="1"/>
                                          </pic:cNvPicPr>
                                        </pic:nvPicPr>
                                        <pic:blipFill>
                                          <a:blip r:embed="rId7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Interest Expense</w:t>
      </w:r>
    </w:p>
    <w:tbl>
      <w:tblPr>
        <w:tblW w:w="4374" w:type="dxa"/>
        <w:jc w:val="left"/>
        <w:tblInd w:w="0" w:type="dxa"/>
        <w:tblLayout w:type="fixed"/>
        <w:tblCellMar>
          <w:top w:w="28" w:type="dxa"/>
          <w:left w:w="28" w:type="dxa"/>
          <w:bottom w:w="28" w:type="dxa"/>
          <w:right w:w="28" w:type="dxa"/>
        </w:tblCellMar>
      </w:tblPr>
      <w:tblGrid>
        <w:gridCol w:w="1329"/>
        <w:gridCol w:w="1171"/>
        <w:gridCol w:w="1175"/>
        <w:gridCol w:w="109"/>
        <w:gridCol w:w="109"/>
        <w:gridCol w:w="109"/>
        <w:gridCol w:w="109"/>
        <w:gridCol w:w="109"/>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Interest expense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expenses as a 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1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7" descr=""/>
                    <pic:cNvPicPr>
                      <a:picLocks noChangeAspect="1" noChangeArrowheads="1"/>
                    </pic:cNvPicPr>
                  </pic:nvPicPr>
                  <pic:blipFill>
                    <a:blip r:embed="rId79"/>
                    <a:stretch>
                      <a:fillRect/>
                    </a:stretch>
                  </pic:blipFill>
                  <pic:spPr bwMode="auto">
                    <a:xfrm>
                      <a:off x="0" y="0"/>
                      <a:ext cx="2152650" cy="1581150"/>
                    </a:xfrm>
                    <a:prstGeom prst="rect">
                      <a:avLst/>
                    </a:prstGeom>
                  </pic:spPr>
                </pic:pic>
              </a:graphicData>
            </a:graphic>
          </wp:inline>
        </w:drawing>
      </w:r>
      <w:r>
        <w:rPr>
          <w:color w:val="51555C"/>
        </w:rPr>
        <w:t>                 </w:t>
      </w:r>
    </w:p>
    <w:p>
      <w:pPr>
        <w:pStyle w:val="TextBody"/>
        <w:bidi w:val="0"/>
        <w:spacing w:lineRule="auto" w:line="288" w:before="180" w:after="283"/>
        <w:jc w:val="both"/>
        <w:rPr/>
      </w:pPr>
      <w:r>
        <w:rPr>
          <w:rFonts w:ascii="Calibri;sans-serif" w:hAnsi="Calibri;sans-serif"/>
          <w:b w:val="false"/>
          <w:color w:val="51555C"/>
          <w:sz w:val="20"/>
        </w:rPr>
        <w:t xml:space="preserve">Interest expense in dollars and as a percentage of total revenue during the three months ended March 31, 2024, was relatively in line with the same period in 2023. We currently expect interest expense for the full year 2024 to be approximately $48 million to $52 million as we had incremental borrowings to fund our ASR Transaction (as defined on page </w:t>
      </w:r>
      <w:hyperlink w:anchor="id7cc69752cd840048be6c85b640c391a_181">
        <w:r>
          <w:rPr>
            <w:rStyle w:val="InternetLink"/>
            <w:rFonts w:ascii="Calibri;sans-serif" w:hAnsi="Calibri;sans-serif"/>
            <w:b w:val="false"/>
            <w:strike w:val="false"/>
            <w:dstrike w:val="false"/>
            <w:color w:val="51555C"/>
            <w:sz w:val="20"/>
            <w:u w:val="none"/>
            <w:effect w:val="none"/>
          </w:rPr>
          <w:t>40</w:t>
        </w:r>
      </w:hyperlink>
      <w:r>
        <w:rPr>
          <w:rFonts w:ascii="Calibri;sans-serif" w:hAnsi="Calibri;sans-serif"/>
          <w:b w:val="false"/>
          <w:color w:val="51555C"/>
          <w:sz w:val="20"/>
        </w:rPr>
        <w:t>). We also expect interest rates to remain higher throughout 2024 than we originally anticipated. Our interest expense in connection with the variable rate portion of our outstanding debt could increase in a rising interest rate environment. See Note 8 to our unaudited,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Other Income</w:t>
      </w:r>
    </w:p>
    <w:tbl>
      <w:tblPr>
        <w:tblW w:w="4599" w:type="dxa"/>
        <w:jc w:val="left"/>
        <w:tblInd w:w="0" w:type="dxa"/>
        <w:tblLayout w:type="fixed"/>
        <w:tblCellMar>
          <w:top w:w="28" w:type="dxa"/>
          <w:left w:w="28" w:type="dxa"/>
          <w:bottom w:w="28" w:type="dxa"/>
          <w:right w:w="28" w:type="dxa"/>
        </w:tblCellMar>
      </w:tblPr>
      <w:tblGrid>
        <w:gridCol w:w="1411"/>
        <w:gridCol w:w="1242"/>
        <w:gridCol w:w="1247"/>
        <w:gridCol w:w="109"/>
        <w:gridCol w:w="109"/>
        <w:gridCol w:w="109"/>
        <w:gridCol w:w="109"/>
        <w:gridCol w:w="109"/>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Calibri;sans-serif" w:hAnsi="Calibri;sans-serif"/>
                <w:b w:val="false"/>
                <w:i/>
                <w:color w:val="51555C"/>
                <w:sz w:val="20"/>
              </w:rPr>
            </w:pPr>
            <w:r>
              <w:rPr>
                <w:rFonts w:ascii="Calibri;sans-serif" w:hAnsi="Calibri;sans-serif"/>
                <w:b w:val="false"/>
                <w:i/>
                <w:color w:val="51555C"/>
                <w:sz w:val="20"/>
              </w:rPr>
              <w:t>Other income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other income as a 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1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8" descr=""/>
                    <pic:cNvPicPr>
                      <a:picLocks noChangeAspect="1" noChangeArrowheads="1"/>
                    </pic:cNvPicPr>
                  </pic:nvPicPr>
                  <pic:blipFill>
                    <a:blip r:embed="rId80"/>
                    <a:stretch>
                      <a:fillRect/>
                    </a:stretch>
                  </pic:blipFill>
                  <pic:spPr bwMode="auto">
                    <a:xfrm>
                      <a:off x="0" y="0"/>
                      <a:ext cx="2152650" cy="1581150"/>
                    </a:xfrm>
                    <a:prstGeom prst="rect">
                      <a:avLst/>
                    </a:prstGeom>
                  </pic:spPr>
                </pic:pic>
              </a:graphicData>
            </a:graphic>
          </wp:inline>
        </w:drawing>
      </w:r>
      <w:r>
        <w:rPr>
          <w:color w:val="51555C"/>
        </w:rPr>
        <w: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Other income increased in dollars and as a percentage of total revenue during the three months ended March 31, 2024 when compared to the same period in 2023, primarily due to an increase in interest income. Interest income increased primarily due to higher interest earned on restricted cash held and payable by us to customers for our payment processing solutions. See Note 6 to our unaudited, condensed consolidated financial statements in this report for more information regarding our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91540"/>
                <wp:effectExtent l="0" t="0" r="0" b="0"/>
                <wp:wrapNone/>
                <wp:docPr id="112" name="Frame3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9" descr=""/>
                                                <pic:cNvPicPr>
                                                  <a:picLocks noChangeAspect="1" noChangeArrowheads="1"/>
                                                </pic:cNvPicPr>
                                              </pic:nvPicPr>
                                              <pic:blipFill>
                                                <a:blip r:embed="rId81"/>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9" descr=""/>
                                          <pic:cNvPicPr>
                                            <a:picLocks noChangeAspect="1" noChangeArrowheads="1"/>
                                          </pic:cNvPicPr>
                                        </pic:nvPicPr>
                                        <pic:blipFill>
                                          <a:blip r:embed="rId82"/>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Deferred Revenue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table below compares the components of deferred revenue from our unaudited, condensed consolidated balance sheets:</w:t>
      </w:r>
    </w:p>
    <w:tbl>
      <w:tblPr>
        <w:tblW w:w="5004" w:type="dxa"/>
        <w:jc w:val="left"/>
        <w:tblInd w:w="0" w:type="dxa"/>
        <w:tblLayout w:type="fixed"/>
        <w:tblCellMar>
          <w:top w:w="28" w:type="dxa"/>
          <w:left w:w="28" w:type="dxa"/>
          <w:bottom w:w="28" w:type="dxa"/>
          <w:right w:w="28" w:type="dxa"/>
        </w:tblCellMar>
      </w:tblPr>
      <w:tblGrid>
        <w:gridCol w:w="718"/>
        <w:gridCol w:w="629"/>
        <w:gridCol w:w="633"/>
        <w:gridCol w:w="211"/>
        <w:gridCol w:w="616"/>
        <w:gridCol w:w="109"/>
        <w:gridCol w:w="247"/>
        <w:gridCol w:w="721"/>
        <w:gridCol w:w="127"/>
        <w:gridCol w:w="307"/>
        <w:gridCol w:w="309"/>
        <w:gridCol w:w="3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93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0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c>
          <w:tcPr>
            <w:tcW w:w="99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19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Deferred revenue</w:t>
            </w:r>
            <w:r>
              <w:rPr>
                <w:rFonts w:ascii="Calibri;sans-serif" w:hAnsi="Calibri;sans-serif"/>
                <w:b w:val="false"/>
                <w:color w:val="51555C"/>
                <w:sz w:val="13"/>
              </w:rPr>
              <w:t>(1)</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367.2 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394.9 </w:t>
            </w:r>
          </w:p>
        </w:tc>
        <w:tc>
          <w:tcPr>
            <w:tcW w:w="12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185.0 </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198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Current portion</w:t>
            </w:r>
            <w:r>
              <w:rPr>
                <w:rFonts w:ascii="Calibri;sans-serif" w:hAnsi="Calibri;sans-serif"/>
                <w:b w:val="false"/>
                <w:color w:val="51555C"/>
                <w:sz w:val="13"/>
              </w:rPr>
              <w:t>(1)</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360.4 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392.5 </w:t>
            </w:r>
          </w:p>
        </w:tc>
        <w:tc>
          <w:tcPr>
            <w:tcW w:w="12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(8.2)</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deferred revenue or current portion of deferred revenue due to rounding.</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generally invoice our customers with recurring revenue contracts in annual cycles 30 days prior to the end of each one-year period.</w:t>
      </w:r>
    </w:p>
    <w:p>
      <w:pPr>
        <w:pStyle w:val="TextBody"/>
        <w:bidi w:val="0"/>
        <w:spacing w:lineRule="auto" w:line="288" w:before="180" w:after="283"/>
        <w:jc w:val="both"/>
        <w:rPr/>
      </w:pPr>
      <w:r>
        <w:rPr>
          <w:rFonts w:ascii="Calibri;sans-serif" w:hAnsi="Calibri;sans-serif"/>
          <w:b w:val="false"/>
          <w:color w:val="51555C"/>
          <w:sz w:val="20"/>
          <w:shd w:fill="FFFFFF" w:val="clear"/>
        </w:rPr>
        <w:t xml:space="preserve">The decrease in deferred revenue during the three months ended March 31, 2024 was primarily due to </w:t>
      </w:r>
      <w:r>
        <w:rPr>
          <w:rFonts w:ascii="Calibri;sans-serif" w:hAnsi="Calibri;sans-serif"/>
          <w:b w:val="false"/>
          <w:color w:val="51555C"/>
          <w:sz w:val="20"/>
        </w:rPr>
        <w:t>a seasonal decrease in customer contract renewals</w:t>
      </w:r>
      <w:r>
        <w:rPr>
          <w:rFonts w:ascii="Calibri;sans-serif" w:hAnsi="Calibri;sans-serif"/>
          <w:b w:val="false"/>
          <w:color w:val="51555C"/>
          <w:sz w:val="20"/>
          <w:shd w:fill="FFFFFF" w:val="clear"/>
        </w:rPr>
        <w:t xml:space="preserve">. Historically, due to the timing of customer budget cycles, we have an increase in customer contract renewals at or near the beginning of our third quarter. Generally, our lowest balance of deferred revenue during the year is at the end of our first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Calibri;sans-serif" w:hAnsi="Calibri;sans-serif"/>
          <w:b/>
          <w:color w:val="51555C"/>
          <w:sz w:val="20"/>
        </w:rPr>
      </w:pPr>
      <w:r>
        <w:rPr>
          <w:rFonts w:ascii="Calibri;sans-serif" w:hAnsi="Calibri;sans-serif"/>
          <w:b/>
          <w:color w:val="51555C"/>
          <w:sz w:val="20"/>
        </w:rPr>
        <w:t>Income Taxes</w:t>
      </w:r>
    </w:p>
    <w:tbl>
      <w:tblPr>
        <w:tblW w:w="3429" w:type="dxa"/>
        <w:jc w:val="left"/>
        <w:tblInd w:w="0" w:type="dxa"/>
        <w:tblLayout w:type="fixed"/>
        <w:tblCellMar>
          <w:top w:w="28" w:type="dxa"/>
          <w:left w:w="28" w:type="dxa"/>
          <w:bottom w:w="28" w:type="dxa"/>
          <w:right w:w="28" w:type="dxa"/>
        </w:tblCellMar>
      </w:tblPr>
      <w:tblGrid>
        <w:gridCol w:w="987"/>
        <w:gridCol w:w="870"/>
        <w:gridCol w:w="873"/>
        <w:gridCol w:w="109"/>
        <w:gridCol w:w="109"/>
        <w:gridCol w:w="109"/>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Calibri;sans-serif" w:hAnsi="Calibri;sans-serif"/>
                <w:b w:val="false"/>
                <w:i/>
                <w:color w:val="51555C"/>
                <w:sz w:val="20"/>
              </w:rPr>
            </w:pPr>
            <w:r>
              <w:rPr>
                <w:rFonts w:ascii="Calibri;sans-serif" w:hAnsi="Calibri;sans-serif"/>
                <w:b w:val="false"/>
                <w:i/>
                <w:color w:val="51555C"/>
                <w:sz w:val="20"/>
              </w:rPr>
              <w:t>Income tax benefit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effective income tax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1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0" descr=""/>
                    <pic:cNvPicPr>
                      <a:picLocks noChangeAspect="1" noChangeArrowheads="1"/>
                    </pic:cNvPicPr>
                  </pic:nvPicPr>
                  <pic:blipFill>
                    <a:blip r:embed="rId83"/>
                    <a:stretch>
                      <a:fillRect/>
                    </a:stretch>
                  </pic:blipFill>
                  <pic:spPr bwMode="auto">
                    <a:xfrm>
                      <a:off x="0" y="0"/>
                      <a:ext cx="2152650" cy="1581150"/>
                    </a:xfrm>
                    <a:prstGeom prst="rect">
                      <a:avLst/>
                    </a:prstGeom>
                  </pic:spPr>
                </pic:pic>
              </a:graphicData>
            </a:graphic>
          </wp:inline>
        </w:drawing>
      </w:r>
      <w:r>
        <w:rPr>
          <w:color w:val="51555C"/>
        </w:rPr>
        <w: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change in our effective income tax rate for the three months ended March 31, 2024 when compared to the same period in 2023 was primarily attributable to favorable impacts of benefits attributable to stock-based compensation and research and development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Non-GAAP Financial Measures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91540"/>
                <wp:effectExtent l="0" t="0" r="0" b="0"/>
                <wp:wrapNone/>
                <wp:docPr id="116" name="Frame3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1" descr=""/>
                                                <pic:cNvPicPr>
                                                  <a:picLocks noChangeAspect="1" noChangeArrowheads="1"/>
                                                </pic:cNvPicPr>
                                              </pic:nvPicPr>
                                              <pic:blipFill>
                                                <a:blip r:embed="rId8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1" descr=""/>
                                          <pic:cNvPicPr>
                                            <a:picLocks noChangeAspect="1" noChangeArrowheads="1"/>
                                          </pic:cNvPicPr>
                                        </pic:nvPicPr>
                                        <pic:blipFill>
                                          <a:blip r:embed="rId85"/>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7629" w:type="dxa"/>
        <w:jc w:val="left"/>
        <w:tblInd w:w="0" w:type="dxa"/>
        <w:tblLayout w:type="fixed"/>
        <w:tblCellMar>
          <w:top w:w="28" w:type="dxa"/>
          <w:left w:w="28" w:type="dxa"/>
          <w:bottom w:w="28" w:type="dxa"/>
          <w:right w:w="28" w:type="dxa"/>
        </w:tblCellMar>
      </w:tblPr>
      <w:tblGrid>
        <w:gridCol w:w="1684"/>
        <w:gridCol w:w="1477"/>
        <w:gridCol w:w="1489"/>
        <w:gridCol w:w="109"/>
        <w:gridCol w:w="109"/>
        <w:gridCol w:w="157"/>
        <w:gridCol w:w="282"/>
        <w:gridCol w:w="780"/>
        <w:gridCol w:w="325"/>
        <w:gridCol w:w="251"/>
        <w:gridCol w:w="695"/>
        <w:gridCol w:w="271"/>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217" w:type="dxa"/>
            <w:gridSpan w:val="3"/>
            <w:tcBorders/>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121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465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279.3 </w:t>
            </w:r>
          </w:p>
        </w:tc>
        <w:tc>
          <w:tcPr>
            <w:tcW w:w="32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261.8 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153.0 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138.6 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54.8 </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13.1 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18.4 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17.8 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gross profit</w:t>
            </w:r>
            <w:r>
              <w:rPr>
                <w:rFonts w:ascii="Calibri;sans-serif" w:hAnsi="Calibri;sans-serif"/>
                <w:b/>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171.5 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156.4 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61.4 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59.8 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10.7 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(9.9)</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3.8 </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15.6 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13.9 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Acquisition and disposition-related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2.3 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0.6 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Add: Security Incident-related costs</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61.7 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66.5 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income from operations</w:t>
            </w:r>
            <w:r>
              <w:rPr>
                <w:rFonts w:ascii="Calibri;sans-serif" w:hAnsi="Calibri;sans-serif"/>
                <w:b/>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72.4 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56.6 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25.9 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21.6 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income (loss) before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3.8 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(18.6)</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Shares used in computing GAAP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53,414,495 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52,132,999 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0.10 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GAAP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Total non-GAAP adjustments affecting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61.7 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66.5 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income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65.5 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47.9 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Assumed non-GAAP income tax provision</w:t>
            </w:r>
            <w:r>
              <w:rPr>
                <w:rFonts w:ascii="Calibri;sans-serif" w:hAnsi="Calibr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16.0 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9.6 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net income</w:t>
            </w:r>
            <w:r>
              <w:rPr>
                <w:rFonts w:ascii="Calibri;sans-serif" w:hAnsi="Calibri;sans-serif"/>
                <w:b/>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49.5 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38.3 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Shares used in computing non-GAAP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53,414,495 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53,171,410 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0.93 </w:t>
            </w:r>
          </w:p>
        </w:tc>
        <w:tc>
          <w:tcPr>
            <w:tcW w:w="32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0.72 </w:t>
            </w:r>
          </w:p>
        </w:tc>
        <w:tc>
          <w:tcPr>
            <w:tcW w:w="27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subtotal, non-GAAP gross profit, non-GAAP income from operations, non-GAAP income before provision for income taxes or non-GAAP net income due to rounding.</w:t>
      </w:r>
    </w:p>
    <w:p>
      <w:pPr>
        <w:pStyle w:val="TextBody"/>
        <w:bidi w:val="0"/>
        <w:spacing w:lineRule="auto" w:line="288" w:before="0" w:after="0"/>
        <w:ind w:left="0" w:right="0" w:hanging="360"/>
        <w:jc w:val="both"/>
        <w:rPr/>
      </w:pPr>
      <w:r>
        <w:rPr>
          <w:rFonts w:ascii="Calibri;sans-serif" w:hAnsi="Calibri;sans-serif"/>
          <w:b w:val="false"/>
          <w:color w:val="51555C"/>
          <w:sz w:val="16"/>
        </w:rPr>
        <w:t>(2)Includes Security Incident-related costs incurred during the three months ended March 31, 2024 of $10.3 million which includes approximately $7.0 million in recorded liabilities for loss contingencies and during the three months ended March 31, 2023 of $17.8 million which included approximately $10.2 million</w:t>
      </w:r>
      <w:r>
        <w:rPr>
          <w:color w:val="51555C"/>
        </w:rPr>
        <w:t xml:space="preserve"> </w:t>
      </w:r>
      <w:r>
        <w:rPr>
          <w:rFonts w:ascii="Calibri;sans-serif" w:hAnsi="Calibri;sans-serif"/>
          <w:b w:val="false"/>
          <w:color w:val="51555C"/>
          <w:sz w:val="16"/>
        </w:rPr>
        <w:t>in recorded liabilities for loss contingencies. Recorded expenses consisted primarily of payments to third-party service providers and consultants, including legal fees, as well as settlements of customer claims, negotiated settlements and accruals for certain loss contingencies. Not included in this adjustment were costs associated with enhancements to our cybersecurity program. For full year 2024, we currently expect pre-tax expenses of approximately $5 million to $10 million and cash outlays of approximately $8 million to $13 million for ongoing legal fees related to the Security Incident. Not included in these ranges are our previous settlements or current accruals for loss contingencies related to the matters discussed below. In line with our policy, legal fees are expensed as incurred. As of March 31, 2024, we have recorded approximately $8.5 million in aggregate liabilities for loss contingencies based primarily on recent negotiations with certain customers and governmental agencies related to the Security Incident that we believe we can reasonably estimate. It is reasonably possible that our estimated or actual losses may change in the near term for those matters and be materially in excess of the amounts accrued, but we are unable at this time to reasonably estimate the possible additional loss. There are other Security Incident-related matters, including customer claims, customer constituent class actions and governmental investigations, for which we have not recorded a liability for a loss contingency as of March 31, 2024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(3)Beginning in 2024, we now apply a non-GAAP effective tax rate of 24.5% when calculating non-GAAP net income and non-GAAP diluted earnings per share. For the three months ended March 31, 2023, the tax impact related to non-GAAP adjustments is calculated under our historical non-GAAP effective tax rate of 20.0%.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91540"/>
                <wp:effectExtent l="0" t="0" r="0" b="0"/>
                <wp:wrapNone/>
                <wp:docPr id="119" name="Frame3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2" descr=""/>
                                                <pic:cNvPicPr>
                                                  <a:picLocks noChangeAspect="1" noChangeArrowheads="1"/>
                                                </pic:cNvPicPr>
                                              </pic:nvPicPr>
                                              <pic:blipFill>
                                                <a:blip r:embed="rId86"/>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2" descr=""/>
                                          <pic:cNvPicPr>
                                            <a:picLocks noChangeAspect="1" noChangeArrowheads="1"/>
                                          </pic:cNvPicPr>
                                        </pic:nvPicPr>
                                        <pic:blipFill>
                                          <a:blip r:embed="rId87"/>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Non-GAAP organic revenue growth</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 </w:t>
      </w:r>
    </w:p>
    <w:tbl>
      <w:tblPr>
        <w:tblW w:w="7707" w:type="dxa"/>
        <w:jc w:val="left"/>
        <w:tblInd w:w="0" w:type="dxa"/>
        <w:tblLayout w:type="fixed"/>
        <w:tblCellMar>
          <w:top w:w="28" w:type="dxa"/>
          <w:left w:w="28" w:type="dxa"/>
          <w:bottom w:w="28" w:type="dxa"/>
          <w:right w:w="28" w:type="dxa"/>
        </w:tblCellMar>
      </w:tblPr>
      <w:tblGrid>
        <w:gridCol w:w="1832"/>
        <w:gridCol w:w="1607"/>
        <w:gridCol w:w="1615"/>
        <w:gridCol w:w="109"/>
        <w:gridCol w:w="109"/>
        <w:gridCol w:w="157"/>
        <w:gridCol w:w="282"/>
        <w:gridCol w:w="780"/>
        <w:gridCol w:w="325"/>
        <w:gridCol w:w="196"/>
        <w:gridCol w:w="541"/>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891" w:type="dxa"/>
            <w:gridSpan w:val="3"/>
            <w:tcBorders/>
          </w:tcPr>
          <w:p>
            <w:pPr>
              <w:pStyle w:val="TableContents"/>
              <w:bidi w:val="0"/>
              <w:spacing w:before="0" w:after="283"/>
              <w:jc w:val="left"/>
              <w:rPr>
                <w:sz w:val="4"/>
                <w:szCs w:val="4"/>
              </w:rPr>
            </w:pPr>
            <w:r>
              <w:rPr>
                <w:sz w:val="4"/>
                <w:szCs w:val="4"/>
              </w:rPr>
            </w:r>
          </w:p>
        </w:tc>
      </w:tr>
      <w:tr>
        <w:trPr/>
        <w:tc>
          <w:tcPr>
            <w:tcW w:w="505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8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50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279.3 </w:t>
            </w:r>
          </w:p>
        </w:tc>
        <w:tc>
          <w:tcPr>
            <w:tcW w:w="32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261.8 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revenue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6.7</w:t>
            </w:r>
            <w:r>
              <w:rPr>
                <w:color w:val="51555C"/>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Less: Non-GAAP revenue from divested businesses</w:t>
            </w:r>
            <w:r>
              <w:rPr>
                <w:rFonts w:ascii="Calibri;sans-serif" w:hAnsi="Calibr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(0.6)</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revenue</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279.3 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261.1 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revenue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6.9</w:t>
            </w:r>
            <w:r>
              <w:rPr>
                <w:color w:val="51555C"/>
              </w:rPr>
              <w:t>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revenue</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279.3 </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Foreign currency impact on Non-GAAP organic revenue</w:t>
            </w:r>
            <w:r>
              <w:rPr>
                <w:rFonts w:ascii="Calibri;sans-serif" w:hAnsi="Calibr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revenue on constant currency basis</w:t>
            </w:r>
            <w:r>
              <w:rPr>
                <w:rFonts w:ascii="Calibri;sans-serif" w:hAnsi="Calibr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278.3 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261.1 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revenue growth on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6.6</w:t>
            </w:r>
            <w:r>
              <w:rPr>
                <w:color w:val="51555C"/>
              </w:rPr>
              <w:t>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recurring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recurring revenue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7.4</w:t>
            </w:r>
            <w:r>
              <w:rPr>
                <w:color w:val="51555C"/>
              </w:rPr>
              <w:t> </w:t>
            </w:r>
          </w:p>
        </w:tc>
        <w:tc>
          <w:tcPr>
            <w:tcW w:w="32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Less: Non-GAAP recurring revenue from divested businesses</w:t>
            </w:r>
            <w:r>
              <w:rPr>
                <w:rFonts w:ascii="Calibri;sans-serif" w:hAnsi="Calibr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recurring revenue</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271.5 </w:t>
            </w:r>
          </w:p>
        </w:tc>
        <w:tc>
          <w:tcPr>
            <w:tcW w:w="32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252.7 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recurring revenue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7.4</w:t>
            </w:r>
            <w:r>
              <w:rPr>
                <w:color w:val="51555C"/>
              </w:rPr>
              <w:t>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recurring revenue</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Foreign currency impact on non-GAAP organic recurring revenue</w:t>
            </w:r>
            <w:r>
              <w:rPr>
                <w:rFonts w:ascii="Calibri;sans-serif" w:hAnsi="Calibr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(0.9)</w:t>
            </w:r>
          </w:p>
        </w:tc>
        <w:tc>
          <w:tcPr>
            <w:tcW w:w="32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recurring revenue on constant currency basis</w:t>
            </w:r>
            <w:r>
              <w:rPr>
                <w:rFonts w:ascii="Calibri;sans-serif" w:hAnsi="Calibr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270.7 </w:t>
            </w:r>
          </w:p>
        </w:tc>
        <w:tc>
          <w:tcPr>
            <w:tcW w:w="32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252.7 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recurring revenue growth on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7.1</w:t>
            </w:r>
            <w:r>
              <w:rPr>
                <w:color w:val="51555C"/>
              </w:rPr>
              <w:t> </w:t>
            </w:r>
          </w:p>
        </w:tc>
        <w:tc>
          <w:tcPr>
            <w:tcW w:w="32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91540"/>
                <wp:effectExtent l="0" t="0" r="0" b="0"/>
                <wp:wrapNone/>
                <wp:docPr id="122" name="Frame3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3" descr=""/>
                                                <pic:cNvPicPr>
                                                  <a:picLocks noChangeAspect="1" noChangeArrowheads="1"/>
                                                </pic:cNvPicPr>
                                              </pic:nvPicPr>
                                              <pic:blipFill>
                                                <a:blip r:embed="rId8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3" descr=""/>
                                          <pic:cNvPicPr>
                                            <a:picLocks noChangeAspect="1" noChangeArrowheads="1"/>
                                          </pic:cNvPicPr>
                                        </pic:nvPicPr>
                                        <pic:blipFill>
                                          <a:blip r:embed="rId8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Rule of 40</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and content development costs; stock-based compensation; employee severance; acquisition and disposition-related costs; restructuring and other real estate activities; Security Incident-related costs; and impairment of capitalized software development costs.</w:t>
      </w:r>
    </w:p>
    <w:tbl>
      <w:tblPr>
        <w:tblW w:w="7018" w:type="dxa"/>
        <w:jc w:val="left"/>
        <w:tblInd w:w="0" w:type="dxa"/>
        <w:tblLayout w:type="fixed"/>
        <w:tblCellMar>
          <w:top w:w="28" w:type="dxa"/>
          <w:left w:w="28" w:type="dxa"/>
          <w:bottom w:w="28" w:type="dxa"/>
          <w:right w:w="28" w:type="dxa"/>
        </w:tblCellMar>
      </w:tblPr>
      <w:tblGrid>
        <w:gridCol w:w="1593"/>
        <w:gridCol w:w="1397"/>
        <w:gridCol w:w="1405"/>
        <w:gridCol w:w="109"/>
        <w:gridCol w:w="109"/>
        <w:gridCol w:w="171"/>
        <w:gridCol w:w="308"/>
        <w:gridCol w:w="710"/>
        <w:gridCol w:w="355"/>
        <w:gridCol w:w="196"/>
        <w:gridCol w:w="511"/>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4"/>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861" w:type="dxa"/>
            <w:gridSpan w:val="3"/>
            <w:tcBorders/>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8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r>
      <w:tr>
        <w:trPr/>
        <w:tc>
          <w:tcPr>
            <w:tcW w:w="439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1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5.2 </w:t>
            </w:r>
          </w:p>
        </w:tc>
        <w:tc>
          <w:tcPr>
            <w:tcW w:w="35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Interest,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8.2 </w:t>
            </w:r>
          </w:p>
        </w:tc>
        <w:tc>
          <w:tcPr>
            <w:tcW w:w="3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9.4 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Less: GAAP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3.1 </w:t>
            </w:r>
          </w:p>
        </w:tc>
        <w:tc>
          <w:tcPr>
            <w:tcW w:w="3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Add: Amortization of software and content development costs</w:t>
            </w:r>
            <w:r>
              <w:rPr>
                <w:rFonts w:ascii="Calibri;sans-serif" w:hAnsi="Calibr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12.1 </w:t>
            </w:r>
          </w:p>
        </w:tc>
        <w:tc>
          <w:tcPr>
            <w:tcW w:w="3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37.5 </w:t>
            </w:r>
          </w:p>
        </w:tc>
        <w:tc>
          <w:tcPr>
            <w:tcW w:w="35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33.4 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EBITDA</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1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42.8 </w:t>
            </w:r>
          </w:p>
        </w:tc>
        <w:tc>
          <w:tcPr>
            <w:tcW w:w="3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18.7 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EBITDA margin</w:t>
            </w:r>
            <w:r>
              <w:rPr>
                <w:rFonts w:ascii="Calibri;sans-serif" w:hAnsi="Calibr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15.3 </w:t>
            </w:r>
          </w:p>
        </w:tc>
        <w:tc>
          <w:tcPr>
            <w:tcW w:w="35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86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33.6 </w:t>
            </w:r>
          </w:p>
        </w:tc>
        <w:tc>
          <w:tcPr>
            <w:tcW w:w="3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Acquisition and disposition-related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2.3 </w:t>
            </w:r>
          </w:p>
        </w:tc>
        <w:tc>
          <w:tcPr>
            <w:tcW w:w="3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Add: Security Incident-related costs</w:t>
            </w:r>
            <w:r>
              <w:rPr>
                <w:rFonts w:ascii="Calibri;sans-serif" w:hAnsi="Calibri;sans-serif"/>
                <w:b w:val="false"/>
                <w:color w:val="51555C"/>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46.1 </w:t>
            </w:r>
          </w:p>
        </w:tc>
        <w:tc>
          <w:tcPr>
            <w:tcW w:w="3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52.6 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Adjusted EBITDA</w:t>
            </w:r>
            <w:r>
              <w:rPr>
                <w:rFonts w:ascii="Calibri;sans-serif" w:hAnsi="Calibr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1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88.9 </w:t>
            </w:r>
          </w:p>
        </w:tc>
        <w:tc>
          <w:tcPr>
            <w:tcW w:w="35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71.3 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Adjusted EBITDA margin</w:t>
            </w:r>
            <w:r>
              <w:rPr>
                <w:rFonts w:ascii="Calibri;sans-serif" w:hAnsi="Calibri;sans-serif"/>
                <w:b/>
                <w:color w:val="51555C"/>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31.8</w:t>
            </w:r>
            <w:r>
              <w:rPr>
                <w:color w:val="51555C"/>
              </w:rPr>
              <w:t> </w:t>
            </w:r>
          </w:p>
        </w:tc>
        <w:tc>
          <w:tcPr>
            <w:tcW w:w="35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6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Rule of 40</w:t>
            </w:r>
            <w:r>
              <w:rPr>
                <w:rFonts w:ascii="Calibri;sans-serif" w:hAnsi="Calibri;sans-serif"/>
                <w:b/>
                <w:color w:val="51555C"/>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38.7</w:t>
            </w:r>
            <w:r>
              <w:rPr>
                <w:color w:val="51555C"/>
              </w:rPr>
              <w:t> </w:t>
            </w:r>
          </w:p>
        </w:tc>
        <w:tc>
          <w:tcPr>
            <w:tcW w:w="35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88.9 </w:t>
            </w:r>
          </w:p>
        </w:tc>
        <w:tc>
          <w:tcPr>
            <w:tcW w:w="35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71.3 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Foreign currency impact on Non-GAAP adjusted EBITDA</w:t>
            </w:r>
            <w:r>
              <w:rPr>
                <w:rFonts w:ascii="Calibri;sans-serif" w:hAnsi="Calibri;sans-serif"/>
                <w:b w:val="false"/>
                <w:color w:val="51555C"/>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adjusted EBITDA on constant currency basis</w:t>
            </w:r>
            <w:r>
              <w:rPr>
                <w:rFonts w:ascii="Calibri;sans-serif" w:hAnsi="Calibri;sans-serif"/>
                <w:b w:val="false"/>
                <w:color w:val="51555C"/>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71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88.5 </w:t>
            </w:r>
          </w:p>
        </w:tc>
        <w:tc>
          <w:tcPr>
            <w:tcW w:w="35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72.6 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adjusted EBITDA margin on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31.8</w:t>
            </w:r>
            <w:r>
              <w:rPr>
                <w:color w:val="51555C"/>
              </w:rPr>
              <w:t> </w:t>
            </w:r>
          </w:p>
        </w:tc>
        <w:tc>
          <w:tcPr>
            <w:tcW w:w="35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6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7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Rule of 40 on constant currency basis</w:t>
            </w:r>
            <w:r>
              <w:rPr>
                <w:rFonts w:ascii="Calibri;sans-serif" w:hAnsi="Calibri;sans-serif"/>
                <w:b/>
                <w:color w:val="51555C"/>
                <w:sz w:val="1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18"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38.4</w:t>
            </w:r>
            <w:r>
              <w:rPr>
                <w:color w:val="51555C"/>
              </w:rPr>
              <w:t> </w:t>
            </w:r>
          </w:p>
        </w:tc>
        <w:tc>
          <w:tcPr>
            <w:tcW w:w="355"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61"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amortization expense related to software development costs and amortization expense from capitalized cloud computing implementation costs.</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(2)The individual amounts for each year may not sum to subtotal, non-GAAP EBITDA, non-GAAP adjusted EBITDA or non-GAAP adjusted EBITDA on a constant currency basis due to rounding.</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(3)Measured by GAAP revenue divided by non-GAAP EBITDA.</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(4)See additional details in the reconciliation of GAAP to Non-GAAP operating income above.</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(5)Measured by non-GAAP organic revenue divided by non-GAAP adjusted EBITDA.</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(6)Measured by non-GAAP organic revenue growth plus non-GAAP adjusted EBITDA margin. See Non-GAAP organic revenue growth table above.</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(7)To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(8)Measured by non-GAAP organic revenue growth on constant currency basis plus non-GAAP adjusted EBITDA margin on constant currency basis. See Non-GAAP organic revenue growth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91540"/>
                <wp:effectExtent l="0" t="0" r="0" b="0"/>
                <wp:wrapNone/>
                <wp:docPr id="125" name="Frame3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4" descr=""/>
                                                <pic:cNvPicPr>
                                                  <a:picLocks noChangeAspect="1" noChangeArrowheads="1"/>
                                                </pic:cNvPicPr>
                                              </pic:nvPicPr>
                                              <pic:blipFill>
                                                <a:blip r:embed="rId90"/>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4" descr=""/>
                                          <pic:cNvPicPr>
                                            <a:picLocks noChangeAspect="1" noChangeArrowheads="1"/>
                                          </pic:cNvPicPr>
                                        </pic:nvPicPr>
                                        <pic:blipFill>
                                          <a:blip r:embed="rId91"/>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i/>
          <w:color w:val="51555C"/>
          <w:sz w:val="20"/>
        </w:rPr>
      </w:pPr>
      <w:bookmarkStart w:id="1" w:name="ie1fb23161c6743b2b5abfc7acb8d3e5f_1018"/>
      <w:bookmarkEnd w:id="1"/>
      <w:r>
        <w:rPr>
          <w:rFonts w:ascii="Calibri;sans-serif" w:hAnsi="Calibri;sans-serif"/>
          <w:b w:val="false"/>
          <w:i/>
          <w:color w:val="51555C"/>
          <w:sz w:val="20"/>
        </w:rPr>
        <w:t>Non-GAAP free cash flow and non-GAAP adjusted free cash flow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Non-GAAP free cash flow is defined as operating cash flow less capital expenditures, including costs required to be capitalized for software and content development, and capital expenditures for property and equipment.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Non-GAAP adjusted free cash flow is defined as operating cash flow less capital expenditures, including costs required to be capitalized for software and content development and capital expenditures for property and equipment, plus cash outflows related to the Security Incident.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tbl>
      <w:tblPr>
        <w:tblW w:w="5874" w:type="dxa"/>
        <w:jc w:val="left"/>
        <w:tblInd w:w="0" w:type="dxa"/>
        <w:tblLayout w:type="fixed"/>
        <w:tblCellMar>
          <w:top w:w="28" w:type="dxa"/>
          <w:left w:w="28" w:type="dxa"/>
          <w:bottom w:w="28" w:type="dxa"/>
          <w:right w:w="28" w:type="dxa"/>
        </w:tblCellMar>
      </w:tblPr>
      <w:tblGrid>
        <w:gridCol w:w="1440"/>
        <w:gridCol w:w="1265"/>
        <w:gridCol w:w="1269"/>
        <w:gridCol w:w="196"/>
        <w:gridCol w:w="451"/>
        <w:gridCol w:w="226"/>
        <w:gridCol w:w="196"/>
        <w:gridCol w:w="451"/>
        <w:gridCol w:w="2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87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87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net cash provided by operating activities</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64.6 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21.8 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operating cash flow margin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23.1 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8.3 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87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purchase of property and equipment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capitalized software and content development costs</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(13.1)</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(14.0)</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free cash flow</w:t>
            </w:r>
            <w:r>
              <w:rPr>
                <w:rFonts w:ascii="Calibri;sans-serif" w:hAnsi="Calibri;sans-serif"/>
                <w:b/>
                <w:color w:val="51555C"/>
                <w:sz w:val="10"/>
              </w:rPr>
              <w:t>(1)</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51.3 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6.5 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free cash flow margin</w:t>
            </w:r>
          </w:p>
        </w:tc>
        <w:tc>
          <w:tcPr>
            <w:tcW w:w="64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18.4 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64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Security Incident-related cash flows</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2.0 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9.2 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adjusted free cash flow</w:t>
            </w:r>
            <w:r>
              <w:rPr>
                <w:rFonts w:ascii="Calibri;sans-serif" w:hAnsi="Calibri;sans-serif"/>
                <w:b/>
                <w:color w:val="51555C"/>
                <w:sz w:val="10"/>
              </w:rPr>
              <w:t>(1)</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53.3 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15.7 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adjusted free cash flow margin</w:t>
            </w:r>
          </w:p>
        </w:tc>
        <w:tc>
          <w:tcPr>
            <w:tcW w:w="64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19.1 </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64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6.0 </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non-GAAP free cash flow or non-GAAP adjusted free cash flow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Seasonality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renewals and student enrollments or significant acquisitions. Our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91540"/>
                <wp:effectExtent l="0" t="0" r="0" b="0"/>
                <wp:wrapNone/>
                <wp:docPr id="128" name="Frame3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5" descr=""/>
                                                <pic:cNvPicPr>
                                                  <a:picLocks noChangeAspect="1" noChangeArrowheads="1"/>
                                                </pic:cNvPicPr>
                                              </pic:nvPicPr>
                                              <pic:blipFill>
                                                <a:blip r:embed="rId92"/>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5" descr=""/>
                                          <pic:cNvPicPr>
                                            <a:picLocks noChangeAspect="1" noChangeArrowheads="1"/>
                                          </pic:cNvPicPr>
                                        </pic:nvPicPr>
                                        <pic:blipFill>
                                          <a:blip r:embed="rId9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flow from financing is negatively impacted in our first quarter when most of our equity awards vest, as we pay taxes on behalf of our employees related to the settlement or exercise of equity awards.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These patterns may change as a result of the continued shift to online giving, growth in volume of transactions for which we process payments, large dollar customer bookings and contract renewals, fluctuations in the timing of vendor payments, or as a result of acquisitions, new market opportunities, new solution introductions or other factors. For example, we currently do not expect that our operating cash flow in the second quarter of 2024 will be higher than that of our first quarter primarily due to fluctuations in the timing of vendor and tax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59" w:type="dxa"/>
        <w:jc w:val="left"/>
        <w:tblInd w:w="0" w:type="dxa"/>
        <w:tblLayout w:type="fixed"/>
        <w:tblCellMar>
          <w:top w:w="28" w:type="dxa"/>
          <w:left w:w="28" w:type="dxa"/>
          <w:bottom w:w="28" w:type="dxa"/>
          <w:right w:w="28" w:type="dxa"/>
        </w:tblCellMar>
      </w:tblPr>
      <w:tblGrid>
        <w:gridCol w:w="1076"/>
        <w:gridCol w:w="946"/>
        <w:gridCol w:w="1337"/>
      </w:tblGrid>
      <w:tr>
        <w:trPr/>
        <w:tc>
          <w:tcPr>
            <w:tcW w:w="10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Liquidity and Capital Resources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selected financial information about our financial position:</w:t>
      </w:r>
    </w:p>
    <w:tbl>
      <w:tblPr>
        <w:tblW w:w="6607" w:type="dxa"/>
        <w:jc w:val="left"/>
        <w:tblInd w:w="0" w:type="dxa"/>
        <w:tblLayout w:type="fixed"/>
        <w:tblCellMar>
          <w:top w:w="28" w:type="dxa"/>
          <w:left w:w="28" w:type="dxa"/>
          <w:bottom w:w="28" w:type="dxa"/>
          <w:right w:w="28" w:type="dxa"/>
        </w:tblCellMar>
      </w:tblPr>
      <w:tblGrid>
        <w:gridCol w:w="1331"/>
        <w:gridCol w:w="1169"/>
        <w:gridCol w:w="1175"/>
        <w:gridCol w:w="223"/>
        <w:gridCol w:w="543"/>
        <w:gridCol w:w="109"/>
        <w:gridCol w:w="277"/>
        <w:gridCol w:w="673"/>
        <w:gridCol w:w="144"/>
        <w:gridCol w:w="293"/>
        <w:gridCol w:w="293"/>
        <w:gridCol w:w="377"/>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87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March 31,</w:t>
              <w:br/>
              <w:t>2024</w:t>
            </w:r>
          </w:p>
        </w:tc>
        <w:tc>
          <w:tcPr>
            <w:tcW w:w="10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2023</w:t>
            </w:r>
          </w:p>
        </w:tc>
        <w:tc>
          <w:tcPr>
            <w:tcW w:w="96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367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Cash and cash equivalents</w:t>
            </w:r>
          </w:p>
        </w:tc>
        <w:tc>
          <w:tcPr>
            <w:tcW w:w="22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31.3 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(15.6)</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Property and equipment, net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Software and content development costs, net</w:t>
            </w:r>
          </w:p>
        </w:tc>
        <w:tc>
          <w:tcPr>
            <w:tcW w:w="7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160.2 </w:t>
            </w:r>
          </w:p>
        </w:tc>
        <w:tc>
          <w:tcPr>
            <w:tcW w:w="14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37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carrying value of debt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779.7 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33.4 </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Working capital</w:t>
            </w:r>
          </w:p>
        </w:tc>
        <w:tc>
          <w:tcPr>
            <w:tcW w:w="76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(285.5)</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(267.4)</w:t>
            </w:r>
          </w:p>
        </w:tc>
        <w:tc>
          <w:tcPr>
            <w:tcW w:w="14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(6.8)</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selected financial information about our cash flows:</w:t>
      </w:r>
    </w:p>
    <w:tbl>
      <w:tblPr>
        <w:tblW w:w="6089" w:type="dxa"/>
        <w:jc w:val="left"/>
        <w:tblInd w:w="0" w:type="dxa"/>
        <w:tblLayout w:type="fixed"/>
        <w:tblCellMar>
          <w:top w:w="28" w:type="dxa"/>
          <w:left w:w="28" w:type="dxa"/>
          <w:bottom w:w="28" w:type="dxa"/>
          <w:right w:w="28" w:type="dxa"/>
        </w:tblCellMar>
      </w:tblPr>
      <w:tblGrid>
        <w:gridCol w:w="1201"/>
        <w:gridCol w:w="1054"/>
        <w:gridCol w:w="1059"/>
        <w:gridCol w:w="226"/>
        <w:gridCol w:w="548"/>
        <w:gridCol w:w="117"/>
        <w:gridCol w:w="226"/>
        <w:gridCol w:w="548"/>
        <w:gridCol w:w="117"/>
        <w:gridCol w:w="308"/>
        <w:gridCol w:w="308"/>
        <w:gridCol w:w="377"/>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 March 31,</w:t>
            </w:r>
          </w:p>
        </w:tc>
      </w:tr>
      <w:tr>
        <w:trPr/>
        <w:tc>
          <w:tcPr>
            <w:tcW w:w="331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89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2024</w:t>
            </w:r>
          </w:p>
        </w:tc>
        <w:tc>
          <w:tcPr>
            <w:tcW w:w="89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99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331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provided by operating activities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4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64.6 </w:t>
            </w:r>
          </w:p>
        </w:tc>
        <w:tc>
          <w:tcPr>
            <w:tcW w:w="11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4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21.8 </w:t>
            </w:r>
          </w:p>
        </w:tc>
        <w:tc>
          <w:tcPr>
            <w:tcW w:w="11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196.3 </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used in investing activities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(5.4)</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31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used in financing activities</w:t>
            </w:r>
          </w:p>
        </w:tc>
        <w:tc>
          <w:tcPr>
            <w:tcW w:w="774"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(394.6)</w:t>
            </w:r>
          </w:p>
        </w:tc>
        <w:tc>
          <w:tcPr>
            <w:tcW w:w="11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(353.2)</w:t>
            </w:r>
          </w:p>
        </w:tc>
        <w:tc>
          <w:tcPr>
            <w:tcW w:w="11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11.7 </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principal sources of liquidity are our operating cash flow, funds available under the 2024 Credit Facility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a well-known seasoned issuer, we filed an automatic shelf registration statement for an undetermined amount of debt and equity securities with the SEC on January 14, 2022. Under this universal shelf registration statement we may offer and sell, from time to time, debt securities, common stock, preferred stock, depositary shares, warrants, stock purchase contracts and stock purchase units. Subject to certain conditions, this registration statement will be effective through January 13, 2025.</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At March 31, 2024, our total cash and cash equivalents balance included approximately $14.3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91540"/>
                <wp:effectExtent l="0" t="0" r="0" b="0"/>
                <wp:wrapNone/>
                <wp:docPr id="131" name="Frame3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6" descr=""/>
                                                <pic:cNvPicPr>
                                                  <a:picLocks noChangeAspect="1" noChangeArrowheads="1"/>
                                                </pic:cNvPicPr>
                                              </pic:nvPicPr>
                                              <pic:blipFill>
                                                <a:blip r:embed="rId94"/>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6" descr=""/>
                                          <pic:cNvPicPr>
                                            <a:picLocks noChangeAspect="1" noChangeArrowheads="1"/>
                                          </pic:cNvPicPr>
                                        </pic:nvPicPr>
                                        <pic:blipFill>
                                          <a:blip r:embed="rId95"/>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Operating Cash Flow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Working capital changes are composed of changes in accounts receivable, prepaid expenses and other assets, trade accounts payable, accrued expenses and other liabilities, and deferred revenue.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Net cash provided by operating activities increased by $42.8 million during the three months ended March 31, 2024, when compared to the same period in 2023, primarily due to a $5.3 million increase in net income adjusted for non-cash expenses and a $37.5 million increase in cash flow from operations associated with working capital.</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increase in cash flow from operations associated with working capital during the three months ended March 31, 2024, when compared to the same period in 2023, was primarily due to:</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 xml:space="preserve">fluctuations in the timing of vendor payments; and </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an increase in taxes payable.</w:t>
      </w:r>
    </w:p>
    <w:p>
      <w:pPr>
        <w:pStyle w:val="TextBody"/>
        <w:bidi w:val="0"/>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Security Incident update</w:t>
      </w:r>
    </w:p>
    <w:p>
      <w:pPr>
        <w:pStyle w:val="TextBody"/>
        <w:bidi w:val="0"/>
        <w:spacing w:lineRule="auto" w:line="288" w:before="180" w:after="283"/>
        <w:jc w:val="both"/>
        <w:rPr/>
      </w:pPr>
      <w:r>
        <w:rPr>
          <w:rFonts w:ascii="Calibri;sans-serif" w:hAnsi="Calibri;sans-serif"/>
          <w:b w:val="false"/>
          <w:color w:val="51555C"/>
          <w:sz w:val="20"/>
        </w:rPr>
        <w:t>As discussed in Note 9 to our unaudited, condensed consolidated financial statements in this report, t</w:t>
      </w:r>
      <w:r>
        <w:rPr>
          <w:rFonts w:ascii="Calibri;sans-serif" w:hAnsi="Calibri;sans-serif"/>
          <w:b w:val="false"/>
          <w:color w:val="51555C"/>
          <w:sz w:val="20"/>
          <w:shd w:fill="FFFFFF" w:val="clear"/>
        </w:rPr>
        <w:t>otal costs related to the Security Incident exceeded the limit of our insurance coverage in the first quarter of 2022</w:t>
      </w:r>
      <w:r>
        <w:rPr>
          <w:rFonts w:ascii="Calibri;sans-serif" w:hAnsi="Calibri;sans-serif"/>
          <w:b w:val="false"/>
          <w:color w:val="51555C"/>
          <w:sz w:val="20"/>
        </w:rPr>
        <w:t>. Accordingly, the Security Incident has negatively impacted, and we expect it to continue for the foreseeable future to negatively impact, our GAAP profitab</w:t>
      </w:r>
      <w:r>
        <w:rPr>
          <w:rFonts w:ascii="Calibri;sans-serif" w:hAnsi="Calibri;sans-serif"/>
          <w:b w:val="false"/>
          <w:color w:val="51555C"/>
          <w:sz w:val="20"/>
          <w:shd w:fill="FFFFFF" w:val="clear"/>
        </w:rPr>
        <w:t xml:space="preserve">ility and GAAP cash flow (see discussion regarding non-GAAP free cash flow and non-GAAP adjusted free cash flow on page </w:t>
      </w:r>
      <w:hyperlink w:anchor="id7cc69752cd840048be6c85b640c391a_163">
        <w:r>
          <w:rPr>
            <w:rStyle w:val="InternetLink"/>
            <w:rFonts w:ascii="Calibri;sans-serif" w:hAnsi="Calibri;sans-serif"/>
            <w:b w:val="false"/>
            <w:strike w:val="false"/>
            <w:dstrike w:val="false"/>
            <w:color w:val="51555C"/>
            <w:sz w:val="20"/>
            <w:u w:val="none"/>
            <w:effect w:val="none"/>
          </w:rPr>
          <w:t>37</w:t>
        </w:r>
      </w:hyperlink>
      <w:r>
        <w:rPr>
          <w:rFonts w:ascii="Calibri;sans-serif" w:hAnsi="Calibri;sans-serif"/>
          <w:b w:val="false"/>
          <w:color w:val="51555C"/>
          <w:sz w:val="20"/>
        </w:rPr>
        <w:t xml:space="preserve">). For full year 2024, we currently expect pre-tax expenses of approximately $5 million to $10 million and cash outlays of approximately $8 million to $13 million for ongoing legal fees related to the Security Incident. In line with our policy, legal fees are expensed as incurred. Not included in these ranges are our previous settlements or current accruals for loss contingencies related to the matters discussed below.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2024, we have recorded approximately $8.5 million in aggregate liabilities for loss contingencies based primarily on recent negotiations with certain customers and governmental agencies related to the Security Incident that we believed we could reasonably estimate in accordance with our loss contingency procedures described above and as more fully described in Note 9. It is reasonably possible that our estimated actual losses may change in the near term for those matters and be materially in excess of the amounts accrued, but we are unable at this time to reasonably estimate the possible additional loss.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other Security Incident-related matters, including customer claims, customer constituent class actions and governmental investigations, for which we have not recorded a liability for a loss contingency as of March 31, 2024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Investing Cash Flow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Net cash used in investing activities of $14.5 million decreased by $0.8 million during the three months ended March 31, 2024, when compared to the same period in 2023.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2024, we used $13.1 million for software and content development costs, which was down $0.9 million from cash spent during the same period in 2023. We also spent $0.3 million of cash for purchases of property and equipment during the three months ended March 31, 2024, which was a decrease of $1.1 million when compared to the same period in 2023. In addition, we used net cash of $1.2 million in the disposition of a business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91540"/>
                <wp:effectExtent l="0" t="0" r="0" b="0"/>
                <wp:wrapNone/>
                <wp:docPr id="134" name="Frame4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7" descr=""/>
                                                <pic:cNvPicPr>
                                                  <a:picLocks noChangeAspect="1" noChangeArrowheads="1"/>
                                                </pic:cNvPicPr>
                                              </pic:nvPicPr>
                                              <pic:blipFill>
                                                <a:blip r:embed="rId9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7" descr=""/>
                                          <pic:cNvPicPr>
                                            <a:picLocks noChangeAspect="1" noChangeArrowheads="1"/>
                                          </pic:cNvPicPr>
                                        </pic:nvPicPr>
                                        <pic:blipFill>
                                          <a:blip r:embed="rId9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Financing Cash Flow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2024, we had a net increase in borrowings of $260.5 million, primarily due to our ASR Transaction (as defined below) in March 2024.</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paid $52.7 million to satisfy tax obligations of employees upon settlement of equity awards during the three months ended March 31, 2024 compared to $31.4 million during the same period in 2023.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2024, cash flow from financing activities associated with changes in restricted cash due to customers decreased $336.6 million, compared to a decrease of $337.2 million during the same period in 2023. This line in the statement of cash flows represents the change in the amount of restricted cash held and payable by us to customers from one period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Stock repurchase program</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On January 17, 2024, our Board of Directors reauthorized, expanded and replenished our stock repurchase program by raising the total capacity under the program from $250.0 million to $500.0 million available for repurchases.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March 2024, we announced that we intend to repurchase between 7% and 10% of our outstanding common stock as of December 31, 2023 under our existing $500 million stock repurchase program. Consistent with that commitment, in March 2024, we entered into an issuer forward repurchase transaction with a large financial institution to repurchase an aggregate $200 million of shares of our common stock (the "ASR Transaction"). Pursuant to the terms of the ASR Transaction, we provided the financial institution with a prepayment of $200 million and received an initial delivery of 2.1 million shares of our common stock, representing approximately 70% of the total shares then-expected to be repurchased under the ASR Transaction. The final number of shares of common stock delivered to us under the ASR Transaction will be based on the average of the daily volume-weighted average prices of the common stock during the term of the ASR Transaction, less a discount and subject to customary adjustments upon events affecting the common stock (e.g., dilutive or concentrative events, mergers and acquisitions, and market disruptions). The final settlement of the ASR Transaction is scheduled to occur by the fourth quarter of 2024, unless settled earlier at the election of the financial institution.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difference of $52.2 million between the prepayment of $200 million and the value of the shares repurchased on the ASR Transaction date represents an unsettled prepaid forward contract indexed to our common stock and met all of the applicable criteria for equity classification; therefore, it was not accounted for as a derivative instrument as of March 31, 2024. Because of our ability to settle in shares, the $52.2 million prepaid forward contract was classified as a reduction to additional paid-in capital within our unaudited, condensed consolidated statement of stockholders' equity in this report. We funded the ASR Transaction prepayment with borrowings pursuant to a revolving credit loan under the 2020 Credit Facility.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2024, we repurchased 2,954,211 shares for $262.6 million. The remaining amount available to purchase stock under the stock repurchase program was $259.7 million as of March 31, 2024. After 2024, we plan to repurchase shares to at least offset the dilution from our annual stock-based compensation and possibly beyond that amount as market conditions and our strategic plans permit.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2020 Credit Facility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Historically, we have drawn on our credit facility from time to time to help us meet financial needs, primarily due to the seasonality of our cash flows from operations and financing for business acquisitions. At March 31, 2024, our available borrowing capacity under the 2020 Credit Facility was $119.6 million. The 2020 Credit Facility matures in October 2025.</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At March 31, 2024, the carrying amount of our debt under the 2020 Credit Facility was $981.7 million. Our average daily borrowings during the three months ended March 31, 2024 were $806.1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91540"/>
                <wp:effectExtent l="0" t="0" r="0" b="0"/>
                <wp:wrapNone/>
                <wp:docPr id="137" name="Frame4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8" descr=""/>
                                                <pic:cNvPicPr>
                                                  <a:picLocks noChangeAspect="1" noChangeArrowheads="1"/>
                                                </pic:cNvPicPr>
                                              </pic:nvPicPr>
                                              <pic:blipFill>
                                                <a:blip r:embed="rId98"/>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8" descr=""/>
                                          <pic:cNvPicPr>
                                            <a:picLocks noChangeAspect="1" noChangeArrowheads="1"/>
                                          </pic:cNvPicPr>
                                        </pic:nvPicPr>
                                        <pic:blipFill>
                                          <a:blip r:embed="rId99"/>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is a summary of the financial covenants under the 2020 Credit Facility:</w:t>
      </w:r>
    </w:p>
    <w:tbl>
      <w:tblPr>
        <w:tblW w:w="5113" w:type="dxa"/>
        <w:jc w:val="left"/>
        <w:tblInd w:w="0" w:type="dxa"/>
        <w:tblLayout w:type="fixed"/>
        <w:tblCellMar>
          <w:top w:w="28" w:type="dxa"/>
          <w:left w:w="28" w:type="dxa"/>
          <w:bottom w:w="28" w:type="dxa"/>
          <w:right w:w="28" w:type="dxa"/>
        </w:tblCellMar>
      </w:tblPr>
      <w:tblGrid>
        <w:gridCol w:w="684"/>
        <w:gridCol w:w="602"/>
        <w:gridCol w:w="604"/>
        <w:gridCol w:w="424"/>
        <w:gridCol w:w="424"/>
        <w:gridCol w:w="426"/>
        <w:gridCol w:w="569"/>
        <w:gridCol w:w="569"/>
        <w:gridCol w:w="811"/>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Financial covenant</w:t>
            </w:r>
          </w:p>
        </w:tc>
        <w:tc>
          <w:tcPr>
            <w:tcW w:w="12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Requirement</w:t>
            </w:r>
          </w:p>
        </w:tc>
        <w:tc>
          <w:tcPr>
            <w:tcW w:w="194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center"/>
              <w:rPr>
                <w:rFonts w:ascii="Calibri;sans-serif" w:hAnsi="Calibri;sans-serif"/>
                <w:b/>
                <w:color w:val="FFFFFF"/>
                <w:sz w:val="16"/>
              </w:rPr>
            </w:pPr>
            <w:r>
              <w:rPr>
                <w:rFonts w:ascii="Calibri;sans-serif" w:hAnsi="Calibri;sans-serif"/>
                <w:b/>
                <w:color w:val="FFFFFF"/>
                <w:sz w:val="16"/>
              </w:rPr>
              <w:t>Ratio as of March 31, 2024</w:t>
            </w:r>
          </w:p>
        </w:tc>
      </w:tr>
      <w:tr>
        <w:trPr/>
        <w:tc>
          <w:tcPr>
            <w:tcW w:w="18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Net leverage ratio</w:t>
            </w:r>
            <w:r>
              <w:rPr>
                <w:rFonts w:ascii="Calibri;sans-serif" w:hAnsi="Calibri;sans-serif"/>
                <w:b w:val="false"/>
                <w:color w:val="51555C"/>
                <w:sz w:val="13"/>
              </w:rPr>
              <w:t>(1)</w:t>
            </w:r>
          </w:p>
        </w:tc>
        <w:tc>
          <w:tcPr>
            <w:tcW w:w="12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 xml:space="preserve">≤ </w:t>
            </w:r>
            <w:r>
              <w:rPr>
                <w:rFonts w:ascii="Calibri;sans-serif" w:hAnsi="Calibri;sans-serif"/>
                <w:b w:val="false"/>
                <w:color w:val="51555C"/>
                <w:sz w:val="20"/>
              </w:rPr>
              <w:t>3.75 to 1.00</w:t>
            </w:r>
          </w:p>
        </w:tc>
        <w:tc>
          <w:tcPr>
            <w:tcW w:w="194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2.72 to 1.00</w:t>
            </w:r>
          </w:p>
        </w:tc>
      </w:tr>
      <w:tr>
        <w:trPr/>
        <w:tc>
          <w:tcPr>
            <w:tcW w:w="189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coverage ratio</w:t>
            </w:r>
          </w:p>
        </w:tc>
        <w:tc>
          <w:tcPr>
            <w:tcW w:w="127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1555C"/>
              </w:rPr>
            </w:pPr>
            <w:r>
              <w:rPr>
                <w:color w:val="51555C"/>
              </w:rPr>
              <w:t xml:space="preserve">≥ </w:t>
            </w:r>
            <w:r>
              <w:rPr>
                <w:rFonts w:ascii="Calibri;sans-serif" w:hAnsi="Calibri;sans-serif"/>
                <w:b w:val="false"/>
                <w:color w:val="51555C"/>
                <w:sz w:val="20"/>
              </w:rPr>
              <w:t>2.50 to 1.00</w:t>
            </w:r>
          </w:p>
        </w:tc>
        <w:tc>
          <w:tcPr>
            <w:tcW w:w="194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9.75 to 1.00</w:t>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(1)Under the terms of the 2020 Credit Facility, the Net Leverage Ratio requirement may be increased by up to 0.50 provided we satisfy certain requirements, including a permitted business acquisition, and provided that the maximum Net Leverage Ratio shall not exceed 4.25 to 1.00.</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March 31, 2024, we were in compliance with our debt covenants under the 2020 Credit Facility. See Note 7 to our unaudited, condensed consolidated financial statements in this report for additional information regarding the 2020 Credit Facility.</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Debt refinancing</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April 30, 2024, we refinanced our debt. See Part II, Item 5. “Other Information” for detailed information relating to the terms of the 2024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Commitments and Contingencies</w:t>
      </w:r>
    </w:p>
    <w:tbl>
      <w:tblPr>
        <w:tblW w:w="6198" w:type="dxa"/>
        <w:jc w:val="left"/>
        <w:tblInd w:w="0" w:type="dxa"/>
        <w:tblLayout w:type="fixed"/>
        <w:tblCellMar>
          <w:top w:w="28" w:type="dxa"/>
          <w:left w:w="28" w:type="dxa"/>
          <w:bottom w:w="28" w:type="dxa"/>
          <w:right w:w="28" w:type="dxa"/>
        </w:tblCellMar>
      </w:tblPr>
      <w:tblGrid>
        <w:gridCol w:w="1102"/>
        <w:gridCol w:w="967"/>
        <w:gridCol w:w="976"/>
        <w:gridCol w:w="211"/>
        <w:gridCol w:w="616"/>
        <w:gridCol w:w="109"/>
        <w:gridCol w:w="211"/>
        <w:gridCol w:w="766"/>
        <w:gridCol w:w="109"/>
        <w:gridCol w:w="211"/>
        <w:gridCol w:w="76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Payments due by period</w:t>
            </w:r>
          </w:p>
        </w:tc>
      </w:tr>
      <w:tr>
        <w:trPr/>
        <w:tc>
          <w:tcPr>
            <w:tcW w:w="30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(in millions)</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Less than</w:t>
              <w:br/>
              <w:t>1 year</w:t>
            </w:r>
          </w:p>
        </w:tc>
        <w:tc>
          <w:tcPr>
            <w:tcW w:w="10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More than</w:t>
              <w:br/>
              <w:t>1 year</w:t>
            </w:r>
          </w:p>
        </w:tc>
        <w:tc>
          <w:tcPr>
            <w:tcW w:w="113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Calibri;sans-serif" w:hAnsi="Calibri;sans-serif"/>
                <w:b/>
                <w:color w:val="FFFFFF"/>
                <w:sz w:val="16"/>
              </w:rPr>
              <w:t>Total</w:t>
            </w:r>
            <w:r>
              <w:rPr>
                <w:rFonts w:ascii="Calibri;sans-serif" w:hAnsi="Calibri;sans-serif"/>
                <w:b/>
                <w:color w:val="FFFFFF"/>
                <w:sz w:val="10"/>
              </w:rPr>
              <w:t>(1)</w:t>
            </w:r>
          </w:p>
        </w:tc>
      </w:tr>
      <w:tr>
        <w:trPr/>
        <w:tc>
          <w:tcPr>
            <w:tcW w:w="304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Recorded contractual obligations:</w:t>
            </w:r>
          </w:p>
        </w:tc>
        <w:tc>
          <w:tcPr>
            <w:tcW w:w="93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Operating leases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53.4 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Unrecorded contractual obligations:</w:t>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Purchase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payments on debt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122.0 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pPr>
            <w:r>
              <w:rPr>
                <w:rFonts w:ascii="Calibri;sans-serif" w:hAnsi="Calibri;sans-serif"/>
                <w:b/>
                <w:color w:val="51555C"/>
                <w:sz w:val="20"/>
              </w:rPr>
              <w:t>Total contractual obligations</w:t>
            </w:r>
            <w:r>
              <w:rPr>
                <w:rFonts w:ascii="Calibri;sans-serif" w:hAnsi="Calibri;sans-serif"/>
                <w:b/>
                <w:color w:val="51555C"/>
                <w:sz w:val="13"/>
              </w:rPr>
              <w:t>(1)</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173.8 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1,284.0 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1,457.8 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may not sum to the total due to rounding.</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Debt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2024, we had total remaining principal payments of $1.0 billion. These payments represent principal payments only, under the following assumptions: (i) that the amounts outstanding under the 2020 Credit Facility, our real estate loans and our other debt at March 31, 2024 will remain outstanding until maturity, with minimum payments occurring as currently scheduled, and (ii) that there are no assumed future borrowings on the revolving credit loans under the 2020 Credit Facility for the purposes of determining minimum commitment amounts. See Note 7 to our unaudited, condensed consolidated financial statements in this report for more information.</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Interest payments on debt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to principal payments, as of March 31, 2024, we expect to pay interest expense over the life of our debt obligations of approximately $122.0 million. These payments represent our estimated future interest payments on debt using our debt balances and the related weighted average effective interest rates as of March 31, 2024, which includes the effect of interest rate swap agreements. The actual interest expense recognized in our unaudited, condensed consolidated statements of comprehensive income will depend on the amount of debt, the length of time the debt is outstanding and the interest rate, which could be different from our assumptions on our remaining principal payments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91540"/>
                <wp:effectExtent l="0" t="0" r="0" b="0"/>
                <wp:wrapNone/>
                <wp:docPr id="140" name="Frame4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9" descr=""/>
                                                <pic:cNvPicPr>
                                                  <a:picLocks noChangeAspect="1" noChangeArrowheads="1"/>
                                                </pic:cNvPicPr>
                                              </pic:nvPicPr>
                                              <pic:blipFill>
                                                <a:blip r:embed="rId10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9" descr=""/>
                                          <pic:cNvPicPr>
                                            <a:picLocks noChangeAspect="1" noChangeArrowheads="1"/>
                                          </pic:cNvPicPr>
                                        </pic:nvPicPr>
                                        <pic:blipFill>
                                          <a:blip r:embed="rId10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Operating leases</w:t>
      </w:r>
    </w:p>
    <w:p>
      <w:pPr>
        <w:pStyle w:val="TextBody"/>
        <w:bidi w:val="0"/>
        <w:spacing w:lineRule="auto" w:line="288" w:before="180" w:after="283"/>
        <w:jc w:val="both"/>
        <w:rPr/>
      </w:pPr>
      <w:r>
        <w:rPr>
          <w:rFonts w:ascii="Calibri;sans-serif" w:hAnsi="Calibri;sans-serif"/>
          <w:b w:val="false"/>
          <w:color w:val="51555C"/>
          <w:sz w:val="20"/>
        </w:rPr>
        <w:t>As of March 31, 2024, we had remaining operating lease payments of $53.4 million. These payments have not been reduced by sublease income, incentive payments, reimbursement of leasehold improvements or the amount representing imputed interest of $8.2 million. Our operating leases are generally for corporate offices, subleased offices and certain equipment and furnit</w:t>
      </w:r>
      <w:r>
        <w:rPr>
          <w:rFonts w:ascii="Calibri;sans-serif" w:hAnsi="Calibri;sans-serif"/>
          <w:b w:val="false"/>
          <w:color w:val="51555C"/>
          <w:sz w:val="20"/>
          <w:shd w:fill="FFFFFF" w:val="clear"/>
        </w:rPr>
        <w:t>ure. Given our remote-first workforce strategy and real estate footprint optimization efforts, as discussed above, we do not anticipate entering any new, material operating leases for offices for the foreseeable future. See Note 9 to our unaud</w:t>
      </w:r>
      <w:r>
        <w:rPr>
          <w:rFonts w:ascii="Calibri;sans-serif" w:hAnsi="Calibri;sans-serif"/>
          <w:b w:val="false"/>
          <w:color w:val="51555C"/>
          <w:sz w:val="20"/>
        </w:rPr>
        <w:t>ited, condensed consolidated financial statements in this report for more information.</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Purchase obligations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March 31, 2024, we had remaining purchase obligations of $239.8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unaudited, condensed consolidated balance sheets as of March 31, 2024, as we had not received the related services. See Note 9 to our unaudited, condensed consolidated financial statements in this report for more information.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total liability for uncertain tax positions as of March 31, 2024 was $3.5 million. Our accrued interest and penalties related to tax positions taken on our tax returns was insignificant as of March 31, 2024.</w:t>
      </w:r>
    </w:p>
    <w:p>
      <w:pPr>
        <w:pStyle w:val="TextBody"/>
        <w:bidi w:val="0"/>
        <w:spacing w:lineRule="auto" w:line="288" w:before="180" w:after="283"/>
        <w:jc w:val="both"/>
        <w:rPr/>
      </w:pPr>
      <w:r>
        <w:rPr>
          <w:rFonts w:ascii="Calibri;sans-serif" w:hAnsi="Calibri;sans-serif"/>
          <w:b w:val="false"/>
          <w:color w:val="51555C"/>
          <w:sz w:val="20"/>
        </w:rPr>
        <w:t xml:space="preserve">In connection with the settlement of the multi-state Attorneys General investigation relating to the Security Incident, as discussed </w:t>
      </w:r>
      <w:r>
        <w:rPr>
          <w:rFonts w:ascii="Calibri;sans-serif" w:hAnsi="Calibri;sans-serif"/>
          <w:b w:val="false"/>
          <w:color w:val="51555C"/>
          <w:sz w:val="20"/>
          <w:shd w:fill="FFFFFF" w:val="clear"/>
        </w:rPr>
        <w:t xml:space="preserve">in </w:t>
      </w:r>
      <w:r>
        <w:rPr>
          <w:rFonts w:ascii="Calibri;sans-serif" w:hAnsi="Calibri;sans-serif"/>
          <w:b w:val="false"/>
          <w:color w:val="51555C"/>
          <w:sz w:val="20"/>
        </w:rPr>
        <w:t>Note 11 to our audited consolidated financial statements contained in our Annual Report on Form 10-K filed with the SEC on February 21, 2024, we have agreed to implement and improve certain of our cybersecurity programs and tools through October 2030. The currently anticipated costs in connection with these efforts are expected to be expensed as incurred.</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Contingent consideration</w:t>
      </w:r>
    </w:p>
    <w:p>
      <w:pPr>
        <w:pStyle w:val="TextBody"/>
        <w:bidi w:val="0"/>
        <w:spacing w:lineRule="auto" w:line="288" w:before="180" w:after="283"/>
        <w:jc w:val="both"/>
        <w:rPr/>
      </w:pPr>
      <w:r>
        <w:rPr>
          <w:rFonts w:ascii="Calibri;sans-serif" w:hAnsi="Calibri;sans-serif"/>
          <w:b w:val="false"/>
          <w:color w:val="51555C"/>
          <w:sz w:val="20"/>
        </w:rPr>
        <w:t xml:space="preserve">In connection with our acquisition of Kilter in August 2022, we may be required to pay up to a maximum of </w:t>
      </w:r>
      <w:r>
        <w:rPr>
          <w:rFonts w:ascii="Calibri;sans-serif" w:hAnsi="Calibri;sans-serif"/>
          <w:b w:val="false"/>
          <w:color w:val="51555C"/>
          <w:sz w:val="20"/>
          <w:shd w:fill="FFFFFF" w:val="clear"/>
        </w:rPr>
        <w:t>$3.0 million</w:t>
      </w:r>
      <w:r>
        <w:rPr>
          <w:color w:val="51555C"/>
        </w:rPr>
        <w:t xml:space="preserve"> </w:t>
      </w:r>
      <w:r>
        <w:rPr>
          <w:rFonts w:ascii="Calibri;sans-serif" w:hAnsi="Calibri;sans-serif"/>
          <w:b w:val="false"/>
          <w:color w:val="51555C"/>
          <w:sz w:val="20"/>
        </w:rPr>
        <w:t xml:space="preserve">in additional cash consideration if, during the two-year period commencing January 1, 2023, Kilter meets certain application participation targets. As of March 31, 2024, a liability for the contingent consideration is recorded at its current estimated fair value of </w:t>
      </w:r>
      <w:r>
        <w:rPr>
          <w:rFonts w:ascii="Calibri;sans-serif" w:hAnsi="Calibri;sans-serif"/>
          <w:b w:val="false"/>
          <w:color w:val="51555C"/>
          <w:sz w:val="20"/>
          <w:shd w:fill="FFFFFF" w:val="clear"/>
        </w:rPr>
        <w:t>$1.4 million</w:t>
      </w:r>
      <w:r>
        <w:rPr>
          <w:color w:val="51555C"/>
        </w:rPr>
        <w:t xml:space="preserve"> </w:t>
      </w:r>
      <w:r>
        <w:rPr>
          <w:rFonts w:ascii="Calibri;sans-serif" w:hAnsi="Calibri;sans-serif"/>
          <w:b w:val="false"/>
          <w:color w:val="51555C"/>
          <w:sz w:val="20"/>
        </w:rPr>
        <w:t>in accrued expenses and other current liabilities on our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39" w:type="dxa"/>
        <w:jc w:val="left"/>
        <w:tblInd w:w="0" w:type="dxa"/>
        <w:tblLayout w:type="fixed"/>
        <w:tblCellMar>
          <w:top w:w="28" w:type="dxa"/>
          <w:left w:w="28" w:type="dxa"/>
          <w:bottom w:w="28" w:type="dxa"/>
          <w:right w:w="28" w:type="dxa"/>
        </w:tblCellMar>
      </w:tblPr>
      <w:tblGrid>
        <w:gridCol w:w="1132"/>
        <w:gridCol w:w="996"/>
        <w:gridCol w:w="1411"/>
      </w:tblGrid>
      <w:tr>
        <w:trPr/>
        <w:tc>
          <w:tcPr>
            <w:tcW w:w="11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Foreign Currency Exchange Rates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Approximately 15% of our total revenue for the three months ended March 31, 2024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income (loss) as a component of stockholders’ equity, was a loss of $11.0 million as of March 31, 2024 and a loss of $9.8 million as of December 31, 2023. We have entered into foreign currency forward contracts to hedge a portion of the foreign currency exposure that arises on translation of our investments denominated in British Pounds into U.S. dollars.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three months ended March 31, 2024,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three months ended March 31, 2024, the fluctuation in foreign currency exchange rates increased our total revenue and our income from operations by $0.9 million and $0.3 million, respectively. We have entered into foreign currency forward contracts to hedge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91540"/>
                <wp:effectExtent l="0" t="0" r="0" b="0"/>
                <wp:wrapNone/>
                <wp:docPr id="143" name="Frame4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0" descr=""/>
                                                <pic:cNvPicPr>
                                                  <a:picLocks noChangeAspect="1" noChangeArrowheads="1"/>
                                                </pic:cNvPicPr>
                                              </pic:nvPicPr>
                                              <pic:blipFill>
                                                <a:blip r:embed="rId102"/>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0" descr=""/>
                                          <pic:cNvPicPr>
                                            <a:picLocks noChangeAspect="1" noChangeArrowheads="1"/>
                                          </pic:cNvPicPr>
                                        </pic:nvPicPr>
                                        <pic:blipFill>
                                          <a:blip r:embed="rId103"/>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65" w:type="dxa"/>
        <w:jc w:val="left"/>
        <w:tblInd w:w="0" w:type="dxa"/>
        <w:tblLayout w:type="fixed"/>
        <w:tblCellMar>
          <w:top w:w="28" w:type="dxa"/>
          <w:left w:w="28" w:type="dxa"/>
          <w:bottom w:w="28" w:type="dxa"/>
          <w:right w:w="28" w:type="dxa"/>
        </w:tblCellMar>
      </w:tblPr>
      <w:tblGrid>
        <w:gridCol w:w="1398"/>
        <w:gridCol w:w="1229"/>
        <w:gridCol w:w="1738"/>
      </w:tblGrid>
      <w:tr>
        <w:trPr/>
        <w:tc>
          <w:tcPr>
            <w:tcW w:w="139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Critical Accounting Policies and Estimates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have been no significant changes in our critical accounting policies and estimates during the three months ended March 31, 2024 as compared to those disclosed in “Management’s Discussion and Analysis of Financial Condition and Results of Operations” included in our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69" w:type="dxa"/>
        <w:jc w:val="left"/>
        <w:tblInd w:w="0" w:type="dxa"/>
        <w:tblLayout w:type="fixed"/>
        <w:tblCellMar>
          <w:top w:w="28" w:type="dxa"/>
          <w:left w:w="28" w:type="dxa"/>
          <w:bottom w:w="28" w:type="dxa"/>
          <w:right w:w="28" w:type="dxa"/>
        </w:tblCellMar>
      </w:tblPr>
      <w:tblGrid>
        <w:gridCol w:w="1527"/>
        <w:gridCol w:w="1343"/>
        <w:gridCol w:w="1899"/>
      </w:tblGrid>
      <w:tr>
        <w:trPr/>
        <w:tc>
          <w:tcPr>
            <w:tcW w:w="152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Recently Issued Accounting Pronouncements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3. QUANTITATIVE AND QUALITATIVE DISCLOSURES ABOUT MARKET RISK</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market rate sensitivity for interest rates and foreign currency exchange rates.</w:t>
      </w:r>
    </w:p>
    <w:tbl>
      <w:tblPr>
        <w:tblW w:w="1950" w:type="dxa"/>
        <w:jc w:val="left"/>
        <w:tblInd w:w="0" w:type="dxa"/>
        <w:tblLayout w:type="fixed"/>
        <w:tblCellMar>
          <w:top w:w="28" w:type="dxa"/>
          <w:left w:w="28" w:type="dxa"/>
          <w:bottom w:w="28" w:type="dxa"/>
          <w:right w:w="28" w:type="dxa"/>
        </w:tblCellMar>
      </w:tblPr>
      <w:tblGrid>
        <w:gridCol w:w="623"/>
        <w:gridCol w:w="548"/>
        <w:gridCol w:w="77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Interest Rate Risk</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SOFR rates. Due to the nature of our debt, the materiality of the fair values of the derivative instruments and the highly liquid, short-term nature and level of our cash and cash equivalents as of March 31, 2024, we believe that the risk of exposure to changing interest rates for those positions is immaterial. There were no significant changes in how we manage interest rate risk between December 31, 2023 and March 31, 2024.</w:t>
      </w:r>
    </w:p>
    <w:tbl>
      <w:tblPr>
        <w:tblW w:w="2369" w:type="dxa"/>
        <w:jc w:val="left"/>
        <w:tblInd w:w="0" w:type="dxa"/>
        <w:tblLayout w:type="fixed"/>
        <w:tblCellMar>
          <w:top w:w="28" w:type="dxa"/>
          <w:left w:w="28" w:type="dxa"/>
          <w:bottom w:w="28" w:type="dxa"/>
          <w:right w:w="28" w:type="dxa"/>
        </w:tblCellMar>
      </w:tblPr>
      <w:tblGrid>
        <w:gridCol w:w="758"/>
        <w:gridCol w:w="666"/>
        <w:gridCol w:w="945"/>
      </w:tblGrid>
      <w:tr>
        <w:trPr/>
        <w:tc>
          <w:tcPr>
            <w:tcW w:w="7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Foreign Currency Risk</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our exposure to foreign currency exchange rate fluctuations, see “Management’s Discussion and Analysis of Financial Condition and Results of Operations — Foreign Currency Exchange Rates”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4. CONTROLS AND PROCEDURES</w:t>
      </w:r>
    </w:p>
    <w:tbl>
      <w:tblPr>
        <w:tblW w:w="5189" w:type="dxa"/>
        <w:jc w:val="left"/>
        <w:tblInd w:w="0" w:type="dxa"/>
        <w:tblLayout w:type="fixed"/>
        <w:tblCellMar>
          <w:top w:w="28" w:type="dxa"/>
          <w:left w:w="28" w:type="dxa"/>
          <w:bottom w:w="28" w:type="dxa"/>
          <w:right w:w="28" w:type="dxa"/>
        </w:tblCellMar>
      </w:tblPr>
      <w:tblGrid>
        <w:gridCol w:w="1662"/>
        <w:gridCol w:w="1461"/>
        <w:gridCol w:w="2066"/>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Evaluation of Disclosure Controls and Procedures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91540"/>
                <wp:effectExtent l="0" t="0" r="0" b="0"/>
                <wp:wrapNone/>
                <wp:docPr id="146" name="Frame4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1" descr=""/>
                                                <pic:cNvPicPr>
                                                  <a:picLocks noChangeAspect="1" noChangeArrowheads="1"/>
                                                </pic:cNvPicPr>
                                              </pic:nvPicPr>
                                              <pic:blipFill>
                                                <a:blip r:embed="rId10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1" descr=""/>
                                          <pic:cNvPicPr>
                                            <a:picLocks noChangeAspect="1" noChangeArrowheads="1"/>
                                          </pic:cNvPicPr>
                                        </pic:nvPicPr>
                                        <pic:blipFill>
                                          <a:blip r:embed="rId105"/>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5534" w:type="dxa"/>
        <w:jc w:val="left"/>
        <w:tblInd w:w="0" w:type="dxa"/>
        <w:tblLayout w:type="fixed"/>
        <w:tblCellMar>
          <w:top w:w="28" w:type="dxa"/>
          <w:left w:w="28" w:type="dxa"/>
          <w:bottom w:w="28" w:type="dxa"/>
          <w:right w:w="28" w:type="dxa"/>
        </w:tblCellMar>
      </w:tblPr>
      <w:tblGrid>
        <w:gridCol w:w="1772"/>
        <w:gridCol w:w="1555"/>
        <w:gridCol w:w="2207"/>
      </w:tblGrid>
      <w:tr>
        <w:trPr/>
        <w:tc>
          <w:tcPr>
            <w:tcW w:w="177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Changes in Internal Control Over Financial Reporting</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No changes in internal control over financial reporting occurred during the most recent fiscal quarter ended March 31, 2024 with respect to our operations, which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91540"/>
                <wp:effectExtent l="0" t="0" r="0" b="0"/>
                <wp:wrapNone/>
                <wp:docPr id="149" name="Frame4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2" descr=""/>
                                                <pic:cNvPicPr>
                                                  <a:picLocks noChangeAspect="1" noChangeArrowheads="1"/>
                                                </pic:cNvPicPr>
                                              </pic:nvPicPr>
                                              <pic:blipFill>
                                                <a:blip r:embed="rId106"/>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62" descr=""/>
                                          <pic:cNvPicPr>
                                            <a:picLocks noChangeAspect="1" noChangeArrowheads="1"/>
                                          </pic:cNvPicPr>
                                        </pic:nvPicPr>
                                        <pic:blipFill>
                                          <a:blip r:embed="rId107"/>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tbl>
      <w:tblPr>
        <w:tblW w:w="6562"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1669"/>
        <w:gridCol w:w="1669"/>
        <w:gridCol w:w="2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5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3" descr=""/>
                          <pic:cNvPicPr>
                            <a:picLocks noChangeAspect="1" noChangeArrowheads="1"/>
                          </pic:cNvPicPr>
                        </pic:nvPicPr>
                        <pic:blipFill>
                          <a:blip r:embed="rId108"/>
                          <a:stretch>
                            <a:fillRect/>
                          </a:stretch>
                        </pic:blipFill>
                        <pic:spPr bwMode="auto">
                          <a:xfrm>
                            <a:off x="0" y="0"/>
                            <a:ext cx="276225" cy="276225"/>
                          </a:xfrm>
                          <a:prstGeom prst="rect">
                            <a:avLst/>
                          </a:prstGeom>
                        </pic:spPr>
                      </pic:pic>
                    </a:graphicData>
                  </a:graphic>
                </wp:inline>
              </w:drawing>
            </w:r>
          </w:p>
        </w:tc>
        <w:tc>
          <w:tcPr>
            <w:tcW w:w="5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0535A"/>
                <w:sz w:val="44"/>
              </w:rPr>
            </w:pPr>
            <w:r>
              <w:rPr>
                <w:rFonts w:ascii="Calibri;sans-serif" w:hAnsi="Calibri;sans-serif"/>
                <w:b/>
                <w:color w:val="50535A"/>
                <w:sz w:val="44"/>
              </w:rPr>
              <w:t>PART II.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1. LEGAL PROCEEDINGS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our legal proceedings, see Note 9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1A. RISK FACTORS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supplementing Item 1A. Risk Factors in our Annual Report on Form 10-K for the year ended December 31, 2023, as filed with the Securities and Exchange Commission on February 21, 2024 (the “Annual Report”). The following risk factors should be read in conjunction with the risk factors set forth in that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20" w:type="dxa"/>
        <w:jc w:val="left"/>
        <w:tblInd w:w="0" w:type="dxa"/>
        <w:tblLayout w:type="fixed"/>
        <w:tblCellMar>
          <w:top w:w="28" w:type="dxa"/>
          <w:left w:w="28" w:type="dxa"/>
          <w:bottom w:w="28" w:type="dxa"/>
          <w:right w:w="28" w:type="dxa"/>
        </w:tblCellMar>
      </w:tblPr>
      <w:tblGrid>
        <w:gridCol w:w="518"/>
        <w:gridCol w:w="456"/>
        <w:gridCol w:w="646"/>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Financial Risks</w:t>
            </w:r>
          </w:p>
        </w:tc>
      </w:tr>
    </w:tbl>
    <w:p>
      <w:pPr>
        <w:pStyle w:val="TextBody"/>
        <w:bidi w:val="0"/>
        <w:spacing w:lineRule="auto" w:line="288" w:before="180" w:after="283"/>
        <w:jc w:val="both"/>
        <w:rPr>
          <w:rFonts w:ascii="Calibri;sans-serif" w:hAnsi="Calibri;sans-serif"/>
          <w:b/>
          <w:i/>
          <w:color w:val="51555C"/>
          <w:sz w:val="20"/>
        </w:rPr>
      </w:pPr>
      <w:r>
        <w:rPr>
          <w:rFonts w:ascii="Calibri;sans-serif" w:hAnsi="Calibri;sans-serif"/>
          <w:b/>
          <w:i/>
          <w:color w:val="51555C"/>
          <w:sz w:val="20"/>
        </w:rPr>
        <w:t>We significantly increased our leverage in connection with acquisition of EVERFI and may increase our leverage in the future in connection with additional acquisitions, Security Incident costs or other business purposes, which could adversely impact our business and financial performance.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incurred a substantial amount of indebtedness in connection with acquisitions, including our acquisition of EVERFI, Inc. (as described in Note 3 in our most recently filed Annual Report on Form 10-K). As a result of this indebtedness and other borrowings, including our borrowings in March 2024 to fund the ASR Transaction, our interest payment obligations have increased. In addition, we have been named as a party in various lawsuits in connection with the Security Incident, claims have been asserted by or on behalf of our customers or their constituents, and we are subject to various governmental inquires, requests or investigations. Responding to and resolving these current and any future lawsuits, claims and/or investigations could result in material remedial and other expenses. Although we intend to defend ourselves vigorously against the claims asserted against us, we cannot predict the potential outcomes, cost and expenses associated with current and any future claims, lawsuits, inquiries and investigations, which could require that we incur additional indebtedness to fund. (See Note 9 to our unaudited, condensed consolidated financial statements in this report for additional information regarding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degree to which we are leveraged could have adverse effects on our business, including the following:</w:t>
      </w:r>
    </w:p>
    <w:p>
      <w:pPr>
        <w:pStyle w:val="TextBody"/>
        <w:bidi w:val="0"/>
        <w:spacing w:lineRule="auto" w:line="288" w:before="60" w:after="283"/>
        <w:ind w:left="0" w:right="0" w:hanging="360"/>
        <w:jc w:val="both"/>
        <w:rPr/>
      </w:pPr>
      <w:r>
        <w:rPr>
          <w:color w:val="51555C"/>
        </w:rPr>
        <w:t>•</w:t>
      </w:r>
      <w:r>
        <w:rPr>
          <w:rFonts w:ascii="Calibri;sans-serif" w:hAnsi="Calibri;sans-serif"/>
          <w:b w:val="false"/>
          <w:color w:val="51555C"/>
          <w:sz w:val="20"/>
        </w:rPr>
        <w:t>Requiring us to dedicate a substantial portion of our cash flow from operations to payments on our indebtedness, thereby reducing the availability of our cash flow to fund working capital, capital expenditures, acquisitions, dividends, stock repurchases and other general corporate purposes;</w:t>
      </w:r>
    </w:p>
    <w:p>
      <w:pPr>
        <w:pStyle w:val="TextBody"/>
        <w:bidi w:val="0"/>
        <w:spacing w:lineRule="auto" w:line="288" w:before="60" w:after="283"/>
        <w:ind w:left="0" w:right="0" w:hanging="360"/>
        <w:jc w:val="left"/>
        <w:rPr/>
      </w:pPr>
      <w:r>
        <w:rPr>
          <w:color w:val="51555C"/>
        </w:rPr>
        <w:t>•</w:t>
      </w:r>
      <w:r>
        <w:rPr>
          <w:rFonts w:ascii="Calibri;sans-serif" w:hAnsi="Calibri;sans-serif"/>
          <w:b w:val="false"/>
          <w:color w:val="51555C"/>
          <w:sz w:val="20"/>
        </w:rPr>
        <w:t>Increasing the amount of interest we pay, particularly if interest rates increase;</w:t>
      </w:r>
    </w:p>
    <w:p>
      <w:pPr>
        <w:pStyle w:val="TextBody"/>
        <w:bidi w:val="0"/>
        <w:spacing w:lineRule="auto" w:line="288" w:before="60" w:after="283"/>
        <w:ind w:left="0" w:right="0" w:hanging="360"/>
        <w:jc w:val="both"/>
        <w:rPr/>
      </w:pPr>
      <w:r>
        <w:rPr>
          <w:color w:val="51555C"/>
        </w:rPr>
        <w:t>•</w:t>
      </w:r>
      <w:r>
        <w:rPr>
          <w:rFonts w:ascii="Calibri;sans-serif" w:hAnsi="Calibri;sans-serif"/>
          <w:b w:val="false"/>
          <w:color w:val="51555C"/>
          <w:sz w:val="20"/>
        </w:rPr>
        <w:t>Limiting our flexibility in planning for, or reacting to, changes in our business and the industries in which we operate;</w:t>
      </w:r>
    </w:p>
    <w:p>
      <w:pPr>
        <w:pStyle w:val="TextBody"/>
        <w:bidi w:val="0"/>
        <w:spacing w:lineRule="auto" w:line="288" w:before="60" w:after="283"/>
        <w:ind w:left="0" w:right="0" w:hanging="360"/>
        <w:jc w:val="both"/>
        <w:rPr/>
      </w:pPr>
      <w:r>
        <w:rPr>
          <w:color w:val="51555C"/>
        </w:rPr>
        <w:t>•</w:t>
      </w:r>
      <w:r>
        <w:rPr>
          <w:rFonts w:ascii="Calibri;sans-serif" w:hAnsi="Calibri;sans-serif"/>
          <w:b w:val="false"/>
          <w:color w:val="51555C"/>
          <w:sz w:val="20"/>
        </w:rPr>
        <w:t>Restricting us from making additional strategic acquisitions or exploiting business opportunities;</w:t>
      </w:r>
    </w:p>
    <w:p>
      <w:pPr>
        <w:pStyle w:val="TextBody"/>
        <w:bidi w:val="0"/>
        <w:spacing w:lineRule="auto" w:line="288" w:before="60" w:after="283"/>
        <w:ind w:left="0" w:right="0" w:hanging="360"/>
        <w:jc w:val="both"/>
        <w:rPr/>
      </w:pPr>
      <w:r>
        <w:rPr>
          <w:color w:val="51555C"/>
        </w:rPr>
        <w:t>•</w:t>
      </w:r>
      <w:r>
        <w:rPr>
          <w:rFonts w:ascii="Calibri;sans-serif" w:hAnsi="Calibri;sans-serif"/>
          <w:b w:val="false"/>
          <w:color w:val="51555C"/>
          <w:sz w:val="20"/>
        </w:rPr>
        <w:t>Placing us at a competitive disadvantage compared to our competitors that have less debt;</w:t>
      </w:r>
    </w:p>
    <w:p>
      <w:pPr>
        <w:pStyle w:val="TextBody"/>
        <w:bidi w:val="0"/>
        <w:spacing w:lineRule="auto" w:line="288" w:before="60" w:after="283"/>
        <w:ind w:left="0" w:right="0" w:hanging="360"/>
        <w:jc w:val="both"/>
        <w:rPr/>
      </w:pPr>
      <w:r>
        <w:rPr>
          <w:color w:val="51555C"/>
        </w:rPr>
        <w:t>•</w:t>
      </w:r>
      <w:r>
        <w:rPr>
          <w:rFonts w:ascii="Calibri;sans-serif" w:hAnsi="Calibri;sans-serif"/>
          <w:b w:val="false"/>
          <w:color w:val="51555C"/>
          <w:sz w:val="20"/>
        </w:rPr>
        <w:t>Reducing our currently available borrowing capacity or limiting our ability to borrow additional funds; and</w:t>
      </w:r>
    </w:p>
    <w:p>
      <w:pPr>
        <w:pStyle w:val="TextBody"/>
        <w:bidi w:val="0"/>
        <w:spacing w:lineRule="auto" w:line="288" w:before="60" w:after="283"/>
        <w:ind w:left="0" w:right="0" w:hanging="360"/>
        <w:jc w:val="both"/>
        <w:rPr/>
      </w:pPr>
      <w:r>
        <w:rPr>
          <w:color w:val="51555C"/>
        </w:rPr>
        <w:t>•</w:t>
      </w:r>
      <w:r>
        <w:rPr>
          <w:rFonts w:ascii="Calibri;sans-serif" w:hAnsi="Calibri;sans-serif"/>
          <w:b w:val="false"/>
          <w:color w:val="51555C"/>
          <w:sz w:val="20"/>
        </w:rPr>
        <w:t>Decreasing our ability to compete effectively or operate successfully under adverse economic and industry conditions.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If we incur additional debt, these risks may intensify. Our ability to meet our debt service obligations will depend upon our future performance, which will be subject to the financial, business and other factors affecting our operations, many of which are beyond our control.</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additional leverage could impact our ability to meet certain financial and other covenants contained in our 2024 Credit Facilities. (See Note 13 to our unaudited, condensed consolidated financial statements included in this report for a more detailed description of our 2024 Credit Facilities.) There can be no assurance that we will be able to remain in compliance with the covenants to which we are now subject or may be subject in the future and, if we fail to do so, that we will be able to obtain waivers from our lenders or amend the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91540"/>
                <wp:effectExtent l="0" t="0" r="0" b="0"/>
                <wp:wrapNone/>
                <wp:docPr id="153" name="Frame4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4" descr=""/>
                                                <pic:cNvPicPr>
                                                  <a:picLocks noChangeAspect="1" noChangeArrowheads="1"/>
                                                </pic:cNvPicPr>
                                              </pic:nvPicPr>
                                              <pic:blipFill>
                                                <a:blip r:embed="rId10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4" descr=""/>
                                          <pic:cNvPicPr>
                                            <a:picLocks noChangeAspect="1" noChangeArrowheads="1"/>
                                          </pic:cNvPicPr>
                                        </pic:nvPicPr>
                                        <pic:blipFill>
                                          <a:blip r:embed="rId11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the event of a default under our 2024 Credit Facilities, we could be required to immediately repay all outstanding borrowings, which we might not be able to do and which would materially negatively affect our business,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34" w:type="dxa"/>
        <w:jc w:val="left"/>
        <w:tblInd w:w="0" w:type="dxa"/>
        <w:tblLayout w:type="fixed"/>
        <w:tblCellMar>
          <w:top w:w="28" w:type="dxa"/>
          <w:left w:w="28" w:type="dxa"/>
          <w:bottom w:w="28" w:type="dxa"/>
          <w:right w:w="28" w:type="dxa"/>
        </w:tblCellMar>
      </w:tblPr>
      <w:tblGrid>
        <w:gridCol w:w="619"/>
        <w:gridCol w:w="543"/>
        <w:gridCol w:w="772"/>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Operational Risks</w:t>
            </w:r>
          </w:p>
        </w:tc>
      </w:tr>
    </w:tbl>
    <w:p>
      <w:pPr>
        <w:pStyle w:val="TextBody"/>
        <w:bidi w:val="0"/>
        <w:spacing w:lineRule="auto" w:line="288" w:before="180" w:after="283"/>
        <w:jc w:val="both"/>
        <w:rPr>
          <w:rFonts w:ascii="Calibri;sans-serif" w:hAnsi="Calibri;sans-serif"/>
          <w:b/>
          <w:i/>
          <w:color w:val="51555C"/>
          <w:sz w:val="20"/>
        </w:rPr>
      </w:pPr>
      <w:r>
        <w:rPr>
          <w:rFonts w:ascii="Calibri;sans-serif" w:hAnsi="Calibri;sans-serif"/>
          <w:b/>
          <w:i/>
          <w:color w:val="51555C"/>
          <w:sz w:val="20"/>
        </w:rPr>
        <w:t>The Security Incident has had, and may continue to have, numerous adverse effects on our business, results of operations, financial condition and cash flows.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that affected over 13,000 customers. Based on the nature of the incident, our research and third party (including law enforcement) investigation we believe that no data went beyond the cybercriminal, was or will be misused, or will be disseminated or otherwise made available publicly. However, our investigation into the Security Incident remains ongoing and may provide additional information.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To date, we have received approximately 260 specific requests from customers for reimbursement of expenses incurred by them related to the Security Incident, approximately 214 (or 82%) of which have been fully resolved and closed and approximately 39 (or 15%) are inactive and are considered by us to have been abandoned by the customers. We have also received approximately 400 reservations of the right to seek expense recovery in the future from customers or their attorneys in the U.S., U.K. and Canada related to the Security Incident, none of which resulted in claims submitted to us and are considered by us to have been abandoned by the customers. We have also received notices of proposed claims on behalf of a number of U.K. data subjects, which we are reviewing. In addition, insurance companies representing various customers’ interests through subrogation claims have contacted us, and certain insurance companies have filed subrogation claims in court, of which 3 cases remain active and unresolved. In addition, presently, we are a defendant in putative consumer class action cases in U.S. federal courts (most of which have been consolidated under multi district litigation to a single federal court) and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We have received a Civil Investigative Demand from the office of the California Attorney General relating to the Security Incident. In addition, we are subject to pending governmental actions or investigations by the U.S. Federal Trade Commission, the U.S. Department of Health and Human Services, the Office of the Australian Information Commissioner and the Office of the Privacy Commissioner of Canada. (See Note 9 to our unaudited, condensed consolidated financial statements included in this report for a more detailed description of the Security Incident and related matters.)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March 9, 2023, the Company reached a settlement with the SEC in connection with the Security Incident that fully resolved the previously disclosed SEC investigation of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October 5, 2023, the Company entered into separate, substantially similar Administrative Orders with each of 49 state Attorneys General and the District of Columbia in connection with the Security Incident which fully resolved the previously disclosed multi-state Civil Investigative Demand and the separate Civil Investigative Demand from the Office of the Indiana Attorney General relating to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As previously disclosed, on February 1, 2024, the FTC announced its approval of an Agreement Containing Consent Order (the “Proposed Order”) evidencing its settlement with the Company in connection with the Security Incident. Pursuant to its rules, the FTC placed the Proposed Order and related draft complaint on the public record for a period of 30 days for the receipt of public comments after which the FTC will consider any comments received from interested persons prior to determining whether and in what form to finalize the Proposed Order. The 30-day comment period is expired on March 14, 2024. As part of the FTC’s proposed order, the Company has not been fined and is not otherwise required to make any payment. Furthermore, the Company has agreed to the FTC’s proposed order without admitting or denying any of the FTC’s allegations, except as expressly stated otherwise in the Proposed Order. If finalized, the settlement described in the Proposed Order will fully resolve the FTC investigation. Although we believe the Proposed Order will be finalized in substantially its current form, there can be no assurances as to whether that will occur or its timing. Under the terms of the Proposed Order, we have agreed (i) to not misrepresent (a) the extent to which we maintain, use, delete or disclose certain customer information, (b)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91540"/>
                <wp:effectExtent l="0" t="0" r="0" b="0"/>
                <wp:wrapNone/>
                <wp:docPr id="156" name="Frame4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5" descr=""/>
                                                <pic:cNvPicPr>
                                                  <a:picLocks noChangeAspect="1" noChangeArrowheads="1"/>
                                                </pic:cNvPicPr>
                                              </pic:nvPicPr>
                                              <pic:blipFill>
                                                <a:blip r:embed="rId111"/>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5" descr=""/>
                                          <pic:cNvPicPr>
                                            <a:picLocks noChangeAspect="1" noChangeArrowheads="1"/>
                                          </pic:cNvPicPr>
                                        </pic:nvPicPr>
                                        <pic:blipFill>
                                          <a:blip r:embed="rId112"/>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extent to which we protect the privacy, security, availability, confidentiality or integrity of such information or (c) the extent of any security incident or unauthorized disclosure, misuse, loss, theft, alteration, destruction or other compromise of such information, and (ii) to delete certain data, adopt and make public certain record retention limits, establish, implement and maintain a specified information security program, obtain regular independent assessments of the mandated information security program, provide to the FTC specified certifications regarding our compliance with the Proposed Order, provide to the FTC reports of any future security incidents and create and maintain specified recordkeeping. The form of Proposed Order was furnished as Exhibit 99.2 to the Company’s Current Report on Form 8-K filed with the SEC on February 2, 2024.</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noted above, the terms of the FTC Proposed Order, the Attorneys General Administrative Orders and our settlement with the SEC require that we implement and maintain certain processes and programs and comply with certain legal requirements related to cybersecurity and data protection. Any future regulatory investigation or litigation settlements may also contain such requirements. Effectively implementing, monitoring and updating these requirements is expected to be expensive and time-consuming over an extended period. Our failure to do so in accordance with the terms of our agreements with FTC, the Attorneys General and with the SEC, and possibly others, could expose us to additional material liability under the terms of the Administrative Orders, the SEC settlement, or otherwise.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See Note 9 to our unaudited, condensed consolidated financial statements in this report for a more detailed description of the Security Incident and related matters.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will not be covered by insurance. It is reasonably possible that our estimated or actual losses may change in the near term for those matters and be materially in excess of the amounts accrued. Certain governmental authorities are seeking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any legislative or regulatory changes adopted in reaction to the Security Incident or other companies’ data breaches could require us to make modifications to the operation of our business that could have an adverse effect and/or increase or accelerate our compliance costs.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Significant management time and Company resources have been, and are expected to continue to be, devoted to the Security Incident. For example, for the three months ended March 31, 2024, we incurred net pre-tax expenses of $10.3 million related to the Security Incident, which included $3.3 million for ongoing legal fees and additional accruals for loss contingencies of $7.0 million. During the three months ended March 31, 2024, we had cash outlays of $2.0 million related to the Security Incident for ongoing legal fees. For full year 2023, we currently expect pre-tax expenses of approximately $5.0 million to $10.0 million and cash outlays of approximately $8.0 million to $13.0 million for ongoing legal fees related to the Security Incident. Although we carry insurance against certain losses related to the Security Incident, we exceeded the limit of that insurance coverage in the first quarter of 2022. As a result, we will be responsible for all expenses or other losses (including penalties, fines or other judgments) or all types of claims that may arise in connection with the Security Incident, which could materially and adversely affect our liquidity and results of operations. (See Note 9 to our unaudited, condensed consolidated financial statements in this report.) If any such fines or penalties were great enough that we could not pay them through funds generated from operating activities and/or cause a default under the 2024 Credit Facilities, we may be forced to renegotiate or obtain a waiver under the 2024 Credit Facilities and/or seek additional debt or equity financing. Such renegotiation or financing may not be available on acceptable terms, or at all. In these circumstances, if we were unable to obtain sufficient financing, we may not be able to meet our obligations as they come due.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91540"/>
                <wp:effectExtent l="0" t="0" r="0" b="0"/>
                <wp:wrapNone/>
                <wp:docPr id="159" name="Frame4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6" descr=""/>
                                                <pic:cNvPicPr>
                                                  <a:picLocks noChangeAspect="1" noChangeArrowheads="1"/>
                                                </pic:cNvPicPr>
                                              </pic:nvPicPr>
                                              <pic:blipFill>
                                                <a:blip r:embed="rId11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6" descr=""/>
                                          <pic:cNvPicPr>
                                            <a:picLocks noChangeAspect="1" noChangeArrowheads="1"/>
                                          </pic:cNvPicPr>
                                        </pic:nvPicPr>
                                        <pic:blipFill>
                                          <a:blip r:embed="rId11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tbl>
      <w:tblPr>
        <w:tblW w:w="2940" w:type="dxa"/>
        <w:jc w:val="left"/>
        <w:tblInd w:w="0" w:type="dxa"/>
        <w:tblLayout w:type="fixed"/>
        <w:tblCellMar>
          <w:top w:w="28" w:type="dxa"/>
          <w:left w:w="28" w:type="dxa"/>
          <w:bottom w:w="28" w:type="dxa"/>
          <w:right w:w="28" w:type="dxa"/>
        </w:tblCellMar>
      </w:tblPr>
      <w:tblGrid>
        <w:gridCol w:w="940"/>
        <w:gridCol w:w="827"/>
        <w:gridCol w:w="1173"/>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Legal and Compliance Risks</w:t>
            </w:r>
          </w:p>
        </w:tc>
      </w:tr>
    </w:tbl>
    <w:p>
      <w:pPr>
        <w:pStyle w:val="TextBody"/>
        <w:bidi w:val="0"/>
        <w:spacing w:lineRule="auto" w:line="288" w:before="180" w:after="283"/>
        <w:jc w:val="both"/>
        <w:rPr>
          <w:rFonts w:ascii="Calibri;sans-serif" w:hAnsi="Calibri;sans-serif"/>
          <w:b/>
          <w:i/>
          <w:color w:val="51555C"/>
          <w:sz w:val="20"/>
        </w:rPr>
      </w:pPr>
      <w:r>
        <w:rPr>
          <w:rFonts w:ascii="Calibri;sans-serif" w:hAnsi="Calibri;sans-serif"/>
          <w:b/>
          <w:i/>
          <w:color w:val="51555C"/>
          <w:sz w:val="20"/>
        </w:rPr>
        <w:t>Provisions in our organizational documents, certain officer compensation arrangements and Delaware law may delay or prevent an acquisition or change of control of our Company that could be deemed beneficial to our stockholders.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Certain provisions in our organizational documents, the Rights Agreement, compensation arrangements with our officers and Delaware law (as summarized below) may have the effect of delaying, deferring, discouraging or preventing an acquisition or change in control of the Company or a change in our management. This includes tender offers for our common stock, proxy contests or other takeover attempts. These anti-takeover effects may discourage transactions that might result in the payment of a premium over the market price for shares of our common stock. Even in the absence of a takeover attempt, the existence of these provisions may adversely affect the prevailing market price of our common stock if they are viewed as discouraging takeover attempts in the future.</w:t>
      </w:r>
    </w:p>
    <w:p>
      <w:pPr>
        <w:pStyle w:val="TextBody"/>
        <w:bidi w:val="0"/>
        <w:spacing w:lineRule="auto" w:line="288" w:before="180" w:after="283"/>
        <w:jc w:val="both"/>
        <w:rPr/>
      </w:pPr>
      <w:r>
        <w:rPr>
          <w:rFonts w:ascii="Calibri;sans-serif" w:hAnsi="Calibri;sans-serif"/>
          <w:b w:val="false"/>
          <w:i/>
          <w:color w:val="51555C"/>
          <w:sz w:val="20"/>
        </w:rPr>
        <w:t>Certificate of Incorporation and Bylaw provisions.</w:t>
      </w:r>
      <w:r>
        <w:rPr>
          <w:color w:val="51555C"/>
        </w:rPr>
        <w:t xml:space="preserve"> </w:t>
      </w:r>
      <w:r>
        <w:rPr>
          <w:rFonts w:ascii="Calibri;sans-serif" w:hAnsi="Calibri;sans-serif"/>
          <w:b w:val="false"/>
          <w:color w:val="51555C"/>
          <w:sz w:val="20"/>
        </w:rPr>
        <w:t>The Board of Directors is divided into three classes of directors, as nearly equal in number as possible, with each class serving a staggered term of three years. The classification of directors will have the effect of making it more difficult and time-consuming for stockholders to change the composition of the Board of Directors, could discourage a third-party from making a tender offer or otherwise attempting to obtain control of the Company and may maintain the incumbency of the Board of Directors.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Bylaws contain an advance notice procedure for stockholders proposals to be brought before a meeting of stockholders, including any proposed nominations of persons for election to the Board of Directors. The Bylaws may have the effect of precluding the conduct of business at a meeting if the proper procedures are not followed and may discourage or deter a potential acquirer from conducting a solicitation of proxies to elect its own slate of directors or otherwise attempting to obtain control of the Company.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 Board of Directors has the authority to issue up to an aggregate of 20,000,000 shares of preferred stock in one 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 or series or the designation of such class or series, without further vote or action by the stockholders. This preferred stock, including the Series A Preferred Stock described below, could have terms that may discourage a potential acquirer from making, without first negotiating with the Board of Directors, an acquisition attempt through which such acquirer may be able to change the composition of the Board of Directors, including a tender offer or other takeover attempt.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Board of Directors possesses the authority to call and hold emergency special meetings of the Board of Directors with less than forty-eight hours’ notice. This power to hold an emergency special meeting of the Board of Directors on short notice could discourage a potential acquirer from launching a bid to acquire majority ownership of the Company, a proxy solicitation in order to replace the current Board of Directors, or otherwise attempting to obtain control of the Company.</w:t>
      </w:r>
    </w:p>
    <w:p>
      <w:pPr>
        <w:pStyle w:val="TextBody"/>
        <w:bidi w:val="0"/>
        <w:spacing w:lineRule="auto" w:line="288" w:before="180" w:after="283"/>
        <w:jc w:val="both"/>
        <w:rPr/>
      </w:pPr>
      <w:r>
        <w:rPr>
          <w:rFonts w:ascii="Calibri;sans-serif" w:hAnsi="Calibri;sans-serif"/>
          <w:b w:val="false"/>
          <w:i/>
          <w:color w:val="51555C"/>
          <w:sz w:val="20"/>
        </w:rPr>
        <w:t xml:space="preserve">Stockholder Rights Agreement (the "Rights Agreement"). </w:t>
      </w:r>
      <w:r>
        <w:rPr>
          <w:rFonts w:ascii="Calibri;sans-serif" w:hAnsi="Calibri;sans-serif"/>
          <w:b w:val="false"/>
          <w:color w:val="51555C"/>
          <w:sz w:val="20"/>
        </w:rPr>
        <w:t xml:space="preserve">On October 7, 2022, the Company declared a dividend of one preferred share purchase right for each of the Company’s issued and outstanding shares of Common Stock. The description and terms of these Rights are set forth in the Rights Agreement by and between the Company and American Stock Transfer &amp; Trust Company, LLC. Each Right entitled the registered holder, subject to the terms of the Rights Agreement, to purchase from us one one-thousandth of a share of the Series A Junior Participating Preferred Stock, par value $0.001 per share (the “Series A Preferred Stock”) at a price of $313.00, subject to certain adjustments (as adjusted from time to time, the “Exercise Price”). Under the Rights Agreement, the Rights would have become exercisable if an entity, person or group acquires beneficial ownership of 20% or more of the outstanding Common Stock in a transaction not approved by the Board of Directors. In the event that the Rights became exercisable due to the ownership threshold being crossed, each Right would have entitled its holder (other than the person, entity or group triggering the Rights Plan, whose rights would have become void and not exercisable) to purchase additional shares of Common Stock having a then-current market value of twice the Exercise Price, which would have likely made any takeover or change of control attempt by such entity, person or group prohibitively expensive. Subject to the terms of the Rights Agreement, the Rights were scheduled to expire on October 2, 2023. On October 2, 2023, the Company amended the Rights Agreement to extend the final expiration date from October 2, 2023 to October 2, 2024. On January 26, 2024, the Company amended the Rights Agreement to substitute Broadridge Corporate Issuer Solutions, LLC as the new rights agent under the Rights Agreement. On March 18, 2024, the Company terminated the Rights Agreement and eliminated the Series A Preferred Stock as a series of stock under its Amended and Restated Certificate of Incorporation.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91540"/>
                <wp:effectExtent l="0" t="0" r="0" b="0"/>
                <wp:wrapNone/>
                <wp:docPr id="162" name="Frame4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67" descr=""/>
                                                <pic:cNvPicPr>
                                                  <a:picLocks noChangeAspect="1" noChangeArrowheads="1"/>
                                                </pic:cNvPicPr>
                                              </pic:nvPicPr>
                                              <pic:blipFill>
                                                <a:blip r:embed="rId115"/>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7" descr=""/>
                                          <pic:cNvPicPr>
                                            <a:picLocks noChangeAspect="1" noChangeArrowheads="1"/>
                                          </pic:cNvPicPr>
                                        </pic:nvPicPr>
                                        <pic:blipFill>
                                          <a:blip r:embed="rId116"/>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At the time of the termination of the Rights Agreement, all of the Rights expired. Additional information regarding the Rights Agreement and its termination, is contained in the Company’s Current Reports on Form 8-K filed with the SEC on October 2, 2023, January 26, 2024 and March 18, 2024 and in the Company's Form 8-A/A filed with the SEC on March 18, 2024.</w:t>
      </w:r>
    </w:p>
    <w:p>
      <w:pPr>
        <w:pStyle w:val="TextBody"/>
        <w:bidi w:val="0"/>
        <w:spacing w:lineRule="auto" w:line="288" w:before="180" w:after="283"/>
        <w:jc w:val="both"/>
        <w:rPr/>
      </w:pPr>
      <w:r>
        <w:rPr>
          <w:rFonts w:ascii="Calibri;sans-serif" w:hAnsi="Calibri;sans-serif"/>
          <w:b w:val="false"/>
          <w:i/>
          <w:color w:val="51555C"/>
          <w:sz w:val="20"/>
        </w:rPr>
        <w:t xml:space="preserve">Officer Compensation Arrangements. </w:t>
      </w:r>
      <w:r>
        <w:rPr>
          <w:rFonts w:ascii="Calibri;sans-serif" w:hAnsi="Calibri;sans-serif"/>
          <w:b w:val="false"/>
          <w:color w:val="51555C"/>
          <w:sz w:val="20"/>
        </w:rPr>
        <w:t>We have entered into an employment agreement with our Chief Executive Officer and retention agreements with certain of our officers, which provide that, upon the occurrence of a change in control of us and either the termination of their employment without cause (as defined) or their resignation for good reason (as defined), such persons would be entitled to certain termination or severance payments made by us (which may include a lump sum payment equal to defined percentages of compensation and accelerated vesting of certain equity stock awards paid in accordance with the terms and conditions of the respective agreement). Such provisions could significantly increase the costs to a third-party acquirer and/or deter such third-party from acquiring us.</w:t>
      </w:r>
    </w:p>
    <w:p>
      <w:pPr>
        <w:pStyle w:val="TextBody"/>
        <w:bidi w:val="0"/>
        <w:spacing w:lineRule="auto" w:line="288" w:before="180" w:after="283"/>
        <w:jc w:val="both"/>
        <w:rPr/>
      </w:pPr>
      <w:r>
        <w:rPr>
          <w:rFonts w:ascii="Calibri;sans-serif" w:hAnsi="Calibri;sans-serif"/>
          <w:b w:val="false"/>
          <w:i/>
          <w:color w:val="51555C"/>
          <w:sz w:val="20"/>
        </w:rPr>
        <w:t>Delaware anti-takeover law</w:t>
      </w:r>
      <w:r>
        <w:rPr>
          <w:rFonts w:ascii="Calibri;sans-serif" w:hAnsi="Calibri;sans-serif"/>
          <w:b w:val="false"/>
          <w:color w:val="51555C"/>
          <w:sz w:val="20"/>
        </w:rPr>
        <w:t>. We are subject to Section 203 of the Delaware General Corporation Law, an anti-takeover law. In general, Section 203 prohibits a publicly held Delaware corporation, such as the Company, from engaging in a “business combination” with an “interested stockholder” for a period of three years following the date the person became an interested stockholder, unless certain criteria are met. Generally, a “business combination” includes a merger, asset or stock sale, or other transaction resulting in a financial benefit to the interested stockholder. Generally, an “interested stockholder” is a person who, together with affiliates and associates, owns, or is an affiliate or associate of the corporation, and within three years prior to the determination of interested stockholder status did own, 15% or more of a corporation’s voting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2. UNREGISTERED SALES OF EQUITY SECURITIES AND USE OF PROCEEDS</w:t>
      </w:r>
    </w:p>
    <w:tbl>
      <w:tblPr>
        <w:tblW w:w="3854" w:type="dxa"/>
        <w:jc w:val="left"/>
        <w:tblInd w:w="0" w:type="dxa"/>
        <w:tblLayout w:type="fixed"/>
        <w:tblCellMar>
          <w:top w:w="28" w:type="dxa"/>
          <w:left w:w="28" w:type="dxa"/>
          <w:bottom w:w="28" w:type="dxa"/>
          <w:right w:w="28" w:type="dxa"/>
        </w:tblCellMar>
      </w:tblPr>
      <w:tblGrid>
        <w:gridCol w:w="1235"/>
        <w:gridCol w:w="1085"/>
        <w:gridCol w:w="1534"/>
      </w:tblGrid>
      <w:tr>
        <w:trPr/>
        <w:tc>
          <w:tcPr>
            <w:tcW w:w="123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Issuer Purchases of Equity Securities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provides information about shares of common stock acquired or repurchased during the three months ended March 31, 2024 under the stock repurchase program then in effect, as well as common stock withheld by us to satisfy the minimum tax obligations of employees due upon vesting of restricted stock awards and units.</w:t>
      </w:r>
    </w:p>
    <w:tbl>
      <w:tblPr>
        <w:tblW w:w="9442" w:type="dxa"/>
        <w:jc w:val="left"/>
        <w:tblInd w:w="0" w:type="dxa"/>
        <w:tblLayout w:type="fixed"/>
        <w:tblCellMar>
          <w:top w:w="28" w:type="dxa"/>
          <w:left w:w="28" w:type="dxa"/>
          <w:bottom w:w="28" w:type="dxa"/>
          <w:right w:w="28" w:type="dxa"/>
        </w:tblCellMar>
      </w:tblPr>
      <w:tblGrid>
        <w:gridCol w:w="1342"/>
        <w:gridCol w:w="1176"/>
        <w:gridCol w:w="1202"/>
        <w:gridCol w:w="488"/>
        <w:gridCol w:w="488"/>
        <w:gridCol w:w="316"/>
        <w:gridCol w:w="109"/>
        <w:gridCol w:w="109"/>
        <w:gridCol w:w="109"/>
        <w:gridCol w:w="211"/>
        <w:gridCol w:w="616"/>
        <w:gridCol w:w="109"/>
        <w:gridCol w:w="109"/>
        <w:gridCol w:w="109"/>
        <w:gridCol w:w="109"/>
        <w:gridCol w:w="488"/>
        <w:gridCol w:w="488"/>
        <w:gridCol w:w="346"/>
        <w:gridCol w:w="109"/>
        <w:gridCol w:w="109"/>
        <w:gridCol w:w="109"/>
        <w:gridCol w:w="211"/>
        <w:gridCol w:w="82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Period</w:t>
            </w:r>
          </w:p>
        </w:tc>
        <w:tc>
          <w:tcPr>
            <w:tcW w:w="129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Total</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number</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of shares</w:t>
            </w:r>
          </w:p>
          <w:p>
            <w:pPr>
              <w:pStyle w:val="TableContents"/>
              <w:bidi w:val="0"/>
              <w:spacing w:lineRule="auto" w:line="288" w:before="0" w:after="0"/>
              <w:jc w:val="right"/>
              <w:rPr/>
            </w:pPr>
            <w:r>
              <w:rPr>
                <w:rFonts w:ascii="Calibri;sans-serif" w:hAnsi="Calibri;sans-serif"/>
                <w:b/>
                <w:color w:val="FFFFFF"/>
                <w:sz w:val="16"/>
              </w:rPr>
              <w:t>purchased</w:t>
            </w:r>
            <w:r>
              <w:rPr>
                <w:rFonts w:ascii="Calibri;sans-serif" w:hAnsi="Calibri;sans-serif"/>
                <w:b/>
                <w:color w:val="FFFFFF"/>
                <w:sz w:val="10"/>
              </w:rPr>
              <w:t>(1)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Average</w:t>
              <w:br/>
              <w:t>price</w:t>
              <w:br/>
              <w:t>paid</w:t>
              <w:br/>
              <w:t>per</w:t>
              <w:br/>
              <w:t>share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Total number</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of shares</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purchased as</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part of</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publicly</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announced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plans or</w:t>
            </w:r>
          </w:p>
          <w:p>
            <w:pPr>
              <w:pStyle w:val="TableContents"/>
              <w:bidi w:val="0"/>
              <w:spacing w:lineRule="auto" w:line="288" w:before="0" w:after="0"/>
              <w:jc w:val="right"/>
              <w:rPr/>
            </w:pPr>
            <w:r>
              <w:rPr>
                <w:rFonts w:ascii="Calibri;sans-serif" w:hAnsi="Calibri;sans-serif"/>
                <w:b/>
                <w:color w:val="FFFFFF"/>
                <w:sz w:val="16"/>
              </w:rPr>
              <w:t>programs</w:t>
            </w:r>
            <w:r>
              <w:rPr>
                <w:rFonts w:ascii="Calibri;sans-serif" w:hAnsi="Calibri;sans-serif"/>
                <w:b/>
                <w:color w:val="FFFFFF"/>
                <w:sz w:val="10"/>
              </w:rPr>
              <w:t>(2)</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Approximate</w:t>
              <w:br/>
              <w:t>dollar value</w:t>
              <w:br/>
              <w:t>of shares</w:t>
              <w:br/>
              <w:t>that may yet</w:t>
              <w:br/>
              <w:t>be purchased</w:t>
              <w:br/>
              <w:t>under the</w:t>
              <w:br/>
              <w:t>plans or</w:t>
              <w:br/>
              <w:t>programs</w:t>
              <w:br/>
              <w:t>(in thousands)</w:t>
            </w:r>
          </w:p>
        </w:tc>
      </w:tr>
      <w:tr>
        <w:trPr/>
        <w:tc>
          <w:tcPr>
            <w:tcW w:w="372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Beginning balance, January 1, 2024</w:t>
            </w:r>
          </w:p>
        </w:tc>
        <w:tc>
          <w:tcPr>
            <w:tcW w:w="129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231,169 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January 1, 2024 through January 31, 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273,907 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273,907 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499,424 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February 1, 2024 through February 29, 2024</w:t>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845,090 </w:t>
            </w:r>
          </w:p>
        </w:tc>
        <w:tc>
          <w:tcPr>
            <w:tcW w:w="3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72.51 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124,901 </w:t>
            </w:r>
          </w:p>
        </w:tc>
        <w:tc>
          <w:tcPr>
            <w:tcW w:w="3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490,870 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March 1, 2024 through March 31, 2024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2,555,403 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2,555,403 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259,716 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Total</w:t>
            </w:r>
          </w:p>
        </w:tc>
        <w:tc>
          <w:tcPr>
            <w:tcW w:w="97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3,674,400 </w:t>
            </w:r>
          </w:p>
        </w:tc>
        <w:tc>
          <w:tcPr>
            <w:tcW w:w="3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85.82 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2,954,211 </w:t>
            </w:r>
          </w:p>
        </w:tc>
        <w:tc>
          <w:tcPr>
            <w:tcW w:w="3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259,716 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720,189 shares in February withheld by us to satisfy the minimum tax obligations of employees due upon vesting of restricted stock awards and units. The level of this acquisition activity varies from period to period based upon the timing of award grants and vesting.</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(2)In January 2024, our Board of Directors reauthorized, expanded and replenished our stock repurchase program to authorize us to purchase up to $500.0 million of our outstanding shares of common stock. The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91540"/>
                <wp:effectExtent l="0" t="0" r="0" b="0"/>
                <wp:wrapNone/>
                <wp:docPr id="165" name="Frame5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8" descr=""/>
                                                <pic:cNvPicPr>
                                                  <a:picLocks noChangeAspect="1" noChangeArrowheads="1"/>
                                                </pic:cNvPicPr>
                                              </pic:nvPicPr>
                                              <pic:blipFill>
                                                <a:blip r:embed="rId11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center"/>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8" descr=""/>
                                          <pic:cNvPicPr>
                                            <a:picLocks noChangeAspect="1" noChangeArrowheads="1"/>
                                          </pic:cNvPicPr>
                                        </pic:nvPicPr>
                                        <pic:blipFill>
                                          <a:blip r:embed="rId11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50" w:type="dxa"/>
        <w:jc w:val="left"/>
        <w:tblInd w:w="0" w:type="dxa"/>
        <w:tblLayout w:type="fixed"/>
        <w:tblCellMar>
          <w:top w:w="28" w:type="dxa"/>
          <w:left w:w="28" w:type="dxa"/>
          <w:bottom w:w="28" w:type="dxa"/>
          <w:right w:w="28" w:type="dxa"/>
        </w:tblCellMar>
      </w:tblPr>
      <w:tblGrid>
        <w:gridCol w:w="1585"/>
        <w:gridCol w:w="1392"/>
        <w:gridCol w:w="1973"/>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Trading Arrangements Adopted or Terminated</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March 31, 2024, none of the Company’s directors or executive officers adopted or terminated any contract, instruction or written plan for the purchase or sale of Company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34" w:type="dxa"/>
        <w:jc w:val="left"/>
        <w:tblInd w:w="0" w:type="dxa"/>
        <w:tblLayout w:type="fixed"/>
        <w:tblCellMar>
          <w:top w:w="28" w:type="dxa"/>
          <w:left w:w="28" w:type="dxa"/>
          <w:bottom w:w="28" w:type="dxa"/>
          <w:right w:w="28" w:type="dxa"/>
        </w:tblCellMar>
      </w:tblPr>
      <w:tblGrid>
        <w:gridCol w:w="1387"/>
        <w:gridCol w:w="1218"/>
        <w:gridCol w:w="1729"/>
      </w:tblGrid>
      <w:tr>
        <w:trPr/>
        <w:tc>
          <w:tcPr>
            <w:tcW w:w="138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April 2024 Credit Agreement Refinancing</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April 30, 2024, we entered into the Amendment. The Amendment amends the Existing Credit Agreement.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Amendment amends the Existing Credit Agreement to, among other things, (a) refinance the credit facilities under the Existing Credit Agreement to provide for (i) the 2024 Revolving Facility and (ii) the 2024 Term Facility, (b) extend the maturity date to April 30, 2029, (c) modify the definition of Applicable Margin and (iv) modify certain negative and financial covenants to provide additional operational flexibility.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2024 Credit Facilities, dollar tranche revolving loans and term loans bear interest at a rate per annum equal to, at the option of the Company: (a) a base rate equal to the highest of (i) the Federal Funds Rate plus 0.50%, (ii) the prime rate announced by Bank of America, N.A., and (iii) the Base Rate, plus the Applicable Margin; (b) Term SOFR plus the Applicable Margin; or (c) the Daily SOFR Rate plus the Applicable Margin. The Applicable Margin shall be adjusted quarterly, varies based on our net leverage ratio and varies based on whether the loan is a Base Rate Loan (0.375% to 1.500%), or a Term SOFR Loan/Daily SOFR Loan (1.375% to 2.500%). The 2024 Credit Agreement also provides for a commitment fee of between 0.250% and 0.500% of the unused commitment under the 2024 Revolving Facility depending on our net leverage ratio.</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Under the 2024 Credit Facilities, designated currency tranche revolving loans bear interest at a rate per annum equal to, at the option of the Company: (a) the Designated Currency Daily Rate (as defined in the 2024 Credit Agreement) plus the Applicable Margin; or (b) the Designated Currency Term Rate (as defined in the 2024 Credit Agreement) plus the Applicable Margin. The Applicable Margin shall be adjusted quarterly and varies based on our net leverage ratio for both Designated Currency Daily Rate Loans and Designated Currency Term Rate Loans (1.375% to 2.500%).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may prepay the 2024 Credit Agreement in whole or in part at any time without premium or penalty, other than customary breakage costs with respect to certain types of loans.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terms of the 2024 Credit Agreement, we are entitled on one or more occasion, subject to the satisfaction of certain conditions, to request an increase in the commitments under the 2024 Revolving Facility and/or request additional incremental term loans in the aggregate principal amount of up to the sum of (i)(x) the greater of (A) $360.0 million and (B) 100% of EBITDA (as defined in the 2024 Credit Agreement), plus (ii) at our option, up to an amount such that the net leverage ratio shall be no greater than 3.50 to 1.00.</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2024 Credit Agreement contains various representations, warranties and affirmative, negative and financial covenants customary for financings of this type. Financial covenants include a net leverage ratio and an interest coverage ratio.</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descriptions of the Amendment and the 2024 Credit Agreement contained in this Part II, Item 5 of our Quarterly Report on Form 10-Q do not purport to be complete and are subject to, and qualified in their entirety by, the full and complete terms contained in the Amendment, a copy of which is filed as Exhibit 10.1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91540"/>
                <wp:effectExtent l="0" t="0" r="0" b="0"/>
                <wp:wrapNone/>
                <wp:docPr id="168" name="Frame5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9" descr=""/>
                                                <pic:cNvPicPr>
                                                  <a:picLocks noChangeAspect="1" noChangeArrowheads="1"/>
                                                </pic:cNvPicPr>
                                              </pic:nvPicPr>
                                              <pic:blipFill>
                                                <a:blip r:embed="rId119"/>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9" descr=""/>
                                          <pic:cNvPicPr>
                                            <a:picLocks noChangeAspect="1" noChangeArrowheads="1"/>
                                          </pic:cNvPicPr>
                                        </pic:nvPicPr>
                                        <pic:blipFill>
                                          <a:blip r:embed="rId120"/>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left"/>
        <w:rPr>
          <w:rFonts w:ascii="Calibri;sans-serif" w:hAnsi="Calibri;sans-serif"/>
          <w:b/>
          <w:color w:val="004054"/>
          <w:sz w:val="32"/>
        </w:rPr>
      </w:pPr>
      <w:r>
        <w:rPr>
          <w:rFonts w:ascii="Calibri;sans-serif" w:hAnsi="Calibri;sans-serif"/>
          <w:b/>
          <w:color w:val="004054"/>
          <w:sz w:val="32"/>
        </w:rPr>
        <w:t>ITEM 6. EXHIBITS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exhibits listed below are filed or incorporated by reference as part of this Quarterly Report on Form 10-Q:</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1800"/>
        <w:gridCol w:w="1484"/>
        <w:gridCol w:w="1489"/>
        <w:gridCol w:w="109"/>
        <w:gridCol w:w="109"/>
        <w:gridCol w:w="109"/>
        <w:gridCol w:w="289"/>
        <w:gridCol w:w="289"/>
        <w:gridCol w:w="290"/>
        <w:gridCol w:w="109"/>
        <w:gridCol w:w="109"/>
        <w:gridCol w:w="109"/>
        <w:gridCol w:w="229"/>
        <w:gridCol w:w="229"/>
        <w:gridCol w:w="234"/>
        <w:gridCol w:w="109"/>
        <w:gridCol w:w="109"/>
        <w:gridCol w:w="109"/>
        <w:gridCol w:w="271"/>
        <w:gridCol w:w="271"/>
        <w:gridCol w:w="272"/>
        <w:gridCol w:w="109"/>
        <w:gridCol w:w="109"/>
        <w:gridCol w:w="109"/>
        <w:gridCol w:w="227"/>
        <w:gridCol w:w="194"/>
        <w:gridCol w:w="283"/>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Filed In</w:t>
            </w:r>
          </w:p>
        </w:tc>
      </w:tr>
      <w:tr>
        <w:trPr/>
        <w:tc>
          <w:tcPr>
            <w:tcW w:w="71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Filed Herewith</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Exhibit 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Filing Date</w:t>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pPr>
            <w:hyperlink r:id="rId121">
              <w:r>
                <w:rPr>
                  <w:rStyle w:val="InternetLink"/>
                  <w:rFonts w:ascii="Calibri;sans-serif" w:hAnsi="Calibri;sans-serif"/>
                  <w:b w:val="false"/>
                  <w:color w:val="7A04DD"/>
                  <w:sz w:val="20"/>
                  <w:u w:val="single"/>
                </w:rPr>
                <w:t>3.1</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hyperlink r:id="rId122">
              <w:r>
                <w:rPr>
                  <w:rStyle w:val="InternetLink"/>
                  <w:rFonts w:ascii="Calibri;sans-serif" w:hAnsi="Calibri;sans-serif"/>
                  <w:b w:val="false"/>
                  <w:color w:val="7A04DD"/>
                  <w:sz w:val="20"/>
                  <w:u w:val="single"/>
                </w:rPr>
                <w:t>Certificate of Elimination of the Series A Junior Participating Preferred Stock of Blackbaud, Inc.</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8-A12B/A</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3.1</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3/18/2024</w:t>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r:id="rId123">
              <w:r>
                <w:rPr>
                  <w:rStyle w:val="InternetLink"/>
                  <w:rFonts w:ascii="Calibri;sans-serif" w:hAnsi="Calibri;sans-serif"/>
                  <w:b w:val="false"/>
                  <w:color w:val="7A04DD"/>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r:id="rId124">
              <w:r>
                <w:rPr>
                  <w:rStyle w:val="InternetLink"/>
                  <w:rFonts w:ascii="Calibri;sans-serif" w:hAnsi="Calibri;sans-serif"/>
                  <w:b w:val="false"/>
                  <w:color w:val="000080"/>
                  <w:sz w:val="20"/>
                  <w:u w:val="single"/>
                </w:rPr>
                <w:t>Second Amendment to Stockholder Rights Agreement, dated as of January 26, 2024, by and among Blackbaud, Inc. and Broadridge Corporate Issuer Solutions, LLC</w:t>
              </w:r>
            </w:hyperlink>
            <w:hyperlink r:id="rId125">
              <w:r>
                <w:rPr>
                  <w:rStyle w:val="InternetLink"/>
                  <w:rFonts w:ascii="Calibri;sans-serif" w:hAnsi="Calibri;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1/26/2024</w:t>
            </w:r>
          </w:p>
        </w:tc>
      </w:tr>
      <w:tr>
        <w:trPr/>
        <w:tc>
          <w:tcPr>
            <w:tcW w:w="71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r:id="rId126">
              <w:r>
                <w:rPr>
                  <w:rStyle w:val="InternetLink"/>
                  <w:rFonts w:ascii="Calibri;sans-serif" w:hAnsi="Calibri;sans-serif"/>
                  <w:b w:val="false"/>
                  <w:color w:val="7A04DD"/>
                  <w:sz w:val="20"/>
                  <w:u w:val="single"/>
                </w:rPr>
                <w:t>4.2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r:id="rId127">
              <w:r>
                <w:rPr>
                  <w:rStyle w:val="InternetLink"/>
                  <w:rFonts w:ascii="Calibri;sans-serif" w:hAnsi="Calibri;sans-serif"/>
                  <w:b w:val="false"/>
                  <w:color w:val="7A04DD"/>
                  <w:sz w:val="20"/>
                  <w:u w:val="single"/>
                </w:rPr>
                <w:t>Third Amendment to Stockholder Rights Agreement, dated as of March 18, 2024, by and between Blackbaud, Inc. and Broadridge Corporate Issuer Solutions, LLC.</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8-K</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4.4</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3/18/2024</w:t>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1202410-qexx101.htm">
              <w:r>
                <w:rPr>
                  <w:rStyle w:val="InternetLink"/>
                  <w:rFonts w:ascii="Calibri;sans-serif" w:hAnsi="Calibri;sans-serif"/>
                  <w:b w:val="false"/>
                  <w:color w:val="7A04DD"/>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1202410-qexx101.htm">
              <w:r>
                <w:rPr>
                  <w:rStyle w:val="InternetLink"/>
                  <w:rFonts w:ascii="Calibri;sans-serif" w:hAnsi="Calibri;sans-serif"/>
                  <w:b w:val="false"/>
                  <w:color w:val="7A04DD"/>
                  <w:sz w:val="20"/>
                  <w:u w:val="single"/>
                </w:rPr>
                <w:t>Third Amendment to Credit Agreement, dated as of April 30, 2024, by and among Blackbaud, Inc., the lenders party thereto and Bank of America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1202410-kexx311.htm">
              <w:r>
                <w:rPr>
                  <w:rStyle w:val="InternetLink"/>
                  <w:rFonts w:ascii="Calibri;sans-serif" w:hAnsi="Calibri;sans-serif"/>
                  <w:b w:val="false"/>
                  <w:color w:val="7A04DD"/>
                  <w:sz w:val="20"/>
                  <w:u w:val="single"/>
                </w:rPr>
                <w:t>31.1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1202410-kexx311.htm">
              <w:r>
                <w:rPr>
                  <w:rStyle w:val="InternetLink"/>
                  <w:rFonts w:ascii="Calibri;sans-serif" w:hAnsi="Calibri;sans-serif"/>
                  <w:b w:val="false"/>
                  <w:color w:val="7A04DD"/>
                  <w:sz w:val="20"/>
                  <w:u w:val="single"/>
                </w:rPr>
                <w:t>Certification by the Chief Executive Officer pursuant to Section 302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1202410-kexx312.htm">
              <w:r>
                <w:rPr>
                  <w:rStyle w:val="InternetLink"/>
                  <w:rFonts w:ascii="Calibri;sans-serif" w:hAnsi="Calibri;sans-serif"/>
                  <w:b w:val="false"/>
                  <w:color w:val="7A04DD"/>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1202410-kexx312.htm">
              <w:r>
                <w:rPr>
                  <w:rStyle w:val="InternetLink"/>
                  <w:rFonts w:ascii="Calibri;sans-serif" w:hAnsi="Calibri;sans-serif"/>
                  <w:b w:val="false"/>
                  <w:color w:val="7A04DD"/>
                  <w:sz w:val="20"/>
                  <w:u w:val="single"/>
                </w:rPr>
                <w:t>Certification by the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1202410-kexx321.htm">
              <w:r>
                <w:rPr>
                  <w:rStyle w:val="InternetLink"/>
                  <w:rFonts w:ascii="Calibri;sans-serif" w:hAnsi="Calibri;sans-serif"/>
                  <w:b w:val="false"/>
                  <w:color w:val="7A04DD"/>
                  <w:sz w:val="20"/>
                  <w:u w:val="single"/>
                </w:rPr>
                <w:t>32.1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1202410-kexx321.htm">
              <w:r>
                <w:rPr>
                  <w:rStyle w:val="InternetLink"/>
                  <w:rFonts w:ascii="Calibri;sans-serif" w:hAnsi="Calibri;sans-serif"/>
                  <w:b w:val="false"/>
                  <w:color w:val="7A04DD"/>
                  <w:sz w:val="20"/>
                  <w:u w:val="single"/>
                </w:rPr>
                <w:t>Certification by the Chief Executive Officer pursuant to 18 U.S.C. 1350 as adopted pursuant to Section 906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1202410-kexx322.htm">
              <w:r>
                <w:rPr>
                  <w:rStyle w:val="InternetLink"/>
                  <w:rFonts w:ascii="Calibri;sans-serif" w:hAnsi="Calibri;sans-serif"/>
                  <w:b w:val="false"/>
                  <w:color w:val="7A04DD"/>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1202410-kexx322.htm">
              <w:r>
                <w:rPr>
                  <w:rStyle w:val="InternetLink"/>
                  <w:rFonts w:ascii="Calibri;sans-serif" w:hAnsi="Calibri;sans-serif"/>
                  <w:b w:val="false"/>
                  <w:color w:val="7A04DD"/>
                  <w:sz w:val="20"/>
                  <w:u w:val="single"/>
                </w:rPr>
                <w:t>Certification by the Chief Financial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101.INS</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Instance Document - the Instance Document does not appear in the interactive data file because its XBRL tags are embedded within the Inline XBRL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101.CAL</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Calculation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101.LAB</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Label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Cover Page Interactive Data File (formatted as Inline XBRL and contained in Exhibit 101).</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91540"/>
                <wp:effectExtent l="0" t="0" r="0" b="0"/>
                <wp:wrapNone/>
                <wp:docPr id="171" name="Frame5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28" w:type="dxa"/>
                              <w:jc w:val="left"/>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0" descr=""/>
                                                <pic:cNvPicPr>
                                                  <a:picLocks noChangeAspect="1" noChangeArrowheads="1"/>
                                                </pic:cNvPicPr>
                                              </pic:nvPicPr>
                                              <pic:blipFill>
                                                <a:blip r:embed="rId12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28" w:type="dxa"/>
                        <w:jc w:val="left"/>
                        <w:tblInd w:w="0" w:type="dxa"/>
                        <w:tblLayout w:type="fixed"/>
                        <w:tblCellMar>
                          <w:top w:w="28" w:type="dxa"/>
                          <w:left w:w="28" w:type="dxa"/>
                          <w:bottom w:w="28" w:type="dxa"/>
                          <w:right w:w="28" w:type="dxa"/>
                        </w:tblCellMar>
                      </w:tblPr>
                      <w:tblGrid>
                        <w:gridCol w:w="766"/>
                        <w:gridCol w:w="671"/>
                        <w:gridCol w:w="678"/>
                        <w:gridCol w:w="413"/>
                        <w:gridCol w:w="413"/>
                        <w:gridCol w:w="415"/>
                        <w:gridCol w:w="109"/>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First Quarter 2024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0" descr=""/>
                                          <pic:cNvPicPr>
                                            <a:picLocks noChangeAspect="1" noChangeArrowheads="1"/>
                                          </pic:cNvPicPr>
                                        </pic:nvPicPr>
                                        <pic:blipFill>
                                          <a:blip r:embed="rId12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d7cc69752cd840048be6c85b640c391a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tbl>
      <w:tblPr>
        <w:tblW w:w="3324"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721"/>
        <w:gridCol w:w="721"/>
        <w:gridCol w:w="1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1" descr=""/>
                          <pic:cNvPicPr>
                            <a:picLocks noChangeAspect="1" noChangeArrowheads="1"/>
                          </pic:cNvPicPr>
                        </pic:nvPicPr>
                        <pic:blipFill>
                          <a:blip r:embed="rId130"/>
                          <a:stretch>
                            <a:fillRect/>
                          </a:stretch>
                        </pic:blipFill>
                        <pic:spPr bwMode="auto">
                          <a:xfrm>
                            <a:off x="0" y="0"/>
                            <a:ext cx="276225" cy="276225"/>
                          </a:xfrm>
                          <a:prstGeom prst="rect">
                            <a:avLst/>
                          </a:prstGeom>
                        </pic:spPr>
                      </pic:pic>
                    </a:graphicData>
                  </a:graphic>
                </wp:inline>
              </w:drawing>
            </w:r>
          </w:p>
        </w:tc>
        <w:tc>
          <w:tcPr>
            <w:tcW w:w="24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0535A"/>
                <w:sz w:val="44"/>
              </w:rPr>
            </w:pPr>
            <w:r>
              <w:rPr>
                <w:rFonts w:ascii="Calibri;sans-serif" w:hAnsi="Calibri;sans-serif"/>
                <w:b/>
                <w:color w:val="50535A"/>
                <w:sz w:val="44"/>
              </w:rPr>
              <w:t>SIGNATURES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Pursuant to the requirements of the Securities Exchange Act of 1934, the Registrant has duly caused this Report to be signed on its behalf by the undersigned thereunto duly authorized.</w:t>
      </w:r>
    </w:p>
    <w:tbl>
      <w:tblPr>
        <w:tblW w:w="7648" w:type="dxa"/>
        <w:jc w:val="center"/>
        <w:tblInd w:w="0" w:type="dxa"/>
        <w:tblLayout w:type="fixed"/>
        <w:tblCellMar>
          <w:top w:w="28" w:type="dxa"/>
          <w:left w:w="28" w:type="dxa"/>
          <w:bottom w:w="28" w:type="dxa"/>
          <w:right w:w="28" w:type="dxa"/>
        </w:tblCellMar>
      </w:tblPr>
      <w:tblGrid>
        <w:gridCol w:w="190"/>
        <w:gridCol w:w="167"/>
        <w:gridCol w:w="168"/>
        <w:gridCol w:w="369"/>
        <w:gridCol w:w="369"/>
        <w:gridCol w:w="371"/>
        <w:gridCol w:w="240"/>
        <w:gridCol w:w="240"/>
        <w:gridCol w:w="240"/>
        <w:gridCol w:w="1541"/>
        <w:gridCol w:w="1541"/>
        <w:gridCol w:w="2212"/>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BLACKBAUD, INC.</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May 1, 2024</w:t>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By:</w:t>
            </w:r>
          </w:p>
        </w:tc>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Chief Executive Officer, President and Vice Chairman of the Board</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May 1, 2024</w:t>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By:</w:t>
            </w:r>
          </w:p>
        </w:tc>
        <w:tc>
          <w:tcPr>
            <w:tcW w:w="5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91540"/>
                <wp:effectExtent l="0" t="0" r="0" b="0"/>
                <wp:wrapNone/>
                <wp:docPr id="175" name="Frame5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2" descr=""/>
                                                <pic:cNvPicPr>
                                                  <a:picLocks noChangeAspect="1" noChangeArrowheads="1"/>
                                                </pic:cNvPicPr>
                                              </pic:nvPicPr>
                                              <pic:blipFill>
                                                <a:blip r:embed="rId131"/>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407.95pt;mso-position-horizontal:left;mso-position-horizontal-relative:text">
                <v:textbox>
                  <w:txbxContent>
                    <w:tbl>
                      <w:tblPr>
                        <w:tblW w:w="371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28"/>
                        <w:gridCol w:w="628"/>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2" descr=""/>
                                          <pic:cNvPicPr>
                                            <a:picLocks noChangeAspect="1" noChangeArrowheads="1"/>
                                          </pic:cNvPicPr>
                                        </pic:nvPicPr>
                                        <pic:blipFill>
                                          <a:blip r:embed="rId132"/>
                                          <a:stretch>
                                            <a:fillRect/>
                                          </a:stretch>
                                        </pic:blipFill>
                                        <pic:spPr bwMode="auto">
                                          <a:xfrm>
                                            <a:off x="0" y="0"/>
                                            <a:ext cx="723900" cy="190500"/>
                                          </a:xfrm>
                                          <a:prstGeom prst="rect">
                                            <a:avLst/>
                                          </a:prstGeom>
                                        </pic:spPr>
                                      </pic:pic>
                                    </a:graphicData>
                                  </a:graphic>
                                </wp:inline>
                              </w:drawing>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First Quarter 2024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p>
    <w:p>
      <w:pPr>
        <w:pStyle w:val="TextBody"/>
        <w:bidi w:val="0"/>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THIRD AMENDMENT TO CREDIT AGREEMENT </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THIS THIRD AMENDMENT TO CREDIT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dated as of April 30, 2024 (the “</w:t>
      </w:r>
      <w:r>
        <w:rPr>
          <w:rFonts w:ascii="Times New Roman;sans-serif" w:hAnsi="Times New Roman;sans-serif"/>
          <w:b w:val="false"/>
          <w:color w:val="000000"/>
          <w:sz w:val="22"/>
          <w:u w:val="single"/>
        </w:rPr>
        <w:t>Third Amendment Effective Date</w:t>
      </w:r>
      <w:r>
        <w:rPr>
          <w:color w:val="000000"/>
        </w:rPr>
        <w:t>”</w:t>
      </w:r>
      <w:r>
        <w:rPr>
          <w:rFonts w:ascii="Times New Roman;sans-serif" w:hAnsi="Times New Roman;sans-serif"/>
          <w:b w:val="false"/>
          <w:color w:val="000000"/>
          <w:sz w:val="22"/>
        </w:rPr>
        <w:t>), is entered into among BLACKBAUD,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the Lenders party hereto, and BANK OF AMERICA, N.A., a national banking association,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for the Lenders (as hereinafter defined).</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 capitalized terms not otherwise defined herein shall have the meanings attributed thereto in the Credit Agreement (as hereinafter defined).</w:t>
      </w:r>
    </w:p>
    <w:p>
      <w:pPr>
        <w:pStyle w:val="TextBody"/>
        <w:bidi w:val="0"/>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WHEREAS, the Company, the other borrowers from time to time party thereto, the lenders from time to time party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and the Administrative Agent entered into that certain Amended and Restated Credit Agreement, dated as of October 30, 2020 (as amended by that certain LIBOR Transition Amendment, dated as of September 20, 2021, as further amended by that certain First Incremental Term Loan Agreement, dated as of December 31, 2021, as further amended by that certain First Amendment to Credit Agreement, dated as of January 31, 2022, as amended by that certain LIBOR Transition Amendment, dated as of August 26, 2022, the “</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and, the Existing Credit Agreement as amended by this Agreement,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has requested that the Lenders agree to modify certain provisions of the Existing Credit Agreement;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Lenders have agreed to amend the Existing Credit Agreement as provided herein.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agreements contained herein, and for other good and valuable consideration, the receipt and sufficiency of which are hereby acknowledged, the parties hereto agree as follows: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w:t>
        <w:br/>
        <w:t>AMENDMENTS TO EXISTING CREDIT AGREEMENT</w:t>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Amendments to Existing Credit Agreement</w:t>
      </w:r>
      <w:r>
        <w:rPr>
          <w:rFonts w:ascii="Times New Roman;sans-serif" w:hAnsi="Times New Roman;sans-serif"/>
          <w:b w:val="false"/>
          <w:color w:val="000000"/>
          <w:sz w:val="22"/>
        </w:rPr>
        <w:t xml:space="preserve">. Subject to the terms and conditions 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Effective as of the Third Amendment Effective Date, the Existing Credit Agreement is hereby amended to (i)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(ii) add the double underlined text (indicated textually in the same manner as the following example: </w:t>
      </w:r>
      <w:r>
        <w:rPr>
          <w:rFonts w:ascii="Times New Roman;sans-serif" w:hAnsi="Times New Roman;sans-serif"/>
          <w:b w:val="false"/>
          <w:color w:val="074BB9"/>
          <w:sz w:val="22"/>
          <w:u w:val="single"/>
        </w:rPr>
        <w:t>double-underlined text</w:t>
      </w:r>
      <w:r>
        <w:rPr>
          <w:rFonts w:ascii="Times New Roman;sans-serif" w:hAnsi="Times New Roman;sans-serif"/>
          <w:b w:val="false"/>
          <w:color w:val="000000"/>
          <w:sz w:val="22"/>
        </w:rPr>
        <w:t xml:space="preserve">) as set forth in the Credit Agreement attached hereto as </w:t>
      </w:r>
      <w:r>
        <w:rPr>
          <w:rFonts w:ascii="Times New Roman;sans-serif" w:hAnsi="Times New Roman;sans-serif"/>
          <w:b w:val="false"/>
          <w:color w:val="000000"/>
          <w:sz w:val="22"/>
          <w:u w:val="single"/>
        </w:rPr>
        <w:t>Annex I</w:t>
      </w:r>
      <w:r>
        <w:rPr>
          <w:rFonts w:ascii="Times New Roman;sans-serif" w:hAnsi="Times New Roman;sans-serif"/>
          <w:b w:val="false"/>
          <w:color w:val="000000"/>
          <w:sz w:val="22"/>
        </w:rPr>
        <w:t>.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Schedules 1.1(b) (Lenders and Commitments), 6.1(a) (Jurisdictions of Organization), 6.1(b) (Subsidiaries and Capitalization), 6.1(l) (Material Domestic Subsidiaries), 6.1(m) (Labor and Collective Bargaining Agreements), 10.1 (Existing Indebtedness), 10.2 (Existing Liens), 10.3 (Existing Loans, Advances and Investments) and 10.8 (Transactions with Affiliates) to the Existing Credit Agreement are each hereby amended to read in the respective forms attached as </w:t>
      </w:r>
      <w:r>
        <w:rPr>
          <w:rFonts w:ascii="Times New Roman;sans-serif" w:hAnsi="Times New Roman;sans-serif"/>
          <w:b w:val="false"/>
          <w:color w:val="000000"/>
          <w:sz w:val="22"/>
          <w:u w:val="single"/>
        </w:rPr>
        <w:t>Schedule 1.1(b)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6.1(a)</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Schedule 6.1(b)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6.1(l)</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6.1(m)</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10.1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10.2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Schedule 10.3</w:t>
      </w:r>
      <w:r>
        <w:rPr>
          <w:color w:val="000000"/>
        </w:rPr>
        <w:t xml:space="preserve"> </w:t>
      </w:r>
      <w:r>
        <w:rPr>
          <w:rFonts w:ascii="Times New Roman;sans-serif" w:hAnsi="Times New Roman;sans-serif"/>
          <w:b w:val="false"/>
          <w:color w:val="000000"/>
          <w:sz w:val="22"/>
        </w:rPr>
        <w:t>and</w:t>
      </w:r>
      <w:r>
        <w:rPr>
          <w:color w:val="000000"/>
          <w:u w:val="single"/>
        </w:rPr>
        <w:t xml:space="preserve"> </w:t>
      </w:r>
      <w:r>
        <w:rPr>
          <w:rFonts w:ascii="Times New Roman;sans-serif" w:hAnsi="Times New Roman;sans-serif"/>
          <w:b w:val="false"/>
          <w:color w:val="000000"/>
          <w:sz w:val="22"/>
          <w:u w:val="single"/>
        </w:rPr>
        <w:t>Schedule 10.8</w:t>
      </w:r>
      <w:r>
        <w:rPr>
          <w:color w:val="000000"/>
        </w:rPr>
        <w:t xml:space="preserve"> </w:t>
      </w:r>
      <w:r>
        <w:rPr>
          <w:rFonts w:ascii="Times New Roman;sans-serif" w:hAnsi="Times New Roman;sans-serif"/>
          <w:b w:val="false"/>
          <w:color w:val="000000"/>
          <w:sz w:val="22"/>
        </w:rPr>
        <w:t>hereto.</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56540"/>
                <wp:effectExtent l="0" t="0" r="0" b="0"/>
                <wp:wrapNone/>
                <wp:docPr id="178" name="Frame5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(c)    Exhibits B (Form of Loan Notice) and D (Form of Notice of Prepayment) to the Existing Credit Agreement are each hereby amended to read in the respective forms attached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Exhibit 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A new Schedule 4.2 to the Credit Agreement (Day Basis for Designated Currencies) is hereby inserted to read in the form attached as </w:t>
      </w:r>
      <w:r>
        <w:rPr>
          <w:rFonts w:ascii="Times New Roman;sans-serif" w:hAnsi="Times New Roman;sans-serif"/>
          <w:b w:val="false"/>
          <w:color w:val="000000"/>
          <w:sz w:val="22"/>
          <w:u w:val="single"/>
        </w:rPr>
        <w:t>Schedule 4.2</w:t>
      </w:r>
      <w:r>
        <w:rPr>
          <w:color w:val="000000"/>
        </w:rPr>
        <w:t xml:space="preserve"> </w:t>
      </w:r>
      <w:r>
        <w:rPr>
          <w:rFonts w:ascii="Times New Roman;sans-serif" w:hAnsi="Times New Roman;sans-serif"/>
          <w:b w:val="false"/>
          <w:color w:val="000000"/>
          <w:sz w:val="22"/>
        </w:rPr>
        <w:t>hereto.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II</w:t>
        <w:br/>
        <w:t>CONDITIONS TO EFFECTIVENESS</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Closing Conditions</w:t>
      </w:r>
      <w:r>
        <w:rPr>
          <w:rFonts w:ascii="Times New Roman;sans-serif" w:hAnsi="Times New Roman;sans-serif"/>
          <w:b w:val="false"/>
          <w:color w:val="000000"/>
          <w:sz w:val="22"/>
        </w:rPr>
        <w:t>. This Agreement shall be deemed effective as of the Third Amendment Effective Date upon satisfaction (or waiver) of the following conditions (in form and substance reasonably satisfactory to the Administrative Agent):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Executed Amendment</w:t>
      </w:r>
      <w:r>
        <w:rPr>
          <w:rFonts w:ascii="Times New Roman;sans-serif" w:hAnsi="Times New Roman;sans-serif"/>
          <w:b w:val="false"/>
          <w:color w:val="000000"/>
          <w:sz w:val="22"/>
        </w:rPr>
        <w:t>. This Agreement shall have been duly authorized, executed and delivered to the Administrative Agent by the parties hereto, shall be in full force and effect and no Default or Event of Default shall exist hereunder.</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Officer’s Certificate</w:t>
      </w:r>
      <w:r>
        <w:rPr>
          <w:rFonts w:ascii="Times New Roman;sans-serif" w:hAnsi="Times New Roman;sans-serif"/>
          <w:b w:val="false"/>
          <w:color w:val="000000"/>
          <w:sz w:val="22"/>
        </w:rPr>
        <w:t>. The Administrative Agent shall have received a duly executed certificate, in form and substance reasonably satisfactory to the Administrative Agent, from a Responsible Officer of the Company certifying that the conditions set forth in Section 2.1(d) hereof and Sections 5.2(a) and 5.2(b) of the Credit Agreement are satisfied as of the Third Amendment Effective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Certificate of Secretary of each Credit Party</w:t>
      </w:r>
      <w:r>
        <w:rPr>
          <w:rFonts w:ascii="Times New Roman;sans-serif" w:hAnsi="Times New Roman;sans-serif"/>
          <w:b w:val="false"/>
          <w:color w:val="000000"/>
          <w:sz w:val="22"/>
        </w:rPr>
        <w:t xml:space="preserve">. A certificate of a Responsible Officer of each Credit Party certifying as to the incumbency and genuineness of the signature of each officer of such Credit Party executing this Agreement and certifying that attached thereto is a true, correct and complete copy of (A) the articles or certificate of incorporation or formation of such Credit Party and all amendments thereto, certified as of a recent date by the appropriate Governmental Authority in its jurisdiction of incorporation or formation, (B) the bylaws or other governing document of such Credit Party as in effect on the Third Amendment Effective Date, (C) resolutions duly adopted by the board of directors or other governing body of such Credit Party authorizing the transactions contemplated hereunder and the execution, delivery and performance of this Agreement, the Credit Agreement and the other Loan Documents delivered in connection with this Agreement to which it is a party, and (D) certificates as of a recent date of the good standing of each Credit Party under the laws of its jurisdiction of organization;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to the extent there have been no amendments or other modifications to the documents described in clauses (A) and (B) above since the Closing Date (or the date such Credit Party was joined to the Loan Documents, if applicable), instead of attaching such documents, the certificate required pursuant to this </w:t>
      </w:r>
      <w:r>
        <w:rPr>
          <w:rFonts w:ascii="Times New Roman;sans-serif" w:hAnsi="Times New Roman;sans-serif"/>
          <w:b w:val="false"/>
          <w:color w:val="000000"/>
          <w:sz w:val="22"/>
          <w:u w:val="single"/>
        </w:rPr>
        <w:t>Section 2.1(c)</w:t>
      </w:r>
      <w:r>
        <w:rPr>
          <w:color w:val="000000"/>
        </w:rPr>
        <w:t xml:space="preserve"> </w:t>
      </w:r>
      <w:r>
        <w:rPr>
          <w:rFonts w:ascii="Times New Roman;sans-serif" w:hAnsi="Times New Roman;sans-serif"/>
          <w:b w:val="false"/>
          <w:color w:val="000000"/>
          <w:sz w:val="22"/>
        </w:rPr>
        <w:t>may contain a certification of a Responsible Officer of such Credit Party that such documents described in clauses (A) and (B) above have not been amended or otherwise modified since the Closing Date or the date of the applicable joinder, as applicable.</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Consents</w:t>
      </w:r>
      <w:r>
        <w:rPr>
          <w:rFonts w:ascii="Times New Roman;sans-serif" w:hAnsi="Times New Roman;sans-serif"/>
          <w:b w:val="false"/>
          <w:color w:val="000000"/>
          <w:sz w:val="22"/>
        </w:rPr>
        <w:t>. The Administrative Agent shall have received evidence that all boards of directors, governmental, shareholder and material third party consents and approvals necessary in connection with the entering into of this Agreement have been obtained.</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        </w:t>
      </w:r>
      <w:r>
        <w:rPr>
          <w:rFonts w:ascii="Times New Roman;sans-serif" w:hAnsi="Times New Roman;sans-serif"/>
          <w:b w:val="false"/>
          <w:color w:val="000000"/>
          <w:sz w:val="22"/>
        </w:rPr>
        <w:t>(e)    </w:t>
      </w:r>
      <w:r>
        <w:rPr>
          <w:rFonts w:ascii="Times New Roman;sans-serif" w:hAnsi="Times New Roman;sans-serif"/>
          <w:b w:val="false"/>
          <w:color w:val="000000"/>
          <w:sz w:val="22"/>
          <w:u w:val="single"/>
        </w:rPr>
        <w:t>Opinions of Counsel</w:t>
      </w:r>
      <w:r>
        <w:rPr>
          <w:rFonts w:ascii="Times New Roman;sans-serif" w:hAnsi="Times New Roman;sans-serif"/>
          <w:b w:val="false"/>
          <w:color w:val="000000"/>
          <w:sz w:val="22"/>
        </w:rPr>
        <w:t xml:space="preserve">. The Administrative Agent shall have received favorable opinions of counsel to the Credit Parties addressed to the Administrative Agent and the Lenders party hereto with respect to the Credit Parties, this Agreement, the other Loan Documents and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7025"/>
                <wp:effectExtent l="0" t="0" r="0" b="0"/>
                <wp:wrapNone/>
                <wp:docPr id="179" name="Frame5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v:textbox>
                <w10:wrap type="none"/>
              </v:rect>
            </w:pict>
          </mc:Fallback>
        </mc:AlternateContent>
      </w:r>
    </w:p>
    <w:p>
      <w:pPr>
        <w:pStyle w:val="TextBody"/>
        <w:bidi w:val="0"/>
        <w:spacing w:lineRule="auto" w:line="288" w:before="0" w:after="0"/>
        <w:ind w:left="0" w:right="0" w:hanging="720"/>
        <w:jc w:val="both"/>
        <w:rPr/>
      </w:pPr>
      <w:r>
        <w:rPr>
          <w:color w:val="000000"/>
        </w:rPr>
        <w:t>    </w:t>
      </w:r>
      <w:r>
        <w:rPr>
          <w:rFonts w:ascii="Times New Roman;sans-serif" w:hAnsi="Times New Roman;sans-serif"/>
          <w:b w:val="false"/>
          <w:color w:val="000000"/>
          <w:sz w:val="22"/>
        </w:rPr>
        <w:t>such other matters as the Lenders shall request, each in form and substance reasonably satisfactory to the Administrative Agent</w:t>
      </w:r>
      <w:r>
        <w:rPr>
          <w:rFonts w:ascii="Times New Roman;sans-serif" w:hAnsi="Times New Roman;sans-serif"/>
          <w:b w:val="false"/>
          <w:color w:val="000000"/>
          <w:sz w:val="22"/>
          <w:u w:val="single"/>
        </w:rPr>
        <w:t>.</w:t>
      </w:r>
    </w:p>
    <w:p>
      <w:pPr>
        <w:pStyle w:val="TextBody"/>
        <w:bidi w:val="0"/>
        <w:spacing w:lineRule="auto" w:line="288" w:before="240" w:after="240"/>
        <w:ind w:left="0" w:right="0" w:hanging="720"/>
        <w:jc w:val="both"/>
        <w:rPr/>
      </w:pPr>
      <w:r>
        <w:rPr>
          <w:color w:val="000000"/>
        </w:rPr>
        <w:t>        </w:t>
      </w:r>
      <w:r>
        <w:rPr>
          <w:rFonts w:ascii="Times New Roman;sans-serif" w:hAnsi="Times New Roman;sans-serif"/>
          <w:b w:val="false"/>
          <w:color w:val="000000"/>
          <w:sz w:val="22"/>
        </w:rPr>
        <w:t>(f)    </w:t>
      </w:r>
      <w:r>
        <w:rPr>
          <w:rFonts w:ascii="Times New Roman;sans-serif" w:hAnsi="Times New Roman;sans-serif"/>
          <w:b w:val="false"/>
          <w:color w:val="000000"/>
          <w:sz w:val="22"/>
          <w:u w:val="single"/>
        </w:rPr>
        <w:t>Financial Condition Certificate</w:t>
      </w:r>
      <w:r>
        <w:rPr>
          <w:rFonts w:ascii="Times New Roman;sans-serif" w:hAnsi="Times New Roman;sans-serif"/>
          <w:b w:val="false"/>
          <w:color w:val="000000"/>
          <w:sz w:val="22"/>
        </w:rPr>
        <w:t>. The Company shall have delivered to the Administrative Agent a certificate, in form and substance reasonably satisfactory to the Administrative Agent, and certified as accurate by a Responsible Officer of the Company, that (A) after giving effect to the transactions contemplated hereby on the Third Amendment Effective Date, the Company and each of its Restricted Subsidiaries, taken as a whole are Solvent, (B) after giving effect to the transactions contemplated hereby on the Third Amendment Effective Date, the Company is in pro forma compliance with the covenants contained in Section 9.1 and Section 9.2 of the Credit Agreement, and (C) the financial projections previously delivered to the Administrative Agent represent the good faith estimates (utilizing reasonable assumptions) of the financial condition and operations of the Company and its Restricted Subsidiaries, taken as a whole, in all material respects.</w:t>
      </w:r>
    </w:p>
    <w:p>
      <w:pPr>
        <w:pStyle w:val="TextBody"/>
        <w:bidi w:val="0"/>
        <w:spacing w:lineRule="auto" w:line="288" w:before="240" w:after="283"/>
        <w:ind w:left="0" w:right="0" w:hanging="720"/>
        <w:jc w:val="both"/>
        <w:rPr/>
      </w:pPr>
      <w:r>
        <w:rPr>
          <w:color w:val="000000"/>
        </w:rPr>
        <w:t>        </w:t>
      </w:r>
      <w:r>
        <w:rPr>
          <w:rFonts w:ascii="Times New Roman;sans-serif" w:hAnsi="Times New Roman;sans-serif"/>
          <w:b w:val="false"/>
          <w:color w:val="000000"/>
          <w:sz w:val="22"/>
        </w:rPr>
        <w:t>(g)    </w:t>
      </w:r>
      <w:r>
        <w:rPr>
          <w:rFonts w:ascii="Times New Roman;sans-serif" w:hAnsi="Times New Roman;sans-serif"/>
          <w:b w:val="false"/>
          <w:color w:val="000000"/>
          <w:sz w:val="22"/>
          <w:u w:val="single"/>
        </w:rPr>
        <w:t>Anti-Money-Laundering; Beneficial Ownership</w:t>
      </w:r>
      <w:r>
        <w:rPr>
          <w:rFonts w:ascii="Times New Roman;sans-serif" w:hAnsi="Times New Roman;sans-serif"/>
          <w:b w:val="false"/>
          <w:color w:val="000000"/>
          <w:sz w:val="22"/>
        </w:rPr>
        <w:t>. To the extent reasonably requested by any Lender at least ten (10) days prior to the Third Amendment Effective Date, each Credit Party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Credit Party that qualifies as a “legal entity customer” under the Beneficial Ownership Regulation shall have delivered to each Lender that so requests, a Beneficial Ownership Certification in relation to such Credit Party.</w:t>
      </w:r>
    </w:p>
    <w:p>
      <w:pPr>
        <w:pStyle w:val="TextBody"/>
        <w:bidi w:val="0"/>
        <w:spacing w:lineRule="auto" w:line="288" w:before="240" w:after="283"/>
        <w:ind w:left="0" w:right="0" w:hanging="720"/>
        <w:jc w:val="both"/>
        <w:rPr/>
      </w:pPr>
      <w:r>
        <w:rPr>
          <w:color w:val="000000"/>
        </w:rPr>
        <w:t>        </w:t>
      </w:r>
      <w:r>
        <w:rPr>
          <w:rFonts w:ascii="Times New Roman;sans-serif" w:hAnsi="Times New Roman;sans-serif"/>
          <w:b w:val="false"/>
          <w:color w:val="000000"/>
          <w:sz w:val="22"/>
        </w:rPr>
        <w:t>(h)    </w:t>
      </w:r>
      <w:r>
        <w:rPr>
          <w:rFonts w:ascii="Times New Roman;sans-serif" w:hAnsi="Times New Roman;sans-serif"/>
          <w:b w:val="false"/>
          <w:color w:val="000000"/>
          <w:sz w:val="22"/>
          <w:u w:val="single"/>
        </w:rPr>
        <w:t>Lien Search</w:t>
      </w:r>
      <w:r>
        <w:rPr>
          <w:rFonts w:ascii="Times New Roman;sans-serif" w:hAnsi="Times New Roman;sans-serif"/>
          <w:b w:val="false"/>
          <w:color w:val="000000"/>
          <w:sz w:val="22"/>
        </w:rPr>
        <w:t>. The Administrative Agent shall have received the results of a Lien search (including a search as to judgments, pending litigation and tax matters), in form and substance reasonably satisfactory thereto, made against the Credit Parties under the Uniform Commercial Code (or applicable judicial docket) as in effect in each jurisdiction in which filings or recordations under the Uniform Commercial Code should be made to evidence or perfect security interests in substantially all of the assets of such Credit Party, indicating among other things that its assets are free and clear of any Lien except for Permitted Liens.</w:t>
      </w:r>
    </w:p>
    <w:p>
      <w:pPr>
        <w:pStyle w:val="TextBody"/>
        <w:bidi w:val="0"/>
        <w:spacing w:lineRule="auto" w:line="288" w:before="240" w:after="283"/>
        <w:ind w:left="0" w:right="0" w:hanging="720"/>
        <w:jc w:val="both"/>
        <w:rPr/>
      </w:pPr>
      <w:r>
        <w:rPr>
          <w:color w:val="000000"/>
        </w:rPr>
        <w:t>        </w:t>
      </w:r>
      <w:r>
        <w:rPr>
          <w:rFonts w:ascii="Times New Roman;sans-serif" w:hAnsi="Times New Roman;sans-serif"/>
          <w:b w:val="false"/>
          <w:color w:val="000000"/>
          <w:sz w:val="22"/>
        </w:rPr>
        <w:t>(i)    </w:t>
      </w:r>
      <w:r>
        <w:rPr>
          <w:rFonts w:ascii="Times New Roman;sans-serif" w:hAnsi="Times New Roman;sans-serif"/>
          <w:b w:val="false"/>
          <w:color w:val="000000"/>
          <w:sz w:val="22"/>
          <w:u w:val="single"/>
        </w:rPr>
        <w:t>Payment at Closing; Fee Letters</w:t>
      </w:r>
      <w:r>
        <w:rPr>
          <w:rFonts w:ascii="Times New Roman;sans-serif" w:hAnsi="Times New Roman;sans-serif"/>
          <w:b w:val="false"/>
          <w:color w:val="000000"/>
          <w:sz w:val="22"/>
        </w:rPr>
        <w:t>. The Company shall have paid to the Administrative Agent and the Lenders the fees set forth or referenced in Section 4.3 of the Credit Agreement to the extent payable on the Third Amendment Effective Date and any other accrued and unpaid fees due under the Credit Agreement and the other Loan Documents (including, without limitation, reasonable and documented out-of-pocket legal fees and expenses) and to any other Person such amount as may be due thereto in connection with the transactions contemplated hereby, including all taxes, fees and other charges in connection with the execution, delivery, recording, filing and registration of this Agreement or any of the Loan Documents, in each case to the extent invoiced at least two days prior to the Third Amendment Effective Date.</w:t>
      </w:r>
    </w:p>
    <w:p>
      <w:pPr>
        <w:pStyle w:val="TextBody"/>
        <w:bidi w:val="0"/>
        <w:spacing w:lineRule="auto" w:line="288" w:before="240" w:after="283"/>
        <w:ind w:left="0" w:right="0" w:hanging="720"/>
        <w:jc w:val="both"/>
        <w:rPr/>
      </w:pPr>
      <w:r>
        <w:rPr>
          <w:color w:val="000000"/>
        </w:rPr>
        <w:t>        </w:t>
      </w:r>
      <w:r>
        <w:rPr>
          <w:rFonts w:ascii="Times New Roman;sans-serif" w:hAnsi="Times New Roman;sans-serif"/>
          <w:b w:val="false"/>
          <w:color w:val="000000"/>
          <w:sz w:val="22"/>
        </w:rPr>
        <w:t>(j)    </w:t>
      </w:r>
      <w:r>
        <w:rPr>
          <w:rFonts w:ascii="Times New Roman;sans-serif" w:hAnsi="Times New Roman;sans-serif"/>
          <w:b w:val="false"/>
          <w:color w:val="000000"/>
          <w:sz w:val="22"/>
          <w:u w:val="single"/>
        </w:rPr>
        <w:t>Existing Credit Agreement</w:t>
      </w:r>
      <w:r>
        <w:rPr>
          <w:rFonts w:ascii="Times New Roman;sans-serif" w:hAnsi="Times New Roman;sans-serif"/>
          <w:b w:val="false"/>
          <w:color w:val="000000"/>
          <w:sz w:val="22"/>
        </w:rPr>
        <w:t xml:space="preserve">. The Credit Parties shall have (A) paid all accrued and unpaid interest on the term loan outstanding under the Existing Credit Agreement immediately prior to the Third Amendment Effective Date, (B) paid all accrued and unpaid interest on the dollar tranche revolving credit loans outstanding under the Existing Credit Agreement immediately prior to the Third Amendment Effective, (C) paid all accrued and unpaid interest on the designated currency tranche revolving credit loans outstanding under the Existing Credit Agreement immediately prior to the Third Amendment Effective, (D) to the extent necessary, repaid any term loans in excess of the Term Loan Commitments of the Lenders hereunder as of the Third Amendment Effective Date, (E) prepaid any dollar tranche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7025"/>
                <wp:effectExtent l="0" t="0" r="0" b="0"/>
                <wp:wrapNone/>
                <wp:docPr id="180" name="Frame5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v:textbox>
                <w10:wrap type="none"/>
              </v:rect>
            </w:pict>
          </mc:Fallback>
        </mc:AlternateContent>
      </w:r>
    </w:p>
    <w:p>
      <w:pPr>
        <w:pStyle w:val="TextBody"/>
        <w:bidi w:val="0"/>
        <w:spacing w:lineRule="auto" w:line="288" w:before="240" w:after="283"/>
        <w:ind w:left="0" w:right="0" w:hanging="720"/>
        <w:jc w:val="both"/>
        <w:rPr>
          <w:color w:val="000000"/>
        </w:rPr>
      </w:pPr>
      <w:r>
        <w:rPr>
          <w:color w:val="000000"/>
        </w:rPr>
        <w:t>    </w:t>
      </w:r>
      <w:r>
        <w:rPr>
          <w:rFonts w:ascii="Times New Roman;sans-serif" w:hAnsi="Times New Roman;sans-serif"/>
          <w:b w:val="false"/>
          <w:color w:val="000000"/>
          <w:sz w:val="22"/>
        </w:rPr>
        <w:t>credit loans outstanding under the Existing Credit Agreement immediately prior to the Third Amendment Effective to the extent necessary to keep the outstanding Dollar Tranche Revolving Credit Loans ratable with the revised Dollar Tranche Revolving Credit Commitments as of the Third Amendment Effective Date, (F) prepaid any designated currency tranche revolving credit loans outstanding under the Existing Credit Agreement immediately prior to the Third Amendment Effective to the extent necessary to keep the outstanding Designated Currency Tranche Revolving Credit Loans ratable with the revised Designated Currency Tranche Revolving Credit Commitments as of the Third Amendment Effective Date and (G) paid all accrued fees owing to the Lenders under the Credit Agreement immediately prior to the Third Amendment Effective Date.</w:t>
      </w:r>
    </w:p>
    <w:p>
      <w:pPr>
        <w:pStyle w:val="TextBody"/>
        <w:bidi w:val="0"/>
        <w:spacing w:lineRule="auto" w:line="288" w:before="240" w:after="283"/>
        <w:jc w:val="both"/>
        <w:rPr/>
      </w:pPr>
      <w:r>
        <w:rPr>
          <w:rFonts w:ascii="Times New Roman;sans-serif" w:hAnsi="Times New Roman;sans-serif"/>
          <w:b w:val="false"/>
          <w:color w:val="000000"/>
          <w:sz w:val="22"/>
        </w:rPr>
        <w:t xml:space="preserve">Without limiting the generality of the provisions of </w:t>
      </w:r>
      <w:r>
        <w:rPr>
          <w:rFonts w:ascii="Times New Roman;sans-serif" w:hAnsi="Times New Roman;sans-serif"/>
          <w:b w:val="false"/>
          <w:color w:val="000000"/>
          <w:sz w:val="22"/>
          <w:u w:val="single"/>
        </w:rPr>
        <w:t>Section 12.3(c)</w:t>
      </w:r>
      <w:r>
        <w:rPr>
          <w:color w:val="000000"/>
        </w:rPr>
        <w:t xml:space="preserve"> </w:t>
      </w:r>
      <w:r>
        <w:rPr>
          <w:rFonts w:ascii="Times New Roman;sans-serif" w:hAnsi="Times New Roman;sans-serif"/>
          <w:b w:val="false"/>
          <w:color w:val="000000"/>
          <w:sz w:val="22"/>
        </w:rPr>
        <w:t xml:space="preserve">of the Existing Credit Agreement, for purposes of determining compliance with the conditions specified in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Third Amendment Effective Date specifying its objection thereto.</w:t>
      </w:r>
    </w:p>
    <w:p>
      <w:pPr>
        <w:pStyle w:val="TextBody"/>
        <w:bidi w:val="0"/>
        <w:spacing w:lineRule="auto" w:line="288" w:before="240" w:after="240"/>
        <w:ind w:left="0" w:right="0" w:hanging="720"/>
        <w:jc w:val="center"/>
        <w:rPr>
          <w:rFonts w:ascii="Times New Roman;sans-serif" w:hAnsi="Times New Roman;sans-serif"/>
          <w:b/>
          <w:color w:val="000000"/>
          <w:sz w:val="22"/>
        </w:rPr>
      </w:pPr>
      <w:r>
        <w:rPr>
          <w:rFonts w:ascii="Times New Roman;sans-serif" w:hAnsi="Times New Roman;sans-serif"/>
          <w:b/>
          <w:color w:val="000000"/>
          <w:sz w:val="22"/>
        </w:rPr>
        <w:t>ARTICLE III</w:t>
      </w:r>
    </w:p>
    <w:p>
      <w:pPr>
        <w:pStyle w:val="TextBody"/>
        <w:bidi w:val="0"/>
        <w:spacing w:lineRule="auto" w:line="288" w:before="240" w:after="240"/>
        <w:ind w:left="0" w:right="0" w:hanging="720"/>
        <w:jc w:val="center"/>
        <w:rPr>
          <w:rFonts w:ascii="Times New Roman;sans-serif" w:hAnsi="Times New Roman;sans-serif"/>
          <w:b/>
          <w:color w:val="000000"/>
          <w:sz w:val="22"/>
        </w:rPr>
      </w:pPr>
      <w:r>
        <w:rPr>
          <w:rFonts w:ascii="Times New Roman;sans-serif" w:hAnsi="Times New Roman;sans-serif"/>
          <w:b/>
          <w:color w:val="000000"/>
          <w:sz w:val="22"/>
        </w:rPr>
        <w:t>REALLOCATION</w:t>
      </w:r>
    </w:p>
    <w:p>
      <w:pPr>
        <w:pStyle w:val="TextBody"/>
        <w:bidi w:val="0"/>
        <w:spacing w:lineRule="auto" w:line="288" w:before="0" w:after="240"/>
        <w:jc w:val="left"/>
        <w:rPr/>
      </w:pPr>
      <w:r>
        <w:rPr>
          <w:rFonts w:ascii="Times New Roman;sans-serif" w:hAnsi="Times New Roman;sans-serif"/>
          <w:b w:val="false"/>
          <w:color w:val="000000"/>
          <w:sz w:val="22"/>
        </w:rPr>
        <w:t>3.1    </w:t>
      </w:r>
      <w:r>
        <w:rPr>
          <w:rFonts w:ascii="Times New Roman;sans-serif" w:hAnsi="Times New Roman;sans-serif"/>
          <w:b w:val="false"/>
          <w:color w:val="000000"/>
          <w:sz w:val="22"/>
          <w:u w:val="single"/>
        </w:rPr>
        <w:t>New Lender Joinder</w:t>
      </w:r>
      <w:r>
        <w:rPr>
          <w:rFonts w:ascii="Times New Roman;sans-serif" w:hAnsi="Times New Roman;sans-serif"/>
          <w:b w:val="false"/>
          <w:color w:val="000000"/>
          <w:sz w:val="22"/>
        </w:rPr>
        <w:t xml:space="preserve">. </w:t>
      </w:r>
    </w:p>
    <w:p>
      <w:pPr>
        <w:pStyle w:val="TextBody"/>
        <w:bidi w:val="0"/>
        <w:spacing w:lineRule="auto" w:line="288" w:before="240" w:after="283"/>
        <w:ind w:left="0" w:right="0" w:hanging="720"/>
        <w:jc w:val="both"/>
        <w:rPr/>
      </w:pPr>
      <w:r>
        <w:rPr>
          <w:color w:val="000000"/>
        </w:rPr>
        <w:t>        </w:t>
      </w:r>
      <w:r>
        <w:rPr>
          <w:rFonts w:ascii="Times New Roman;sans-serif" w:hAnsi="Times New Roman;sans-serif"/>
          <w:b w:val="false"/>
          <w:color w:val="000000"/>
          <w:sz w:val="22"/>
        </w:rPr>
        <w:t>(a)    Each Lender party hereto that was not party to the Existing Credit Agreement immediately prior to the Third Amendment Effective Date (each, a “</w:t>
      </w:r>
      <w:r>
        <w:rPr>
          <w:rFonts w:ascii="Times New Roman;sans-serif" w:hAnsi="Times New Roman;sans-serif"/>
          <w:b w:val="false"/>
          <w:color w:val="000000"/>
          <w:sz w:val="22"/>
          <w:u w:val="single"/>
        </w:rPr>
        <w:t>New Lender</w:t>
      </w:r>
      <w:r>
        <w:rPr>
          <w:color w:val="000000"/>
        </w:rPr>
        <w:t>”</w:t>
      </w:r>
      <w:r>
        <w:rPr>
          <w:rFonts w:ascii="Times New Roman;sans-serif" w:hAnsi="Times New Roman;sans-serif"/>
          <w:b w:val="false"/>
          <w:color w:val="000000"/>
          <w:sz w:val="22"/>
        </w:rPr>
        <w:t xml:space="preserve">) acknowledges and agrees that upon the occurrence of the Third Amendment Effective Date, (i) it shall be bound under this Agreement and (ii) with respect to its Commitment and its Loans it shall be bound under the Credit Agreement as a Lender holding a Commitment and a Loan for all purposes of, the Credit Agreement and the other Loan Documents, and shall perform all the obligations of and shall have all rights of a Lender thereunder. </w:t>
      </w:r>
    </w:p>
    <w:p>
      <w:pPr>
        <w:pStyle w:val="TextBody"/>
        <w:bidi w:val="0"/>
        <w:spacing w:lineRule="auto" w:line="288" w:before="240" w:after="283"/>
        <w:ind w:left="0" w:right="0" w:hanging="720"/>
        <w:jc w:val="both"/>
        <w:rPr/>
      </w:pPr>
      <w:r>
        <w:rPr>
          <w:color w:val="000000"/>
        </w:rPr>
        <w:t>        </w:t>
      </w:r>
      <w:r>
        <w:rPr>
          <w:rFonts w:ascii="Times New Roman;sans-serif" w:hAnsi="Times New Roman;sans-serif"/>
          <w:b w:val="false"/>
          <w:color w:val="000000"/>
          <w:sz w:val="22"/>
        </w:rPr>
        <w:t>(b)    Each New Lender (i) confirms that it has received a copy of the Credit Agreement and the other Loan Documents and the exhibits and schedules thereto, together with copies of the financial statements referred to therein and such other documents and information as it has deemed appropriate to make its own credit analysis and decision to enter into this Agreement, provide the Loans and perform its obligations under the Credit Agreement; (ii) agrees that it will, independently and without reliance upon the Administrative Agent or any Lender and based on such documents and information as it shall deem appropriate at the time, continue to make its own credit decisions in taking or not taking action under the Credit Agreement; (iii)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and (iv) agrees that it will perform all of the obligations which by the terms of the Credit Agreement are required to be performed by it as a Lender, in accordance with the terms thereof as set forth in the Credit Agreement.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2"/>
        </w:rPr>
        <w:t>3.2    </w:t>
      </w:r>
      <w:r>
        <w:rPr>
          <w:rFonts w:ascii="Times New Roman;sans-serif" w:hAnsi="Times New Roman;sans-serif"/>
          <w:b w:val="false"/>
          <w:color w:val="000000"/>
          <w:sz w:val="22"/>
          <w:u w:val="single"/>
        </w:rPr>
        <w:t>Reallocation of Loans</w:t>
      </w:r>
      <w:r>
        <w:rPr>
          <w:rFonts w:ascii="Times New Roman;sans-serif" w:hAnsi="Times New Roman;sans-serif"/>
          <w:b w:val="false"/>
          <w:color w:val="000000"/>
          <w:sz w:val="22"/>
        </w:rPr>
        <w:t xml:space="preserve">. After giving effect to this Agreement, any Loans outstanding on the date hereof may not be held pro rata by the Lenders in accordance with their respective Designated Currency Tranche Revolving Credit Commitment Percentage, Dollar Tranche Revolving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7025"/>
                <wp:effectExtent l="0" t="0" r="0" b="0"/>
                <wp:wrapNone/>
                <wp:docPr id="181" name="Frame5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2"/>
        </w:rPr>
        <w:t>Commitment Percentage and Term Loan Commitment Percentage. To remedy the foregoing, on the date hereof, to the extent any Loans are then outstanding, the Administrative Agent is authorized to reallocate the Loans (the “</w:t>
      </w:r>
      <w:r>
        <w:rPr>
          <w:rFonts w:ascii="Times New Roman;sans-serif" w:hAnsi="Times New Roman;sans-serif"/>
          <w:b w:val="false"/>
          <w:color w:val="000000"/>
          <w:sz w:val="22"/>
          <w:u w:val="single"/>
        </w:rPr>
        <w:t>Reallocated Loans</w:t>
      </w:r>
      <w:r>
        <w:rPr>
          <w:color w:val="000000"/>
        </w:rPr>
        <w:t>”</w:t>
      </w:r>
      <w:r>
        <w:rPr>
          <w:rFonts w:ascii="Times New Roman;sans-serif" w:hAnsi="Times New Roman;sans-serif"/>
          <w:b w:val="false"/>
          <w:color w:val="000000"/>
          <w:sz w:val="22"/>
        </w:rPr>
        <w:t>) so that after giving effect thereto the Loans will be held by all the Lenders (including the New Lenders) pro rata in accordance with their respective Commitments. From and after the date hereof, Administrative Agent shall make all payments in respect of the Reallocated Loans (including payments of interest, fees, and other amounts) to the respective Lenders that held such Reallocated Loans prior to the date hereof for amounts which have accrued to but excluding the date hereof and to the respective Lenders that held such Reallocated Loans on and after the date hereof for amounts which have accrued from and after the date hereof. If any Reallocated Loans are reallocated as set forth above on any day other than on the last day of an Interest Period applicable thereto, the Borrowers shall pay each Lender the amount that would be payable under Section 4.10 of the Existing Credit Agreement as if such Reallocated Loans had been prepaid on the date hereof.</w:t>
      </w:r>
    </w:p>
    <w:p>
      <w:pPr>
        <w:pStyle w:val="TextBody"/>
        <w:bidi w:val="0"/>
        <w:spacing w:before="0" w:after="0"/>
        <w:ind w:left="0" w:right="0" w:hanging="720"/>
        <w:jc w:val="both"/>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ARTICLE IV</w:t>
        <w:br/>
        <w:t>MISCELLANEOUS</w:t>
      </w:r>
    </w:p>
    <w:p>
      <w:pPr>
        <w:pStyle w:val="TextBody"/>
        <w:bidi w:val="0"/>
        <w:spacing w:before="0" w:after="0"/>
        <w:jc w:val="both"/>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2"/>
        </w:rPr>
        <w:t>4.1    </w:t>
      </w:r>
      <w:r>
        <w:rPr>
          <w:rFonts w:ascii="Times New Roman;sans-serif" w:hAnsi="Times New Roman;sans-serif"/>
          <w:b w:val="false"/>
          <w:color w:val="000000"/>
          <w:sz w:val="22"/>
          <w:u w:val="single"/>
        </w:rPr>
        <w:t>Authority/Enforceability</w:t>
      </w:r>
      <w:r>
        <w:rPr>
          <w:rFonts w:ascii="Times New Roman;sans-serif" w:hAnsi="Times New Roman;sans-serif"/>
          <w:b w:val="false"/>
          <w:color w:val="000000"/>
          <w:sz w:val="22"/>
        </w:rPr>
        <w:t>. Each Credit Party represents and warrants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such Credit Party has the right, power and authority and has taken all necessary corporate and other action to authorize the execution, delivery and performance of this Agreement in accordance with their respective terms;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this Agreement has been duly executed and delivered by the duly authorized officers of such Credit Party and constitutes the legal, valid and binding obligation of such Credit Party,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execution, delivery and performance by such Credit Party of this Agreement do not and will not, by the passage of time, the giving of notice or otherwise, (i) require any material Governmental Approval except any approvals previously or concurrently received or violate any material Applicable Law, in each case relating to the Company or any of its Restricted Subsidiaries, (ii) conflict with, result in a breach of or constitute a default under the articles of incorporation, bylaws or other organizational documents of such Credit Party and (iii) require any consent or authorization of, filing with, or other act in respect of, an arbitrator or Governmental Authority and no consent of any other Person is required in connection with the execution, delivery, performance, validity or enforceability of this Agreement, other than (A) consents, authorizations, filings or other acts or consents obtained or for which the failure to obtain or make could not individually or in the aggregate, reasonably be expected to have a Material Adverse Effect and (B) consents or filings, if any, under the UCC.</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4.2    </w:t>
      </w:r>
      <w:r>
        <w:rPr>
          <w:rFonts w:ascii="Times New Roman;sans-serif" w:hAnsi="Times New Roman;sans-serif"/>
          <w:b w:val="false"/>
          <w:color w:val="000000"/>
          <w:sz w:val="22"/>
          <w:u w:val="single"/>
        </w:rPr>
        <w:t>Representations and Warranties of the Credit Parties</w:t>
      </w:r>
      <w:r>
        <w:rPr>
          <w:rFonts w:ascii="Times New Roman;sans-serif" w:hAnsi="Times New Roman;sans-serif"/>
          <w:b w:val="false"/>
          <w:color w:val="000000"/>
          <w:sz w:val="22"/>
        </w:rPr>
        <w:t xml:space="preserve">. Each Credit Party represents and warrants to the Lenders that after giving effect to this Agreement (a) the representations and warranties contained in Article VI of the Credit Agreement shall (i) with respect to representations and warranties that contain a materiality qualification, be true and correct on and as of the date hereof and (ii) with respect to representations and warranties that do not contain a materiality qualification, be true and correct in all material respects on and as of the date hereof with the same effect as if made on and as of such date, except for any representation and warranty made as of an earlier date, shall (x) with respect to representations and warranties that contain a materiality qualification, be true and correct as of such earlier date and (y) with respect to representations and warranties that do not contain a materiality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7025"/>
                <wp:effectExtent l="0" t="0" r="0" b="0"/>
                <wp:wrapNone/>
                <wp:docPr id="182" name="Frame5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qualification, be true and correct in all material respects as of such earlier date and</w:t>
      </w:r>
      <w:r>
        <w:rPr>
          <w:color w:val="000000"/>
        </w:rPr>
        <w:t xml:space="preserve"> </w:t>
      </w:r>
      <w:r>
        <w:rPr>
          <w:rFonts w:ascii="Times New Roman;sans-serif" w:hAnsi="Times New Roman;sans-serif"/>
          <w:b w:val="false"/>
          <w:color w:val="000000"/>
          <w:sz w:val="22"/>
        </w:rPr>
        <w:t>(b) no event has occurred and is continuing which constitutes a Default or Event of Default.</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4.3    </w:t>
      </w:r>
      <w:r>
        <w:rPr>
          <w:rFonts w:ascii="Times New Roman;sans-serif" w:hAnsi="Times New Roman;sans-serif"/>
          <w:b w:val="false"/>
          <w:color w:val="000000"/>
          <w:sz w:val="22"/>
          <w:u w:val="single"/>
        </w:rPr>
        <w:t>Reaffirmation of Obligations</w:t>
      </w:r>
      <w:r>
        <w:rPr>
          <w:rFonts w:ascii="Times New Roman;sans-serif" w:hAnsi="Times New Roman;sans-serif"/>
          <w:b w:val="false"/>
          <w:color w:val="000000"/>
          <w:sz w:val="22"/>
        </w:rPr>
        <w:t>. Each Credit Party hereby ratifies the Credit Agreement and acknowledges and reaffirms (a) that it is bound by all terms of the Credit Agreement applicable to it and (b) that it is responsible for the observance and full performance of its respective Obligations.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4.4    </w:t>
      </w:r>
      <w:r>
        <w:rPr>
          <w:rFonts w:ascii="Times New Roman;sans-serif" w:hAnsi="Times New Roman;sans-serif"/>
          <w:b w:val="false"/>
          <w:color w:val="000000"/>
          <w:sz w:val="22"/>
          <w:u w:val="single"/>
        </w:rPr>
        <w:t>Loan Document</w:t>
      </w:r>
      <w:r>
        <w:rPr>
          <w:rFonts w:ascii="Times New Roman;sans-serif" w:hAnsi="Times New Roman;sans-serif"/>
          <w:b w:val="false"/>
          <w:color w:val="000000"/>
          <w:sz w:val="22"/>
        </w:rPr>
        <w:t>. This Agreement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Agreement.</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4.5    </w:t>
      </w:r>
      <w:r>
        <w:rPr>
          <w:rFonts w:ascii="Times New Roman;sans-serif" w:hAnsi="Times New Roman;sans-serif"/>
          <w:b w:val="false"/>
          <w:color w:val="000000"/>
          <w:sz w:val="22"/>
          <w:u w:val="single"/>
        </w:rPr>
        <w:t>No Other Changes</w:t>
      </w:r>
      <w:r>
        <w:rPr>
          <w:rFonts w:ascii="Times New Roman;sans-serif" w:hAnsi="Times New Roman;sans-serif"/>
          <w:b w:val="false"/>
          <w:color w:val="000000"/>
          <w:sz w:val="22"/>
        </w:rPr>
        <w:t>. Except as modified hereby, all of the terms and provisions of the Loan Documents shall remain in full force and effect.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4.6    </w:t>
      </w:r>
      <w:r>
        <w:rPr>
          <w:rFonts w:ascii="Times New Roman;sans-serif" w:hAnsi="Times New Roman;sans-serif"/>
          <w:b w:val="false"/>
          <w:color w:val="000000"/>
          <w:sz w:val="22"/>
          <w:u w:val="single"/>
        </w:rPr>
        <w:t>Electronic Execution; Electronic Records</w:t>
      </w:r>
      <w:r>
        <w:rPr>
          <w:rFonts w:ascii="Times New Roman;sans-serif" w:hAnsi="Times New Roman;sans-serif"/>
          <w:b w:val="false"/>
          <w:color w:val="000000"/>
          <w:sz w:val="22"/>
        </w:rPr>
        <w:t>. 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4.7    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4.8    </w:t>
      </w:r>
      <w:r>
        <w:rPr>
          <w:rFonts w:ascii="Times New Roman;sans-serif" w:hAnsi="Times New Roman;sans-serif"/>
          <w:b w:val="false"/>
          <w:color w:val="000000"/>
          <w:sz w:val="22"/>
          <w:u w:val="single"/>
        </w:rPr>
        <w:t>Governing Law; Submission to Jurisdiction; Waiver of Jury Trial</w:t>
      </w:r>
      <w:r>
        <w:rPr>
          <w:rFonts w:ascii="Times New Roman;sans-serif" w:hAnsi="Times New Roman;sans-serif"/>
          <w:b w:val="false"/>
          <w:color w:val="000000"/>
          <w:sz w:val="22"/>
        </w:rPr>
        <w:t xml:space="preserve">. The terms of the Credit Agreement with respect to governing law, submission to jurisdiction, waiver of venue and waiver of jury trial are incorporated herein by reference,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and the parties hereto agree to such terms.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pages follow</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7025"/>
                <wp:effectExtent l="0" t="0" r="0" b="0"/>
                <wp:wrapNone/>
                <wp:docPr id="183" name="Frame5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parties hereto has caused a counterpart of this Agreement to be duly executed and delivered as of the date first above written.</w:t>
      </w:r>
    </w:p>
    <w:p>
      <w:pPr>
        <w:pStyle w:val="TextBody"/>
        <w:bidi w:val="0"/>
        <w:spacing w:before="0" w:after="0"/>
        <w:jc w:val="left"/>
        <w:rPr/>
      </w:pPr>
      <w:r>
        <w:rPr/>
      </w:r>
    </w:p>
    <w:tbl>
      <w:tblPr>
        <w:tblW w:w="7895" w:type="dxa"/>
        <w:jc w:val="left"/>
        <w:tblInd w:w="0" w:type="dxa"/>
        <w:tblLayout w:type="fixed"/>
        <w:tblCellMar>
          <w:top w:w="28" w:type="dxa"/>
          <w:left w:w="28" w:type="dxa"/>
          <w:bottom w:w="28" w:type="dxa"/>
          <w:right w:w="28" w:type="dxa"/>
        </w:tblCellMar>
      </w:tblPr>
      <w:tblGrid>
        <w:gridCol w:w="506"/>
        <w:gridCol w:w="444"/>
        <w:gridCol w:w="446"/>
        <w:gridCol w:w="179"/>
        <w:gridCol w:w="179"/>
        <w:gridCol w:w="179"/>
        <w:gridCol w:w="179"/>
        <w:gridCol w:w="179"/>
        <w:gridCol w:w="179"/>
        <w:gridCol w:w="841"/>
        <w:gridCol w:w="841"/>
        <w:gridCol w:w="841"/>
        <w:gridCol w:w="841"/>
        <w:gridCol w:w="841"/>
        <w:gridCol w:w="848"/>
        <w:gridCol w:w="109"/>
        <w:gridCol w:w="109"/>
        <w:gridCol w:w="154"/>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BORROWER</w:t>
            </w:r>
          </w:p>
        </w:tc>
        <w:tc>
          <w:tcPr>
            <w:tcW w:w="6127"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BLACKBAUD,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Anthony W. Boor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50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Anthony W. Boor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505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and Executive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2580"/>
                <wp:effectExtent l="0" t="0" r="0" b="0"/>
                <wp:wrapNone/>
                <wp:docPr id="184" name="Frame6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p>
      <w:pPr>
        <w:pStyle w:val="TextBody"/>
        <w:bidi w:val="0"/>
        <w:spacing w:before="0" w:after="120"/>
        <w:jc w:val="right"/>
        <w:rPr/>
      </w:pPr>
      <w:r>
        <w:rPr/>
      </w:r>
    </w:p>
    <w:tbl>
      <w:tblPr>
        <w:tblW w:w="6338" w:type="dxa"/>
        <w:jc w:val="left"/>
        <w:tblInd w:w="0" w:type="dxa"/>
        <w:tblLayout w:type="fixed"/>
        <w:tblCellMar>
          <w:top w:w="28" w:type="dxa"/>
          <w:left w:w="28" w:type="dxa"/>
          <w:bottom w:w="28" w:type="dxa"/>
          <w:right w:w="28" w:type="dxa"/>
        </w:tblCellMar>
      </w:tblPr>
      <w:tblGrid>
        <w:gridCol w:w="1060"/>
        <w:gridCol w:w="931"/>
        <w:gridCol w:w="933"/>
        <w:gridCol w:w="245"/>
        <w:gridCol w:w="245"/>
        <w:gridCol w:w="245"/>
        <w:gridCol w:w="245"/>
        <w:gridCol w:w="245"/>
        <w:gridCol w:w="245"/>
        <w:gridCol w:w="262"/>
        <w:gridCol w:w="262"/>
        <w:gridCol w:w="262"/>
        <w:gridCol w:w="262"/>
        <w:gridCol w:w="262"/>
        <w:gridCol w:w="262"/>
        <w:gridCol w:w="109"/>
        <w:gridCol w:w="109"/>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w:t>
            </w:r>
          </w:p>
        </w:tc>
        <w:tc>
          <w:tcPr>
            <w:tcW w:w="3042"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BANK OF AMERICA, 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Liliana Claar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5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Liliana Claar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57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2580"/>
                <wp:effectExtent l="0" t="0" r="0" b="0"/>
                <wp:wrapNone/>
                <wp:docPr id="185" name="Frame6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6657" w:type="dxa"/>
        <w:jc w:val="right"/>
        <w:tblInd w:w="0" w:type="dxa"/>
        <w:tblLayout w:type="fixed"/>
        <w:tblCellMar>
          <w:top w:w="28" w:type="dxa"/>
          <w:left w:w="28" w:type="dxa"/>
          <w:bottom w:w="28" w:type="dxa"/>
          <w:right w:w="28" w:type="dxa"/>
        </w:tblCellMar>
      </w:tblPr>
      <w:tblGrid>
        <w:gridCol w:w="429"/>
        <w:gridCol w:w="377"/>
        <w:gridCol w:w="379"/>
        <w:gridCol w:w="425"/>
        <w:gridCol w:w="425"/>
        <w:gridCol w:w="425"/>
        <w:gridCol w:w="425"/>
        <w:gridCol w:w="425"/>
        <w:gridCol w:w="425"/>
        <w:gridCol w:w="425"/>
        <w:gridCol w:w="425"/>
        <w:gridCol w:w="425"/>
        <w:gridCol w:w="425"/>
        <w:gridCol w:w="425"/>
        <w:gridCol w:w="425"/>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LENDERS:</w:t>
            </w:r>
          </w:p>
        </w:tc>
        <w:tc>
          <w:tcPr>
            <w:tcW w:w="5100"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BANK OF AMERICA, 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 Swingline Lender and an Issuing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Thomas M. Paulk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5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Thomas M. Paulk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55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2580"/>
                <wp:effectExtent l="0" t="0" r="0" b="0"/>
                <wp:wrapNone/>
                <wp:docPr id="186" name="Frame6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5262" w:type="dxa"/>
        <w:jc w:val="right"/>
        <w:tblInd w:w="0" w:type="dxa"/>
        <w:tblLayout w:type="fixed"/>
        <w:tblCellMar>
          <w:top w:w="28" w:type="dxa"/>
          <w:left w:w="28" w:type="dxa"/>
          <w:bottom w:w="28" w:type="dxa"/>
          <w:right w:w="28" w:type="dxa"/>
        </w:tblCellMar>
      </w:tblPr>
      <w:tblGrid>
        <w:gridCol w:w="124"/>
        <w:gridCol w:w="109"/>
        <w:gridCol w:w="109"/>
        <w:gridCol w:w="366"/>
        <w:gridCol w:w="366"/>
        <w:gridCol w:w="366"/>
        <w:gridCol w:w="366"/>
        <w:gridCol w:w="366"/>
        <w:gridCol w:w="366"/>
        <w:gridCol w:w="390"/>
        <w:gridCol w:w="390"/>
        <w:gridCol w:w="390"/>
        <w:gridCol w:w="390"/>
        <w:gridCol w:w="390"/>
        <w:gridCol w:w="4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PNC BANK, NATIONAL ASSOCIATION,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Kentaro Umezono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Kentaro Umezono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5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Assistant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2580"/>
                <wp:effectExtent l="0" t="0" r="0" b="0"/>
                <wp:wrapNone/>
                <wp:docPr id="187" name="Frame6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4020" w:type="dxa"/>
        <w:jc w:val="right"/>
        <w:tblInd w:w="0" w:type="dxa"/>
        <w:tblLayout w:type="fixed"/>
        <w:tblCellMar>
          <w:top w:w="28" w:type="dxa"/>
          <w:left w:w="28" w:type="dxa"/>
          <w:bottom w:w="28" w:type="dxa"/>
          <w:right w:w="28" w:type="dxa"/>
        </w:tblCellMar>
      </w:tblPr>
      <w:tblGrid>
        <w:gridCol w:w="124"/>
        <w:gridCol w:w="109"/>
        <w:gridCol w:w="109"/>
        <w:gridCol w:w="246"/>
        <w:gridCol w:w="246"/>
        <w:gridCol w:w="246"/>
        <w:gridCol w:w="246"/>
        <w:gridCol w:w="246"/>
        <w:gridCol w:w="246"/>
        <w:gridCol w:w="305"/>
        <w:gridCol w:w="305"/>
        <w:gridCol w:w="305"/>
        <w:gridCol w:w="305"/>
        <w:gridCol w:w="305"/>
        <w:gridCol w:w="30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FIFTH THIRD BANK N.A.,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Jason Hessberg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8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Jason Hessberg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83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SVP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22580"/>
                <wp:effectExtent l="0" t="0" r="0" b="0"/>
                <wp:wrapNone/>
                <wp:docPr id="188" name="Frame6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3126" w:type="dxa"/>
        <w:jc w:val="right"/>
        <w:tblInd w:w="0" w:type="dxa"/>
        <w:tblLayout w:type="fixed"/>
        <w:tblCellMar>
          <w:top w:w="28" w:type="dxa"/>
          <w:left w:w="28" w:type="dxa"/>
          <w:bottom w:w="28" w:type="dxa"/>
          <w:right w:w="28" w:type="dxa"/>
        </w:tblCellMar>
      </w:tblPr>
      <w:tblGrid>
        <w:gridCol w:w="124"/>
        <w:gridCol w:w="109"/>
        <w:gridCol w:w="109"/>
        <w:gridCol w:w="152"/>
        <w:gridCol w:w="152"/>
        <w:gridCol w:w="152"/>
        <w:gridCol w:w="152"/>
        <w:gridCol w:w="152"/>
        <w:gridCol w:w="152"/>
        <w:gridCol w:w="250"/>
        <w:gridCol w:w="250"/>
        <w:gridCol w:w="250"/>
        <w:gridCol w:w="250"/>
        <w:gridCol w:w="250"/>
        <w:gridCol w:w="25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TD BANK, N.A.,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Nate Barrett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5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Nate Barrett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50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22580"/>
                <wp:effectExtent l="0" t="0" r="0" b="0"/>
                <wp:wrapNone/>
                <wp:docPr id="189" name="Frame6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5610" w:type="dxa"/>
        <w:jc w:val="right"/>
        <w:tblInd w:w="0" w:type="dxa"/>
        <w:tblLayout w:type="fixed"/>
        <w:tblCellMar>
          <w:top w:w="28" w:type="dxa"/>
          <w:left w:w="28" w:type="dxa"/>
          <w:bottom w:w="28" w:type="dxa"/>
          <w:right w:w="28" w:type="dxa"/>
        </w:tblCellMar>
      </w:tblPr>
      <w:tblGrid>
        <w:gridCol w:w="124"/>
        <w:gridCol w:w="109"/>
        <w:gridCol w:w="109"/>
        <w:gridCol w:w="356"/>
        <w:gridCol w:w="356"/>
        <w:gridCol w:w="356"/>
        <w:gridCol w:w="356"/>
        <w:gridCol w:w="356"/>
        <w:gridCol w:w="356"/>
        <w:gridCol w:w="458"/>
        <w:gridCol w:w="458"/>
        <w:gridCol w:w="458"/>
        <w:gridCol w:w="458"/>
        <w:gridCol w:w="458"/>
        <w:gridCol w:w="47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U.S. BANK NATIONAL ASSOCIATION,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0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Brian Seipke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7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BRIAN SEIPKE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76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22580"/>
                <wp:effectExtent l="0" t="0" r="0" b="0"/>
                <wp:wrapNone/>
                <wp:docPr id="190" name="Frame6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3720" w:type="dxa"/>
        <w:jc w:val="right"/>
        <w:tblInd w:w="0" w:type="dxa"/>
        <w:tblLayout w:type="fixed"/>
        <w:tblCellMar>
          <w:top w:w="28" w:type="dxa"/>
          <w:left w:w="28" w:type="dxa"/>
          <w:bottom w:w="28" w:type="dxa"/>
          <w:right w:w="28" w:type="dxa"/>
        </w:tblCellMar>
      </w:tblPr>
      <w:tblGrid>
        <w:gridCol w:w="124"/>
        <w:gridCol w:w="109"/>
        <w:gridCol w:w="109"/>
        <w:gridCol w:w="166"/>
        <w:gridCol w:w="166"/>
        <w:gridCol w:w="166"/>
        <w:gridCol w:w="166"/>
        <w:gridCol w:w="166"/>
        <w:gridCol w:w="166"/>
        <w:gridCol w:w="335"/>
        <w:gridCol w:w="335"/>
        <w:gridCol w:w="335"/>
        <w:gridCol w:w="335"/>
        <w:gridCol w:w="335"/>
        <w:gridCol w:w="33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REGIONS BANK,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Joanmarie Marini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0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Joanmarie Marini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01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Associate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2580"/>
                <wp:effectExtent l="0" t="0" r="0" b="0"/>
                <wp:wrapNone/>
                <wp:docPr id="191" name="Frame6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3792" w:type="dxa"/>
        <w:jc w:val="right"/>
        <w:tblInd w:w="0" w:type="dxa"/>
        <w:tblLayout w:type="fixed"/>
        <w:tblCellMar>
          <w:top w:w="28" w:type="dxa"/>
          <w:left w:w="28" w:type="dxa"/>
          <w:bottom w:w="28" w:type="dxa"/>
          <w:right w:w="28" w:type="dxa"/>
        </w:tblCellMar>
      </w:tblPr>
      <w:tblGrid>
        <w:gridCol w:w="124"/>
        <w:gridCol w:w="109"/>
        <w:gridCol w:w="109"/>
        <w:gridCol w:w="216"/>
        <w:gridCol w:w="216"/>
        <w:gridCol w:w="216"/>
        <w:gridCol w:w="216"/>
        <w:gridCol w:w="216"/>
        <w:gridCol w:w="216"/>
        <w:gridCol w:w="297"/>
        <w:gridCol w:w="297"/>
        <w:gridCol w:w="297"/>
        <w:gridCol w:w="297"/>
        <w:gridCol w:w="297"/>
        <w:gridCol w:w="2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CITIZENS BANK, N.A.,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Bryan L. Bains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7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Bryan L. Bains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78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22580"/>
                <wp:effectExtent l="0" t="0" r="0" b="0"/>
                <wp:wrapNone/>
                <wp:docPr id="192" name="Frame6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5009" w:type="dxa"/>
        <w:jc w:val="right"/>
        <w:tblInd w:w="0" w:type="dxa"/>
        <w:tblLayout w:type="fixed"/>
        <w:tblCellMar>
          <w:top w:w="28" w:type="dxa"/>
          <w:left w:w="28" w:type="dxa"/>
          <w:bottom w:w="28" w:type="dxa"/>
          <w:right w:w="28" w:type="dxa"/>
        </w:tblCellMar>
      </w:tblPr>
      <w:tblGrid>
        <w:gridCol w:w="124"/>
        <w:gridCol w:w="109"/>
        <w:gridCol w:w="109"/>
        <w:gridCol w:w="357"/>
        <w:gridCol w:w="357"/>
        <w:gridCol w:w="357"/>
        <w:gridCol w:w="357"/>
        <w:gridCol w:w="357"/>
        <w:gridCol w:w="357"/>
        <w:gridCol w:w="357"/>
        <w:gridCol w:w="357"/>
        <w:gridCol w:w="357"/>
        <w:gridCol w:w="357"/>
        <w:gridCol w:w="357"/>
        <w:gridCol w:w="3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THE HUNTINGTON NATIONAL BANK,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Mark J. Neifing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1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Mark J. Neifing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15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2580"/>
                <wp:effectExtent l="0" t="0" r="0" b="0"/>
                <wp:wrapNone/>
                <wp:docPr id="193" name="Frame6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5708" w:type="dxa"/>
        <w:jc w:val="right"/>
        <w:tblInd w:w="0" w:type="dxa"/>
        <w:tblLayout w:type="fixed"/>
        <w:tblCellMar>
          <w:top w:w="28" w:type="dxa"/>
          <w:left w:w="28" w:type="dxa"/>
          <w:bottom w:w="28" w:type="dxa"/>
          <w:right w:w="28" w:type="dxa"/>
        </w:tblCellMar>
      </w:tblPr>
      <w:tblGrid>
        <w:gridCol w:w="124"/>
        <w:gridCol w:w="109"/>
        <w:gridCol w:w="109"/>
        <w:gridCol w:w="416"/>
        <w:gridCol w:w="416"/>
        <w:gridCol w:w="416"/>
        <w:gridCol w:w="416"/>
        <w:gridCol w:w="416"/>
        <w:gridCol w:w="416"/>
        <w:gridCol w:w="416"/>
        <w:gridCol w:w="416"/>
        <w:gridCol w:w="416"/>
        <w:gridCol w:w="416"/>
        <w:gridCol w:w="416"/>
        <w:gridCol w:w="4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FIRST-CITIZENS BANK &amp; TRUST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Sherryn Reckin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4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Sherryn Reckin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49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22580"/>
                <wp:effectExtent l="0" t="0" r="0" b="0"/>
                <wp:wrapNone/>
                <wp:docPr id="194" name="Frame7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4844" w:type="dxa"/>
        <w:jc w:val="right"/>
        <w:tblInd w:w="0" w:type="dxa"/>
        <w:tblLayout w:type="fixed"/>
        <w:tblCellMar>
          <w:top w:w="28" w:type="dxa"/>
          <w:left w:w="28" w:type="dxa"/>
          <w:bottom w:w="28" w:type="dxa"/>
          <w:right w:w="28" w:type="dxa"/>
        </w:tblCellMar>
      </w:tblPr>
      <w:tblGrid>
        <w:gridCol w:w="124"/>
        <w:gridCol w:w="109"/>
        <w:gridCol w:w="109"/>
        <w:gridCol w:w="299"/>
        <w:gridCol w:w="299"/>
        <w:gridCol w:w="299"/>
        <w:gridCol w:w="299"/>
        <w:gridCol w:w="299"/>
        <w:gridCol w:w="299"/>
        <w:gridCol w:w="384"/>
        <w:gridCol w:w="384"/>
        <w:gridCol w:w="384"/>
        <w:gridCol w:w="384"/>
        <w:gridCol w:w="384"/>
        <w:gridCol w:w="4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JPMORGAN CHASE BANK, 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8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Jorge Diaz Granados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33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Jorge Diaz Granados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3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Authorized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22580"/>
                <wp:effectExtent l="0" t="0" r="0" b="0"/>
                <wp:wrapNone/>
                <wp:docPr id="195" name="Frame7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4563" w:type="dxa"/>
        <w:jc w:val="right"/>
        <w:tblInd w:w="0" w:type="dxa"/>
        <w:tblLayout w:type="fixed"/>
        <w:tblCellMar>
          <w:top w:w="28" w:type="dxa"/>
          <w:left w:w="28" w:type="dxa"/>
          <w:bottom w:w="28" w:type="dxa"/>
          <w:right w:w="28" w:type="dxa"/>
        </w:tblCellMar>
      </w:tblPr>
      <w:tblGrid>
        <w:gridCol w:w="124"/>
        <w:gridCol w:w="109"/>
        <w:gridCol w:w="109"/>
        <w:gridCol w:w="289"/>
        <w:gridCol w:w="289"/>
        <w:gridCol w:w="289"/>
        <w:gridCol w:w="289"/>
        <w:gridCol w:w="289"/>
        <w:gridCol w:w="289"/>
        <w:gridCol w:w="352"/>
        <w:gridCol w:w="352"/>
        <w:gridCol w:w="352"/>
        <w:gridCol w:w="352"/>
        <w:gridCol w:w="352"/>
        <w:gridCol w:w="3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GOLDMAN SACHS BANK USA,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8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Dan Starr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11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Dan Starr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115"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2580"/>
                <wp:effectExtent l="0" t="0" r="0" b="0"/>
                <wp:wrapNone/>
                <wp:docPr id="196" name="Frame7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3698" w:type="dxa"/>
        <w:jc w:val="right"/>
        <w:tblInd w:w="0" w:type="dxa"/>
        <w:tblLayout w:type="fixed"/>
        <w:tblCellMar>
          <w:top w:w="28" w:type="dxa"/>
          <w:left w:w="28" w:type="dxa"/>
          <w:bottom w:w="28" w:type="dxa"/>
          <w:right w:w="28" w:type="dxa"/>
        </w:tblCellMar>
      </w:tblPr>
      <w:tblGrid>
        <w:gridCol w:w="124"/>
        <w:gridCol w:w="109"/>
        <w:gridCol w:w="109"/>
        <w:gridCol w:w="243"/>
        <w:gridCol w:w="243"/>
        <w:gridCol w:w="243"/>
        <w:gridCol w:w="243"/>
        <w:gridCol w:w="243"/>
        <w:gridCol w:w="243"/>
        <w:gridCol w:w="253"/>
        <w:gridCol w:w="253"/>
        <w:gridCol w:w="253"/>
        <w:gridCol w:w="253"/>
        <w:gridCol w:w="253"/>
        <w:gridCol w:w="2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SANTANDER BANK, N.A.,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Felix Nebrat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5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Felix Nebrat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526"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SVP UWPM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2580"/>
                <wp:effectExtent l="0" t="0" r="0" b="0"/>
                <wp:wrapNone/>
                <wp:docPr id="197" name="Frame7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4347" w:type="dxa"/>
        <w:jc w:val="right"/>
        <w:tblInd w:w="0" w:type="dxa"/>
        <w:tblLayout w:type="fixed"/>
        <w:tblCellMar>
          <w:top w:w="28" w:type="dxa"/>
          <w:left w:w="28" w:type="dxa"/>
          <w:bottom w:w="28" w:type="dxa"/>
          <w:right w:w="28" w:type="dxa"/>
        </w:tblCellMar>
      </w:tblPr>
      <w:tblGrid>
        <w:gridCol w:w="124"/>
        <w:gridCol w:w="109"/>
        <w:gridCol w:w="109"/>
        <w:gridCol w:w="253"/>
        <w:gridCol w:w="253"/>
        <w:gridCol w:w="253"/>
        <w:gridCol w:w="253"/>
        <w:gridCol w:w="253"/>
        <w:gridCol w:w="253"/>
        <w:gridCol w:w="351"/>
        <w:gridCol w:w="351"/>
        <w:gridCol w:w="351"/>
        <w:gridCol w:w="351"/>
        <w:gridCol w:w="351"/>
        <w:gridCol w:w="3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SOUTHSTATE BANK, N.A.,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Brian Geppi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11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Brian Geppi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115"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22580"/>
                <wp:effectExtent l="0" t="0" r="0" b="0"/>
                <wp:wrapNone/>
                <wp:docPr id="198" name="Frame7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tbl>
      <w:tblPr>
        <w:tblW w:w="4508" w:type="dxa"/>
        <w:jc w:val="right"/>
        <w:tblInd w:w="0" w:type="dxa"/>
        <w:tblLayout w:type="fixed"/>
        <w:tblCellMar>
          <w:top w:w="28" w:type="dxa"/>
          <w:left w:w="28" w:type="dxa"/>
          <w:bottom w:w="28" w:type="dxa"/>
          <w:right w:w="28" w:type="dxa"/>
        </w:tblCellMar>
      </w:tblPr>
      <w:tblGrid>
        <w:gridCol w:w="124"/>
        <w:gridCol w:w="109"/>
        <w:gridCol w:w="109"/>
        <w:gridCol w:w="280"/>
        <w:gridCol w:w="280"/>
        <w:gridCol w:w="280"/>
        <w:gridCol w:w="280"/>
        <w:gridCol w:w="280"/>
        <w:gridCol w:w="280"/>
        <w:gridCol w:w="348"/>
        <w:gridCol w:w="348"/>
        <w:gridCol w:w="348"/>
        <w:gridCol w:w="348"/>
        <w:gridCol w:w="348"/>
        <w:gridCol w:w="37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UNITED COMMUNITY BANK,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2"/>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8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Jeff Wilson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1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Jeff Wilson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11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22580"/>
                <wp:effectExtent l="0" t="0" r="0" b="0"/>
                <wp:wrapNone/>
                <wp:docPr id="199" name="Frame7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BLACKBAUD, INC. </w:t>
                        <w:br/>
                        <w:t xml:space="preserve">THIRD AMENDMENT TO CREDIT AGREEMENT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ANNEX 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80"/>
        <w:jc w:val="right"/>
        <w:rPr/>
      </w:pPr>
      <w:r>
        <w:rPr>
          <w:rFonts w:ascii="Times New Roman;sans-serif" w:hAnsi="Times New Roman;sans-serif"/>
          <w:b w:val="false"/>
          <w:strike/>
          <w:color w:val="FF0000"/>
          <w:sz w:val="24"/>
        </w:rPr>
        <w:t>*This Credit Agreement has been modified by a LIBOR Transition Amendment, dated of September 20, 2021**</w:t>
      </w:r>
      <w:r>
        <w:rPr>
          <w:rFonts w:ascii="Times New Roman;sans-serif" w:hAnsi="Times New Roman;sans-serif"/>
          <w:b w:val="false"/>
          <w:i/>
          <w:color w:val="0000FF"/>
          <w:sz w:val="24"/>
          <w:u w:val="single"/>
        </w:rPr>
        <w:t>EXECUTION VERSION</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454660"/>
                <wp:effectExtent l="0" t="0" r="0" b="0"/>
                <wp:wrapNone/>
                <wp:docPr id="200" name="Frame76"/>
                <a:graphic xmlns:a="http://schemas.openxmlformats.org/drawingml/2006/main">
                  <a:graphicData uri="http://schemas.microsoft.com/office/word/2010/wordprocessingShape">
                    <wps:wsp>
                      <wps:cNvSpPr txBox="1"/>
                      <wps:spPr>
                        <a:xfrm>
                          <a:off x="0" y="0"/>
                          <a:ext cx="6480175" cy="4546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13565900v9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ans-serif" w:hAnsi="Times New Roman;sans-serif"/>
          <w:b w:val="false"/>
          <w:color w:val="000000"/>
          <w:sz w:val="22"/>
        </w:rPr>
        <w:t xml:space="preserve">Published Deal CUSIP: </w:t>
      </w:r>
      <w:r>
        <w:rPr>
          <w:rFonts w:ascii="Times New Roman;sans-serif" w:hAnsi="Times New Roman;sans-serif"/>
          <w:b w:val="false"/>
          <w:strike/>
          <w:color w:val="FF0000"/>
          <w:sz w:val="22"/>
        </w:rPr>
        <w:t>09227UAS0</w:t>
      </w:r>
      <w:r>
        <w:rPr>
          <w:rFonts w:ascii="Times New Roman;sans-serif" w:hAnsi="Times New Roman;sans-serif"/>
          <w:b w:val="false"/>
          <w:color w:val="0000FF"/>
          <w:sz w:val="22"/>
          <w:u w:val="single"/>
        </w:rPr>
        <w:t>09227UAX9</w:t>
      </w:r>
    </w:p>
    <w:p>
      <w:pPr>
        <w:pStyle w:val="TextBody"/>
        <w:bidi w:val="0"/>
        <w:spacing w:lineRule="auto" w:line="288" w:before="0" w:after="0"/>
        <w:jc w:val="right"/>
        <w:rPr/>
      </w:pPr>
      <w:r>
        <w:rPr>
          <w:rFonts w:ascii="Times New Roman;sans-serif" w:hAnsi="Times New Roman;sans-serif"/>
          <w:b w:val="false"/>
          <w:color w:val="000000"/>
          <w:sz w:val="22"/>
        </w:rPr>
        <w:t xml:space="preserve">Dollar Tranche CUSIP: </w:t>
      </w:r>
      <w:r>
        <w:rPr>
          <w:rFonts w:ascii="Times New Roman;sans-serif" w:hAnsi="Times New Roman;sans-serif"/>
          <w:b w:val="false"/>
          <w:strike/>
          <w:color w:val="FF0000"/>
          <w:sz w:val="22"/>
        </w:rPr>
        <w:t>09227UAT8</w:t>
      </w:r>
      <w:r>
        <w:rPr>
          <w:rFonts w:ascii="Times New Roman;sans-serif" w:hAnsi="Times New Roman;sans-serif"/>
          <w:b w:val="false"/>
          <w:color w:val="0000FF"/>
          <w:sz w:val="22"/>
          <w:u w:val="single"/>
        </w:rPr>
        <w:t>09227UBA8</w:t>
      </w:r>
    </w:p>
    <w:p>
      <w:pPr>
        <w:pStyle w:val="TextBody"/>
        <w:bidi w:val="0"/>
        <w:spacing w:lineRule="auto" w:line="288" w:before="0" w:after="0"/>
        <w:jc w:val="right"/>
        <w:rPr/>
      </w:pPr>
      <w:r>
        <w:rPr>
          <w:rFonts w:ascii="Times New Roman;sans-serif" w:hAnsi="Times New Roman;sans-serif"/>
          <w:b w:val="false"/>
          <w:color w:val="000000"/>
          <w:sz w:val="22"/>
        </w:rPr>
        <w:t xml:space="preserve">Designated Currency Tranche CUSIP: </w:t>
      </w:r>
      <w:r>
        <w:rPr>
          <w:rFonts w:ascii="Times New Roman;sans-serif" w:hAnsi="Times New Roman;sans-serif"/>
          <w:b w:val="false"/>
          <w:strike/>
          <w:color w:val="FF0000"/>
          <w:sz w:val="22"/>
        </w:rPr>
        <w:t>09227UAU5</w:t>
      </w:r>
      <w:r>
        <w:rPr>
          <w:rFonts w:ascii="Times New Roman;sans-serif" w:hAnsi="Times New Roman;sans-serif"/>
          <w:b w:val="false"/>
          <w:color w:val="0000FF"/>
          <w:sz w:val="22"/>
          <w:u w:val="single"/>
        </w:rPr>
        <w:t>09227UAY7</w:t>
      </w:r>
    </w:p>
    <w:p>
      <w:pPr>
        <w:pStyle w:val="TextBody"/>
        <w:bidi w:val="0"/>
        <w:spacing w:lineRule="auto" w:line="288" w:before="0" w:after="789"/>
        <w:jc w:val="left"/>
        <w:rPr/>
      </w:pPr>
      <w:r>
        <w:rPr>
          <w:color w:val="000000"/>
        </w:rPr>
        <w:t>        </w:t>
      </w:r>
      <w:r>
        <w:rPr>
          <w:rFonts w:ascii="Times New Roman;sans-serif" w:hAnsi="Times New Roman;sans-serif"/>
          <w:b w:val="false"/>
          <w:color w:val="000000"/>
          <w:sz w:val="22"/>
        </w:rPr>
        <w:t xml:space="preserve">Term Loan CUSIP: </w:t>
      </w:r>
      <w:r>
        <w:rPr>
          <w:rFonts w:ascii="Times New Roman;sans-serif" w:hAnsi="Times New Roman;sans-serif"/>
          <w:b w:val="false"/>
          <w:strike/>
          <w:color w:val="FF0000"/>
          <w:sz w:val="22"/>
        </w:rPr>
        <w:t>09227UAV3</w:t>
      </w:r>
      <w:r>
        <w:rPr>
          <w:rFonts w:ascii="Times New Roman;sans-serif" w:hAnsi="Times New Roman;sans-serif"/>
          <w:b w:val="false"/>
          <w:color w:val="0000FF"/>
          <w:sz w:val="22"/>
          <w:u w:val="single"/>
        </w:rPr>
        <w:t>09227UAZ4</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ANNEX I</w:t>
      </w:r>
    </w:p>
    <w:p>
      <w:pPr>
        <w:pStyle w:val="TextBody"/>
        <w:bidi w:val="0"/>
        <w:spacing w:lineRule="auto" w:line="288" w:before="0" w:after="240"/>
        <w:jc w:val="center"/>
        <w:rPr/>
      </w:pPr>
      <w:r>
        <w:rPr>
          <w:rFonts w:ascii="Times New Roman;sans-serif" w:hAnsi="Times New Roman;sans-serif"/>
          <w:b w:val="false"/>
          <w:color w:val="000000"/>
          <w:sz w:val="22"/>
        </w:rPr>
        <w:t>$</w:t>
      </w:r>
      <w:r>
        <w:rPr>
          <w:rFonts w:ascii="Times New Roman;sans-serif" w:hAnsi="Times New Roman;sans-serif"/>
          <w:b w:val="false"/>
          <w:strike/>
          <w:color w:val="FF0000"/>
          <w:sz w:val="22"/>
        </w:rPr>
        <w:t>900,000,000</w:t>
      </w:r>
      <w:r>
        <w:rPr>
          <w:rFonts w:ascii="Times New Roman;sans-serif" w:hAnsi="Times New Roman;sans-serif"/>
          <w:b w:val="false"/>
          <w:color w:val="0000FF"/>
          <w:sz w:val="22"/>
          <w:u w:val="single"/>
        </w:rPr>
        <w:t>1,500,000,000</w:t>
      </w:r>
    </w:p>
    <w:p>
      <w:pPr>
        <w:pStyle w:val="TextBody"/>
        <w:bidi w:val="0"/>
        <w:spacing w:lineRule="auto" w:line="288" w:before="0" w:after="240"/>
        <w:jc w:val="center"/>
        <w:rPr/>
      </w:pPr>
      <w:r>
        <w:rPr>
          <w:rFonts w:ascii="Times New Roman;sans-serif" w:hAnsi="Times New Roman;sans-serif"/>
          <w:b/>
          <w:strike/>
          <w:color w:val="FF0000"/>
          <w:sz w:val="22"/>
        </w:rPr>
        <w:br/>
        <w:t>AMENDED AND RESTATED</w:t>
      </w:r>
      <w:r>
        <w:rPr>
          <w:rFonts w:ascii="Times New Roman;sans-serif" w:hAnsi="Times New Roman;sans-serif"/>
          <w:b/>
          <w:color w:val="0000FF"/>
          <w:sz w:val="22"/>
          <w:u w:val="single"/>
        </w:rPr>
        <w:t>AMENDED AND RESTATED</w:t>
      </w:r>
      <w:r>
        <w:rPr>
          <w:color w:val="000000"/>
        </w:rPr>
        <w:t xml:space="preserve"> </w:t>
      </w:r>
      <w:r>
        <w:rPr>
          <w:rFonts w:ascii="Times New Roman;sans-serif" w:hAnsi="Times New Roman;sans-serif"/>
          <w:b/>
          <w:color w:val="000000"/>
          <w:sz w:val="22"/>
        </w:rPr>
        <w:t>CREDIT AGREEMENT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October 30, 2020,</w:t>
        <w:br/>
        <w:t>by and among</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BLACKBAUD, INC.</w:t>
      </w:r>
    </w:p>
    <w:p>
      <w:pPr>
        <w:pStyle w:val="TextBody"/>
        <w:bidi w:val="0"/>
        <w:spacing w:lineRule="auto" w:line="288" w:before="0" w:after="240"/>
        <w:jc w:val="center"/>
        <w:rPr/>
      </w:pPr>
      <w:r>
        <w:rPr>
          <w:rFonts w:ascii="Times New Roman;sans-serif" w:hAnsi="Times New Roman;sans-serif"/>
          <w:b/>
          <w:color w:val="000000"/>
          <w:sz w:val="22"/>
        </w:rPr>
        <w:t>AND CERTAIN OF ITS SUBSIDIARIES,</w:t>
        <w:br/>
      </w:r>
      <w:r>
        <w:rPr>
          <w:rFonts w:ascii="Times New Roman;sans-serif" w:hAnsi="Times New Roman;sans-serif"/>
          <w:b w:val="false"/>
          <w:color w:val="000000"/>
          <w:sz w:val="22"/>
        </w:rPr>
        <w:t>as Borrowers,</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the Lenders referred to herein,</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0"/>
        <w:jc w:val="center"/>
        <w:rPr/>
      </w:pPr>
      <w:r>
        <w:rPr>
          <w:rFonts w:ascii="Times New Roman;sans-serif" w:hAnsi="Times New Roman;sans-serif"/>
          <w:b/>
          <w:color w:val="000000"/>
          <w:sz w:val="22"/>
        </w:rPr>
        <w:t>BANK OF AMERICA, N.A.</w:t>
      </w:r>
      <w:r>
        <w:rPr>
          <w:rFonts w:ascii="Times New Roman;sans-serif" w:hAnsi="Times New Roman;sans-serif"/>
          <w:b w:val="false"/>
          <w:color w:val="000000"/>
          <w:sz w:val="22"/>
        </w:rPr>
        <w:t>,</w:t>
        <w:br/>
        <w:t>as Administrative Agent,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Swingline Lender and an Issuing Lender,</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0"/>
        <w:jc w:val="center"/>
        <w:rPr/>
      </w:pPr>
      <w:r>
        <w:rPr>
          <w:rFonts w:ascii="Times New Roman;sans-serif" w:hAnsi="Times New Roman;sans-serif"/>
          <w:b/>
          <w:color w:val="000000"/>
          <w:sz w:val="22"/>
        </w:rPr>
        <w:t>PNC BANK, NATIONAL ASSOCIATION</w:t>
      </w:r>
      <w:r>
        <w:rPr>
          <w:rFonts w:ascii="Times New Roman;sans-serif" w:hAnsi="Times New Roman;sans-serif"/>
          <w:b/>
          <w:strike/>
          <w:color w:val="FF0000"/>
          <w:sz w:val="22"/>
        </w:rPr>
        <w:t>,</w:t>
      </w:r>
    </w:p>
    <w:p>
      <w:pPr>
        <w:pStyle w:val="TextBody"/>
        <w:bidi w:val="0"/>
        <w:spacing w:lineRule="auto" w:line="288" w:before="0" w:after="0"/>
        <w:jc w:val="center"/>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and</w:t>
      </w:r>
    </w:p>
    <w:p>
      <w:pPr>
        <w:pStyle w:val="TextBody"/>
        <w:bidi w:val="0"/>
        <w:spacing w:lineRule="auto" w:line="288" w:before="0" w:after="0"/>
        <w:jc w:val="center"/>
        <w:rPr/>
      </w:pPr>
      <w:r>
        <w:rPr>
          <w:rFonts w:ascii="Times New Roman;sans-serif" w:hAnsi="Times New Roman;sans-serif"/>
          <w:b/>
          <w:color w:val="0000FF"/>
          <w:sz w:val="22"/>
          <w:u w:val="single"/>
        </w:rPr>
        <w:t>FIFTH THIRD BANK, NATIONAL ASSOCIATION</w:t>
      </w:r>
      <w:r>
        <w:rPr>
          <w:rFonts w:ascii="Times New Roman;sans-serif" w:hAnsi="Times New Roman;sans-serif"/>
          <w:b w:val="false"/>
          <w:color w:val="0000FF"/>
          <w:sz w:val="22"/>
          <w:u w:val="single"/>
        </w:rPr>
        <w:t>,</w:t>
      </w:r>
    </w:p>
    <w:p>
      <w:pPr>
        <w:pStyle w:val="TextBody"/>
        <w:bidi w:val="0"/>
        <w:spacing w:lineRule="auto" w:line="288" w:before="0" w:after="240"/>
        <w:jc w:val="center"/>
        <w:rPr/>
      </w:pPr>
      <w:r>
        <w:rPr>
          <w:rFonts w:ascii="Times New Roman;sans-serif" w:hAnsi="Times New Roman;sans-serif"/>
          <w:b w:val="false"/>
          <w:color w:val="000000"/>
          <w:sz w:val="22"/>
        </w:rPr>
        <w:t xml:space="preserve">as Syndication </w:t>
      </w:r>
      <w:r>
        <w:rPr>
          <w:rFonts w:ascii="Times New Roman;sans-serif" w:hAnsi="Times New Roman;sans-serif"/>
          <w:b w:val="false"/>
          <w:strike/>
          <w:color w:val="FF0000"/>
          <w:sz w:val="22"/>
        </w:rPr>
        <w:t>Agent</w:t>
      </w:r>
      <w:r>
        <w:rPr>
          <w:rFonts w:ascii="Times New Roman;sans-serif" w:hAnsi="Times New Roman;sans-serif"/>
          <w:b w:val="false"/>
          <w:color w:val="0000FF"/>
          <w:sz w:val="22"/>
          <w:u w:val="single"/>
        </w:rPr>
        <w:t>Agents</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0"/>
        <w:jc w:val="center"/>
        <w:rPr/>
      </w:pPr>
      <w:r>
        <w:rPr>
          <w:rFonts w:ascii="Times New Roman;sans-serif" w:hAnsi="Times New Roman;sans-serif"/>
          <w:b/>
          <w:color w:val="0000FF"/>
          <w:sz w:val="22"/>
          <w:u w:val="single"/>
        </w:rPr>
        <w:t>CITIZENS BANK, N.A.</w:t>
      </w:r>
      <w:r>
        <w:rPr>
          <w:rFonts w:ascii="Times New Roman;sans-serif" w:hAnsi="Times New Roman;sans-serif"/>
          <w:b w:val="false"/>
          <w:color w:val="0000FF"/>
          <w:sz w:val="22"/>
          <w:u w:val="single"/>
        </w:rPr>
        <w:t>,</w:t>
      </w:r>
    </w:p>
    <w:p>
      <w:pPr>
        <w:pStyle w:val="TextBody"/>
        <w:bidi w:val="0"/>
        <w:spacing w:lineRule="auto" w:line="288" w:before="0" w:after="0"/>
        <w:jc w:val="center"/>
        <w:rPr/>
      </w:pPr>
      <w:r>
        <w:rPr>
          <w:rFonts w:ascii="Times New Roman;sans-serif" w:hAnsi="Times New Roman;sans-serif"/>
          <w:b/>
          <w:strike/>
          <w:color w:val="FF0000"/>
          <w:sz w:val="22"/>
        </w:rPr>
        <w:t>REGIONS BANK</w:t>
      </w:r>
      <w:r>
        <w:rPr>
          <w:rFonts w:ascii="Times New Roman;sans-serif" w:hAnsi="Times New Roman;sans-serif"/>
          <w:b/>
          <w:color w:val="0000FF"/>
          <w:sz w:val="22"/>
          <w:u w:val="single"/>
        </w:rPr>
        <w:t>REGIONS BANK</w:t>
      </w:r>
      <w:r>
        <w:rPr>
          <w:rFonts w:ascii="Times New Roman;sans-serif" w:hAnsi="Times New Roman;sans-serif"/>
          <w:b w:val="false"/>
          <w:color w:val="000000"/>
          <w:sz w:val="22"/>
        </w:rPr>
        <w:t>,</w:t>
      </w:r>
    </w:p>
    <w:p>
      <w:pPr>
        <w:pStyle w:val="TextBody"/>
        <w:bidi w:val="0"/>
        <w:spacing w:lineRule="auto" w:line="288" w:before="0" w:after="0"/>
        <w:jc w:val="center"/>
        <w:rPr/>
      </w:pPr>
      <w:r>
        <w:rPr>
          <w:rFonts w:ascii="Times New Roman;sans-serif" w:hAnsi="Times New Roman;sans-serif"/>
          <w:b/>
          <w:strike/>
          <w:color w:val="FF0000"/>
          <w:sz w:val="22"/>
        </w:rPr>
        <w:t>BBVA USA</w:t>
      </w:r>
      <w:r>
        <w:rPr>
          <w:rFonts w:ascii="Times New Roman;sans-serif" w:hAnsi="Times New Roman;sans-serif"/>
          <w:b/>
          <w:color w:val="0000FF"/>
          <w:sz w:val="22"/>
          <w:u w:val="single"/>
        </w:rPr>
        <w:t>TD BANK</w:t>
      </w:r>
      <w:r>
        <w:rPr>
          <w:rFonts w:ascii="Times New Roman;sans-serif" w:hAnsi="Times New Roman;sans-serif"/>
          <w:b/>
          <w:color w:val="000000"/>
          <w:sz w:val="22"/>
        </w:rPr>
        <w:t>,</w:t>
      </w:r>
      <w:r>
        <w:rPr>
          <w:color w:val="0000FF"/>
          <w:u w:val="single"/>
        </w:rPr>
        <w:t xml:space="preserve"> </w:t>
      </w:r>
      <w:r>
        <w:rPr>
          <w:rFonts w:ascii="Times New Roman;sans-serif" w:hAnsi="Times New Roman;sans-serif"/>
          <w:b/>
          <w:color w:val="0000FF"/>
          <w:sz w:val="22"/>
          <w:u w:val="single"/>
        </w:rPr>
        <w:t>N.A.</w:t>
      </w:r>
      <w:r>
        <w:rPr>
          <w:rFonts w:ascii="Times New Roman;sans-serif" w:hAnsi="Times New Roman;sans-serif"/>
          <w:b w:val="false"/>
          <w:color w:val="0000FF"/>
          <w:sz w:val="22"/>
          <w:u w:val="single"/>
        </w:rPr>
        <w:t>,</w:t>
      </w:r>
    </w:p>
    <w:p>
      <w:pPr>
        <w:pStyle w:val="TextBody"/>
        <w:bidi w:val="0"/>
        <w:spacing w:lineRule="auto" w:line="288" w:before="0" w:after="0"/>
        <w:jc w:val="center"/>
        <w:rPr>
          <w:rFonts w:ascii="Times New Roman;sans-serif" w:hAnsi="Times New Roman;sans-serif"/>
          <w:b/>
          <w:color w:val="0000FF"/>
          <w:sz w:val="22"/>
          <w:u w:val="single"/>
        </w:rPr>
      </w:pPr>
      <w:r>
        <w:rPr>
          <w:rFonts w:ascii="Times New Roman;sans-serif" w:hAnsi="Times New Roman;sans-serif"/>
          <w:b/>
          <w:color w:val="0000FF"/>
          <w:sz w:val="22"/>
          <w:u w:val="single"/>
        </w:rPr>
        <w:t>U.S. BANK NATIONAL ASSOCIATION</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0"/>
        <w:jc w:val="center"/>
        <w:rPr>
          <w:rFonts w:ascii="Times New Roman;sans-serif" w:hAnsi="Times New Roman;sans-serif"/>
          <w:b/>
          <w:strike/>
          <w:color w:val="FF0000"/>
          <w:sz w:val="22"/>
        </w:rPr>
      </w:pPr>
      <w:r>
        <w:rPr>
          <w:rFonts w:ascii="Times New Roman;sans-serif" w:hAnsi="Times New Roman;sans-serif"/>
          <w:b/>
          <w:strike/>
          <w:color w:val="FF0000"/>
          <w:sz w:val="22"/>
        </w:rPr>
        <w:t>FIFTH THIRD BANK, NATIONAL ASSOCIATION,</w:t>
      </w:r>
    </w:p>
    <w:p>
      <w:pPr>
        <w:pStyle w:val="TextBody"/>
        <w:bidi w:val="0"/>
        <w:spacing w:lineRule="auto" w:line="288"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as Co-Documentation Agents</w:t>
      </w:r>
    </w:p>
    <w:p>
      <w:pPr>
        <w:pStyle w:val="TextBody"/>
        <w:bidi w:val="0"/>
        <w:spacing w:lineRule="auto" w:line="288" w:before="0" w:after="240"/>
        <w:jc w:val="center"/>
        <w:rPr/>
      </w:pPr>
      <w:r>
        <w:rPr>
          <w:rFonts w:ascii="Times New Roman;sans-serif" w:hAnsi="Times New Roman;sans-serif"/>
          <w:b/>
          <w:color w:val="0000FF"/>
          <w:sz w:val="22"/>
          <w:u w:val="single"/>
        </w:rPr>
        <w:t xml:space="preserve">THE HUNTINGTON NATIONAL BANK, </w:t>
        <w:br/>
      </w:r>
      <w:r>
        <w:rPr>
          <w:rFonts w:ascii="Times New Roman;sans-serif" w:hAnsi="Times New Roman;sans-serif"/>
          <w:b w:val="false"/>
          <w:color w:val="0000FF"/>
          <w:sz w:val="22"/>
          <w:u w:val="single"/>
        </w:rPr>
        <w:t>as Co-Documentation Agents</w:t>
      </w:r>
    </w:p>
    <w:p>
      <w:pPr>
        <w:pStyle w:val="TextBody"/>
        <w:bidi w:val="0"/>
        <w:spacing w:before="0" w:after="48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65480"/>
                <wp:effectExtent l="0" t="0" r="0" b="0"/>
                <wp:wrapNone/>
                <wp:docPr id="201" name="Frame77"/>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strike/>
                                <w:color w:val="FF0000"/>
                                <w:sz w:val="16"/>
                              </w:rPr>
                              <w:t>13544612v1</w:t>
                            </w:r>
                            <w:r>
                              <w:rPr>
                                <w:rFonts w:ascii="Times New Roman;sans-serif" w:hAnsi="Times New Roman;sans-serif"/>
                                <w:b w:val="false"/>
                                <w:color w:val="0000FF"/>
                                <w:sz w:val="16"/>
                                <w:u w:val="single"/>
                              </w:rPr>
                              <w:t>13544612v17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strike/>
                          <w:color w:val="FF0000"/>
                          <w:sz w:val="16"/>
                        </w:rPr>
                        <w:t>13544612v1</w:t>
                      </w:r>
                      <w:r>
                        <w:rPr>
                          <w:rFonts w:ascii="Times New Roman;sans-serif" w:hAnsi="Times New Roman;sans-serif"/>
                          <w:b w:val="false"/>
                          <w:color w:val="0000FF"/>
                          <w:sz w:val="16"/>
                          <w:u w:val="single"/>
                        </w:rPr>
                        <w:t>13544612v17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with</w:t>
      </w:r>
    </w:p>
    <w:p>
      <w:pPr>
        <w:pStyle w:val="TextBody"/>
        <w:bidi w:val="0"/>
        <w:spacing w:lineRule="auto" w:line="288" w:before="0" w:after="0"/>
        <w:jc w:val="center"/>
        <w:rPr/>
      </w:pPr>
      <w:r>
        <w:rPr>
          <w:rFonts w:ascii="Times New Roman;sans-serif" w:hAnsi="Times New Roman;sans-serif"/>
          <w:b w:val="false"/>
          <w:strike/>
          <w:color w:val="FF0000"/>
          <w:sz w:val="22"/>
        </w:rPr>
        <w:br/>
      </w:r>
      <w:r>
        <w:rPr>
          <w:rFonts w:ascii="Times New Roman;sans-serif" w:hAnsi="Times New Roman;sans-serif"/>
          <w:b/>
          <w:strike/>
          <w:color w:val="FF0000"/>
          <w:sz w:val="22"/>
        </w:rPr>
        <w:t>BofA SECURITIES, INC</w:t>
      </w:r>
      <w:r>
        <w:rPr>
          <w:rFonts w:ascii="Times New Roman;sans-serif" w:hAnsi="Times New Roman;sans-serif"/>
          <w:b/>
          <w:color w:val="0000FF"/>
          <w:sz w:val="22"/>
          <w:u w:val="single"/>
        </w:rPr>
        <w:t>BOFA SECURITIES, INC</w:t>
      </w:r>
      <w:r>
        <w:rPr>
          <w:rFonts w:ascii="Times New Roman;sans-serif" w:hAnsi="Times New Roman;sans-serif"/>
          <w:b/>
          <w:color w:val="000000"/>
          <w:sz w:val="22"/>
        </w:rPr>
        <w:t>.</w:t>
      </w:r>
      <w:r>
        <w:rPr>
          <w:rFonts w:ascii="Times New Roman;sans-serif" w:hAnsi="Times New Roman;sans-serif"/>
          <w:b w:val="false"/>
          <w:color w:val="000000"/>
          <w:sz w:val="22"/>
        </w:rPr>
        <w:t>,</w:t>
      </w:r>
    </w:p>
    <w:p>
      <w:pPr>
        <w:pStyle w:val="TextBody"/>
        <w:bidi w:val="0"/>
        <w:spacing w:lineRule="auto" w:line="288" w:before="0" w:after="0"/>
        <w:jc w:val="center"/>
        <w:rPr/>
      </w:pPr>
      <w:r>
        <w:rPr>
          <w:rFonts w:ascii="Times New Roman;sans-serif" w:hAnsi="Times New Roman;sans-serif"/>
          <w:b/>
          <w:color w:val="000000"/>
          <w:sz w:val="22"/>
        </w:rPr>
        <w:t xml:space="preserve">PNC </w:t>
      </w:r>
      <w:r>
        <w:rPr>
          <w:rFonts w:ascii="Times New Roman;sans-serif" w:hAnsi="Times New Roman;sans-serif"/>
          <w:b/>
          <w:strike/>
          <w:color w:val="FF0000"/>
          <w:sz w:val="22"/>
        </w:rPr>
        <w:t xml:space="preserve">BANK, NATIONAL ASSOCIATION, </w:t>
      </w:r>
      <w:r>
        <w:rPr>
          <w:rFonts w:ascii="Times New Roman;sans-serif" w:hAnsi="Times New Roman;sans-serif"/>
          <w:b/>
          <w:color w:val="0000FF"/>
          <w:sz w:val="22"/>
          <w:u w:val="single"/>
        </w:rPr>
        <w:t>BANK, NATIONAL ASSOCIATION</w:t>
      </w:r>
    </w:p>
    <w:p>
      <w:pPr>
        <w:pStyle w:val="TextBody"/>
        <w:bidi w:val="0"/>
        <w:spacing w:lineRule="auto" w:line="288" w:before="0" w:after="0"/>
        <w:jc w:val="center"/>
        <w:rPr>
          <w:rFonts w:ascii="Times New Roman;sans-serif" w:hAnsi="Times New Roman;sans-serif"/>
          <w:b/>
          <w:strike/>
          <w:color w:val="FF0000"/>
          <w:sz w:val="22"/>
        </w:rPr>
      </w:pPr>
      <w:r>
        <w:rPr>
          <w:rFonts w:ascii="Times New Roman;sans-serif" w:hAnsi="Times New Roman;sans-serif"/>
          <w:b/>
          <w:strike/>
          <w:color w:val="FF0000"/>
          <w:sz w:val="22"/>
        </w:rPr>
        <w:t>REGIONS CAPITAL MARKETS,</w:t>
      </w:r>
    </w:p>
    <w:p>
      <w:pPr>
        <w:pStyle w:val="TextBody"/>
        <w:bidi w:val="0"/>
        <w:spacing w:lineRule="auto" w:line="288" w:before="0" w:after="0"/>
        <w:jc w:val="center"/>
        <w:rPr>
          <w:rFonts w:ascii="Times New Roman;sans-serif" w:hAnsi="Times New Roman;sans-serif"/>
          <w:b/>
          <w:strike/>
          <w:color w:val="FF0000"/>
          <w:sz w:val="22"/>
        </w:rPr>
      </w:pPr>
      <w:r>
        <w:rPr>
          <w:rFonts w:ascii="Times New Roman;sans-serif" w:hAnsi="Times New Roman;sans-serif"/>
          <w:b/>
          <w:strike/>
          <w:color w:val="FF0000"/>
          <w:sz w:val="22"/>
        </w:rPr>
        <w:t>BBVA USA,</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88" w:before="0" w:after="0"/>
        <w:jc w:val="center"/>
        <w:rPr/>
      </w:pPr>
      <w:r>
        <w:rPr>
          <w:rFonts w:ascii="Times New Roman;sans-serif" w:hAnsi="Times New Roman;sans-serif"/>
          <w:b/>
          <w:color w:val="0000FF"/>
          <w:sz w:val="22"/>
          <w:u w:val="single"/>
        </w:rPr>
        <w:t>FIFTH THIRD BANK, NATIONAL ASSOCIATION</w:t>
      </w:r>
      <w:r>
        <w:rPr>
          <w:rFonts w:ascii="Times New Roman;sans-serif" w:hAnsi="Times New Roman;sans-serif"/>
          <w:b w:val="false"/>
          <w:color w:val="0000FF"/>
          <w:sz w:val="22"/>
          <w:u w:val="single"/>
        </w:rPr>
        <w:t>,</w:t>
      </w:r>
    </w:p>
    <w:p>
      <w:pPr>
        <w:pStyle w:val="TextBody"/>
        <w:bidi w:val="0"/>
        <w:spacing w:lineRule="auto" w:line="288" w:before="0" w:after="0"/>
        <w:jc w:val="center"/>
        <w:rPr/>
      </w:pPr>
      <w:r>
        <w:rPr>
          <w:rFonts w:ascii="Times New Roman;sans-serif" w:hAnsi="Times New Roman;sans-serif"/>
          <w:b/>
          <w:strike/>
          <w:color w:val="FF0000"/>
          <w:sz w:val="22"/>
        </w:rPr>
        <w:t>FIFTH THIRD BANK, NATIONAL ASSOCIATION,</w:t>
        <w:br/>
      </w:r>
      <w:r>
        <w:rPr>
          <w:rFonts w:ascii="Times New Roman;sans-serif" w:hAnsi="Times New Roman;sans-serif"/>
          <w:b w:val="false"/>
          <w:color w:val="000000"/>
          <w:sz w:val="22"/>
        </w:rPr>
        <w:t>as Joint Lead Arrangers and Joint Bookrunners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665480"/>
                <wp:effectExtent l="0" t="0" r="0" b="0"/>
                <wp:wrapNone/>
                <wp:docPr id="202" name="Frame78"/>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strike/>
                                <w:color w:val="FF0000"/>
                                <w:sz w:val="16"/>
                              </w:rPr>
                              <w:t>13544612v1</w:t>
                            </w:r>
                            <w:r>
                              <w:rPr>
                                <w:rFonts w:ascii="Times New Roman;sans-serif" w:hAnsi="Times New Roman;sans-serif"/>
                                <w:b w:val="false"/>
                                <w:color w:val="0000FF"/>
                                <w:sz w:val="16"/>
                                <w:u w:val="single"/>
                              </w:rPr>
                              <w:t>13544612v17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strike/>
                          <w:color w:val="FF0000"/>
                          <w:sz w:val="16"/>
                        </w:rPr>
                        <w:t>13544612v1</w:t>
                      </w:r>
                      <w:r>
                        <w:rPr>
                          <w:rFonts w:ascii="Times New Roman;sans-serif" w:hAnsi="Times New Roman;sans-serif"/>
                          <w:b w:val="false"/>
                          <w:color w:val="0000FF"/>
                          <w:sz w:val="16"/>
                          <w:u w:val="single"/>
                        </w:rPr>
                        <w:t>13544612v17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ans-serif" w:hAnsi="Times New Roman;sans-serif"/>
          <w:b/>
          <w:color w:val="000000"/>
          <w:sz w:val="22"/>
        </w:rPr>
      </w:pPr>
      <w:r>
        <w:rPr>
          <w:rFonts w:ascii="Times New Roman;sans-serif" w:hAnsi="Times New Roman;sans-serif"/>
          <w:b/>
          <w:color w:val="000000"/>
          <w:sz w:val="22"/>
        </w:rPr>
        <w:t>TABLE OF CONTENTS</w:t>
      </w:r>
    </w:p>
    <w:p>
      <w:pPr>
        <w:pStyle w:val="TextBody"/>
        <w:bidi w:val="0"/>
        <w:spacing w:lineRule="auto" w:line="288" w:before="0" w:after="12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I DEFINITIONS</w:t>
      </w:r>
      <w:r>
        <w:rPr>
          <w:color w:val="000000"/>
        </w:rPr>
        <w:t>    </w:t>
      </w:r>
      <w:r>
        <w:rPr>
          <w:rFonts w:ascii="Times New Roman;sans-serif" w:hAnsi="Times New Roman;sans-serif"/>
          <w:b w:val="false"/>
          <w:color w:val="000000"/>
          <w:sz w:val="22"/>
        </w:rPr>
        <w:t>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1.1</w:t>
      </w:r>
      <w:r>
        <w:rPr>
          <w:color w:val="000000"/>
        </w:rPr>
        <w:t>    </w:t>
      </w:r>
      <w:r>
        <w:rPr>
          <w:rFonts w:ascii="Times New Roman;sans-serif" w:hAnsi="Times New Roman;sans-serif"/>
          <w:b/>
          <w:color w:val="0000FF"/>
          <w:sz w:val="22"/>
          <w:u w:val="single"/>
        </w:rPr>
        <w:t>Definitions</w:t>
      </w:r>
      <w:r>
        <w:rPr>
          <w:rFonts w:ascii="Times New Roman;sans-serif" w:hAnsi="Times New Roman;sans-serif"/>
          <w:b/>
          <w:strike/>
          <w:color w:val="FF0000"/>
          <w:sz w:val="22"/>
          <w:u w:val="single"/>
        </w:rPr>
        <w:t>.</w:t>
      </w:r>
      <w:r>
        <w:rPr>
          <w:color w:val="000000"/>
        </w:rPr>
        <w:t>    </w:t>
      </w:r>
      <w:r>
        <w:rPr>
          <w:rFonts w:ascii="Times New Roman;sans-serif" w:hAnsi="Times New Roman;sans-serif"/>
          <w:b/>
          <w:color w:val="000000"/>
          <w:sz w:val="22"/>
        </w:rPr>
        <w:t>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w:t>
      </w:r>
      <w:r>
        <w:rPr>
          <w:color w:val="000000"/>
        </w:rPr>
        <w:t>    </w:t>
      </w:r>
      <w:r>
        <w:rPr>
          <w:rFonts w:ascii="Times New Roman;sans-serif" w:hAnsi="Times New Roman;sans-serif"/>
          <w:b/>
          <w:color w:val="0000FF"/>
          <w:sz w:val="22"/>
          <w:u w:val="single"/>
        </w:rPr>
        <w:t>Other Definitions and Provisions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36</w:t>
      </w:r>
      <w:r>
        <w:rPr>
          <w:rFonts w:ascii="Times New Roman;sans-serif" w:hAnsi="Times New Roman;sans-serif"/>
          <w:b/>
          <w:color w:val="0000FF"/>
          <w:sz w:val="22"/>
          <w:u w:val="single"/>
        </w:rPr>
        <w:t>38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w:t>
      </w:r>
      <w:r>
        <w:rPr>
          <w:color w:val="000000"/>
        </w:rPr>
        <w:t>    </w:t>
      </w:r>
      <w:r>
        <w:rPr>
          <w:rFonts w:ascii="Times New Roman;sans-serif" w:hAnsi="Times New Roman;sans-serif"/>
          <w:b/>
          <w:color w:val="0000FF"/>
          <w:sz w:val="22"/>
          <w:u w:val="single"/>
        </w:rPr>
        <w:t>Accounting Terms</w:t>
      </w:r>
      <w:r>
        <w:rPr>
          <w:rFonts w:ascii="Times New Roman;sans-serif" w:hAnsi="Times New Roman;sans-serif"/>
          <w:b/>
          <w:strike/>
          <w:color w:val="FF0000"/>
          <w:sz w:val="22"/>
          <w:u w:val="single"/>
        </w:rPr>
        <w:t>.</w:t>
      </w:r>
      <w:r>
        <w:rPr>
          <w:rFonts w:ascii="Times New Roman;sans-serif" w:hAnsi="Times New Roman;sans-serif"/>
          <w:b/>
          <w:color w:val="0000FF"/>
          <w:sz w:val="22"/>
          <w:u w:val="single"/>
        </w:rPr>
        <w:t>; Limited Condition Transactions</w:t>
      </w:r>
      <w:r>
        <w:rPr>
          <w:color w:val="000000"/>
        </w:rPr>
        <w:t>    </w:t>
      </w:r>
      <w:r>
        <w:rPr>
          <w:rFonts w:ascii="Times New Roman;sans-serif" w:hAnsi="Times New Roman;sans-serif"/>
          <w:b/>
          <w:strike/>
          <w:color w:val="FF0000"/>
          <w:sz w:val="22"/>
        </w:rPr>
        <w:t>37</w:t>
      </w:r>
      <w:r>
        <w:rPr>
          <w:rFonts w:ascii="Times New Roman;sans-serif" w:hAnsi="Times New Roman;sans-serif"/>
          <w:b/>
          <w:color w:val="0000FF"/>
          <w:sz w:val="22"/>
          <w:u w:val="single"/>
        </w:rPr>
        <w:t>39</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1.4</w:t>
      </w:r>
      <w:r>
        <w:rPr>
          <w:color w:val="000000"/>
        </w:rPr>
        <w:t>    </w:t>
      </w:r>
      <w:r>
        <w:rPr>
          <w:rFonts w:ascii="Times New Roman;sans-serif" w:hAnsi="Times New Roman;sans-serif"/>
          <w:b/>
          <w:color w:val="0000FF"/>
          <w:sz w:val="22"/>
          <w:u w:val="single"/>
        </w:rPr>
        <w:t>UCC Terms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38</w:t>
      </w:r>
      <w:r>
        <w:rPr>
          <w:rFonts w:ascii="Times New Roman;sans-serif" w:hAnsi="Times New Roman;sans-serif"/>
          <w:b/>
          <w:color w:val="0000FF"/>
          <w:sz w:val="22"/>
          <w:u w:val="single"/>
        </w:rPr>
        <w:t>41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1.5</w:t>
      </w:r>
      <w:r>
        <w:rPr>
          <w:color w:val="000000"/>
        </w:rPr>
        <w:t>    </w:t>
      </w:r>
      <w:r>
        <w:rPr>
          <w:rFonts w:ascii="Times New Roman;sans-serif" w:hAnsi="Times New Roman;sans-serif"/>
          <w:b/>
          <w:color w:val="0000FF"/>
          <w:sz w:val="22"/>
          <w:u w:val="single"/>
        </w:rPr>
        <w:t>Rounding</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38</w:t>
      </w:r>
      <w:r>
        <w:rPr>
          <w:rFonts w:ascii="Times New Roman;sans-serif" w:hAnsi="Times New Roman;sans-serif"/>
          <w:b/>
          <w:color w:val="0000FF"/>
          <w:sz w:val="22"/>
          <w:u w:val="single"/>
        </w:rPr>
        <w:t>41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1.6</w:t>
      </w:r>
      <w:r>
        <w:rPr>
          <w:color w:val="000000"/>
        </w:rPr>
        <w:t>    </w:t>
      </w:r>
      <w:r>
        <w:rPr>
          <w:rFonts w:ascii="Times New Roman;sans-serif" w:hAnsi="Times New Roman;sans-serif"/>
          <w:b/>
          <w:strike/>
          <w:color w:val="FF0000"/>
          <w:sz w:val="22"/>
          <w:u w:val="single"/>
        </w:rPr>
        <w:t>[Intentionally Omitted].</w:t>
      </w:r>
      <w:r>
        <w:rPr>
          <w:rFonts w:ascii="Times New Roman;sans-serif" w:hAnsi="Times New Roman;sans-serif"/>
          <w:b/>
          <w:color w:val="0000FF"/>
          <w:sz w:val="22"/>
          <w:u w:val="single"/>
        </w:rPr>
        <w:t>Interest Rates</w:t>
      </w:r>
      <w:r>
        <w:rPr>
          <w:color w:val="000000"/>
        </w:rPr>
        <w:t>    </w:t>
      </w:r>
      <w:r>
        <w:rPr>
          <w:rFonts w:ascii="Times New Roman;sans-serif" w:hAnsi="Times New Roman;sans-serif"/>
          <w:b/>
          <w:strike/>
          <w:color w:val="FF0000"/>
          <w:sz w:val="22"/>
        </w:rPr>
        <w:t>38</w:t>
      </w:r>
      <w:r>
        <w:rPr>
          <w:rFonts w:ascii="Times New Roman;sans-serif" w:hAnsi="Times New Roman;sans-serif"/>
          <w:b/>
          <w:color w:val="0000FF"/>
          <w:sz w:val="22"/>
          <w:u w:val="single"/>
        </w:rPr>
        <w:t>41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1.7</w:t>
      </w:r>
      <w:r>
        <w:rPr>
          <w:color w:val="000000"/>
        </w:rPr>
        <w:t>    </w:t>
      </w:r>
      <w:r>
        <w:rPr>
          <w:rFonts w:ascii="Times New Roman;sans-serif" w:hAnsi="Times New Roman;sans-serif"/>
          <w:b/>
          <w:color w:val="0000FF"/>
          <w:sz w:val="22"/>
          <w:u w:val="single"/>
        </w:rPr>
        <w:t>Letter of Credit Amounts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38</w:t>
      </w:r>
      <w:r>
        <w:rPr>
          <w:rFonts w:ascii="Times New Roman;sans-serif" w:hAnsi="Times New Roman;sans-serif"/>
          <w:b/>
          <w:color w:val="0000FF"/>
          <w:sz w:val="22"/>
          <w:u w:val="single"/>
        </w:rPr>
        <w:t>41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1.8</w:t>
      </w:r>
      <w:r>
        <w:rPr>
          <w:color w:val="000000"/>
        </w:rPr>
        <w:t>    </w:t>
      </w:r>
      <w:r>
        <w:rPr>
          <w:rFonts w:ascii="Times New Roman;sans-serif" w:hAnsi="Times New Roman;sans-serif"/>
          <w:b/>
          <w:color w:val="0000FF"/>
          <w:sz w:val="22"/>
          <w:u w:val="single"/>
        </w:rPr>
        <w:t>Exchange Rates; Currency Equivalents</w:t>
      </w:r>
      <w:r>
        <w:rPr>
          <w:color w:val="000000"/>
        </w:rPr>
        <w:t>    </w:t>
      </w:r>
      <w:r>
        <w:rPr>
          <w:rFonts w:ascii="Times New Roman;sans-serif" w:hAnsi="Times New Roman;sans-serif"/>
          <w:b/>
          <w:strike/>
          <w:color w:val="FF0000"/>
          <w:sz w:val="22"/>
        </w:rPr>
        <w:t>38</w:t>
      </w:r>
      <w:r>
        <w:rPr>
          <w:rFonts w:ascii="Times New Roman;sans-serif" w:hAnsi="Times New Roman;sans-serif"/>
          <w:b/>
          <w:color w:val="0000FF"/>
          <w:sz w:val="22"/>
          <w:u w:val="single"/>
        </w:rPr>
        <w:t>41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1.9</w:t>
      </w:r>
      <w:r>
        <w:rPr>
          <w:color w:val="000000"/>
        </w:rPr>
        <w:t>    </w:t>
      </w:r>
      <w:r>
        <w:rPr>
          <w:rFonts w:ascii="Times New Roman;sans-serif" w:hAnsi="Times New Roman;sans-serif"/>
          <w:b/>
          <w:color w:val="0000FF"/>
          <w:sz w:val="22"/>
          <w:u w:val="single"/>
        </w:rPr>
        <w:t xml:space="preserve">Additional </w:t>
      </w:r>
      <w:r>
        <w:rPr>
          <w:rFonts w:ascii="Times New Roman;sans-serif" w:hAnsi="Times New Roman;sans-serif"/>
          <w:b/>
          <w:strike/>
          <w:color w:val="FF0000"/>
          <w:sz w:val="22"/>
          <w:u w:val="single"/>
        </w:rPr>
        <w:t>Foreign</w:t>
      </w:r>
      <w:r>
        <w:rPr>
          <w:rFonts w:ascii="Times New Roman;sans-serif" w:hAnsi="Times New Roman;sans-serif"/>
          <w:b/>
          <w:color w:val="0000FF"/>
          <w:sz w:val="22"/>
          <w:u w:val="single"/>
        </w:rPr>
        <w:t>Designated Currencies</w:t>
      </w:r>
      <w:r>
        <w:rPr>
          <w:color w:val="000000"/>
        </w:rPr>
        <w:t>    </w:t>
      </w:r>
      <w:r>
        <w:rPr>
          <w:rFonts w:ascii="Times New Roman;sans-serif" w:hAnsi="Times New Roman;sans-serif"/>
          <w:b/>
          <w:strike/>
          <w:color w:val="FF0000"/>
          <w:sz w:val="22"/>
        </w:rPr>
        <w:t>39</w:t>
      </w:r>
      <w:r>
        <w:rPr>
          <w:rFonts w:ascii="Times New Roman;sans-serif" w:hAnsi="Times New Roman;sans-serif"/>
          <w:b/>
          <w:color w:val="0000FF"/>
          <w:sz w:val="22"/>
          <w:u w:val="single"/>
        </w:rPr>
        <w:t>42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1.10</w:t>
      </w:r>
      <w:r>
        <w:rPr>
          <w:color w:val="000000"/>
        </w:rPr>
        <w:t>    </w:t>
      </w:r>
      <w:r>
        <w:rPr>
          <w:rFonts w:ascii="Times New Roman;sans-serif" w:hAnsi="Times New Roman;sans-serif"/>
          <w:b/>
          <w:color w:val="0000FF"/>
          <w:sz w:val="22"/>
          <w:u w:val="single"/>
        </w:rPr>
        <w:t>Change of Currency</w:t>
      </w:r>
      <w:r>
        <w:rPr>
          <w:color w:val="000000"/>
        </w:rPr>
        <w:t>    </w:t>
      </w:r>
      <w:r>
        <w:rPr>
          <w:rFonts w:ascii="Times New Roman;sans-serif" w:hAnsi="Times New Roman;sans-serif"/>
          <w:b/>
          <w:strike/>
          <w:color w:val="FF0000"/>
          <w:sz w:val="22"/>
        </w:rPr>
        <w:t>40</w:t>
      </w:r>
      <w:r>
        <w:rPr>
          <w:rFonts w:ascii="Times New Roman;sans-serif" w:hAnsi="Times New Roman;sans-serif"/>
          <w:b/>
          <w:color w:val="0000FF"/>
          <w:sz w:val="22"/>
          <w:u w:val="single"/>
        </w:rPr>
        <w:t>43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1.11</w:t>
      </w:r>
      <w:r>
        <w:rPr>
          <w:color w:val="000000"/>
        </w:rPr>
        <w:t>    </w:t>
      </w:r>
      <w:r>
        <w:rPr>
          <w:rFonts w:ascii="Times New Roman;sans-serif" w:hAnsi="Times New Roman;sans-serif"/>
          <w:b/>
          <w:color w:val="0000FF"/>
          <w:sz w:val="22"/>
          <w:u w:val="single"/>
        </w:rPr>
        <w:t>Times of Day</w:t>
      </w:r>
      <w:r>
        <w:rPr>
          <w:color w:val="000000"/>
        </w:rPr>
        <w:t>    </w:t>
      </w:r>
      <w:r>
        <w:rPr>
          <w:rFonts w:ascii="Times New Roman;sans-serif" w:hAnsi="Times New Roman;sans-serif"/>
          <w:b/>
          <w:strike/>
          <w:color w:val="FF0000"/>
          <w:sz w:val="22"/>
        </w:rPr>
        <w:t>40</w:t>
      </w:r>
      <w:r>
        <w:rPr>
          <w:rFonts w:ascii="Times New Roman;sans-serif" w:hAnsi="Times New Roman;sans-serif"/>
          <w:b/>
          <w:color w:val="0000FF"/>
          <w:sz w:val="22"/>
          <w:u w:val="single"/>
        </w:rPr>
        <w:t>44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1.12</w:t>
      </w:r>
      <w:r>
        <w:rPr>
          <w:color w:val="000000"/>
        </w:rPr>
        <w:t>    </w:t>
      </w:r>
      <w:r>
        <w:rPr>
          <w:rFonts w:ascii="Times New Roman;sans-serif" w:hAnsi="Times New Roman;sans-serif"/>
          <w:b/>
          <w:color w:val="0000FF"/>
          <w:sz w:val="22"/>
          <w:u w:val="single"/>
        </w:rPr>
        <w:t>Pro Forma Calculations</w:t>
      </w:r>
      <w:r>
        <w:rPr>
          <w:color w:val="000000"/>
        </w:rPr>
        <w:t>    </w:t>
      </w:r>
      <w:r>
        <w:rPr>
          <w:rFonts w:ascii="Times New Roman;sans-serif" w:hAnsi="Times New Roman;sans-serif"/>
          <w:b/>
          <w:strike/>
          <w:color w:val="FF0000"/>
          <w:sz w:val="22"/>
        </w:rPr>
        <w:t>40</w:t>
      </w:r>
      <w:r>
        <w:rPr>
          <w:rFonts w:ascii="Times New Roman;sans-serif" w:hAnsi="Times New Roman;sans-serif"/>
          <w:b/>
          <w:color w:val="0000FF"/>
          <w:sz w:val="22"/>
          <w:u w:val="single"/>
        </w:rPr>
        <w:t>44</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II CREDIT FACILITIES</w:t>
      </w:r>
      <w:r>
        <w:rPr>
          <w:color w:val="000000"/>
        </w:rPr>
        <w:t>    </w:t>
      </w:r>
      <w:r>
        <w:rPr>
          <w:rFonts w:ascii="Times New Roman;sans-serif" w:hAnsi="Times New Roman;sans-serif"/>
          <w:b w:val="false"/>
          <w:strike/>
          <w:color w:val="FF0000"/>
          <w:sz w:val="22"/>
        </w:rPr>
        <w:t>40</w:t>
      </w:r>
      <w:r>
        <w:rPr>
          <w:rFonts w:ascii="Times New Roman;sans-serif" w:hAnsi="Times New Roman;sans-serif"/>
          <w:b w:val="false"/>
          <w:color w:val="0000FF"/>
          <w:sz w:val="22"/>
          <w:u w:val="single"/>
        </w:rPr>
        <w:t>44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2.1</w:t>
      </w:r>
      <w:r>
        <w:rPr>
          <w:color w:val="000000"/>
        </w:rPr>
        <w:t>    </w:t>
      </w:r>
      <w:r>
        <w:rPr>
          <w:rFonts w:ascii="Times New Roman;sans-serif" w:hAnsi="Times New Roman;sans-serif"/>
          <w:b/>
          <w:color w:val="0000FF"/>
          <w:sz w:val="22"/>
          <w:u w:val="single"/>
        </w:rPr>
        <w:t>Loans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40</w:t>
      </w:r>
      <w:r>
        <w:rPr>
          <w:rFonts w:ascii="Times New Roman;sans-serif" w:hAnsi="Times New Roman;sans-serif"/>
          <w:b/>
          <w:color w:val="0000FF"/>
          <w:sz w:val="22"/>
          <w:u w:val="single"/>
        </w:rPr>
        <w:t>44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2.2</w:t>
      </w:r>
      <w:r>
        <w:rPr>
          <w:color w:val="000000"/>
        </w:rPr>
        <w:t>    </w:t>
      </w:r>
      <w:r>
        <w:rPr>
          <w:rFonts w:ascii="Times New Roman;sans-serif" w:hAnsi="Times New Roman;sans-serif"/>
          <w:b/>
          <w:color w:val="0000FF"/>
          <w:sz w:val="22"/>
          <w:u w:val="single"/>
        </w:rPr>
        <w:t>Borrowings, Conversions and Continuations of Loans</w:t>
      </w:r>
      <w:r>
        <w:rPr>
          <w:color w:val="000000"/>
        </w:rPr>
        <w:t>    </w:t>
      </w:r>
      <w:r>
        <w:rPr>
          <w:rFonts w:ascii="Times New Roman;sans-serif" w:hAnsi="Times New Roman;sans-serif"/>
          <w:b/>
          <w:strike/>
          <w:color w:val="FF0000"/>
          <w:sz w:val="22"/>
        </w:rPr>
        <w:t>42</w:t>
      </w:r>
      <w:r>
        <w:rPr>
          <w:rFonts w:ascii="Times New Roman;sans-serif" w:hAnsi="Times New Roman;sans-serif"/>
          <w:b/>
          <w:color w:val="0000FF"/>
          <w:sz w:val="22"/>
          <w:u w:val="single"/>
        </w:rPr>
        <w:t>46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2.3</w:t>
      </w:r>
      <w:r>
        <w:rPr>
          <w:color w:val="000000"/>
        </w:rPr>
        <w:t>    </w:t>
      </w:r>
      <w:r>
        <w:rPr>
          <w:rFonts w:ascii="Times New Roman;sans-serif" w:hAnsi="Times New Roman;sans-serif"/>
          <w:b/>
          <w:color w:val="0000FF"/>
          <w:sz w:val="22"/>
          <w:u w:val="single"/>
        </w:rPr>
        <w:t>Letters of Credit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44</w:t>
      </w:r>
      <w:r>
        <w:rPr>
          <w:rFonts w:ascii="Times New Roman;sans-serif" w:hAnsi="Times New Roman;sans-serif"/>
          <w:b/>
          <w:color w:val="0000FF"/>
          <w:sz w:val="22"/>
          <w:u w:val="single"/>
        </w:rPr>
        <w:t>48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2.4</w:t>
      </w:r>
      <w:r>
        <w:rPr>
          <w:color w:val="000000"/>
        </w:rPr>
        <w:t>    </w:t>
      </w:r>
      <w:r>
        <w:rPr>
          <w:rFonts w:ascii="Times New Roman;sans-serif" w:hAnsi="Times New Roman;sans-serif"/>
          <w:b/>
          <w:color w:val="0000FF"/>
          <w:sz w:val="22"/>
          <w:u w:val="single"/>
        </w:rPr>
        <w:t>Swingline Loans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54</w:t>
      </w:r>
      <w:r>
        <w:rPr>
          <w:rFonts w:ascii="Times New Roman;sans-serif" w:hAnsi="Times New Roman;sans-serif"/>
          <w:b/>
          <w:color w:val="0000FF"/>
          <w:sz w:val="22"/>
          <w:u w:val="single"/>
        </w:rPr>
        <w:t>58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2.5</w:t>
      </w:r>
      <w:r>
        <w:rPr>
          <w:color w:val="000000"/>
        </w:rPr>
        <w:t>    </w:t>
      </w:r>
      <w:r>
        <w:rPr>
          <w:rFonts w:ascii="Times New Roman;sans-serif" w:hAnsi="Times New Roman;sans-serif"/>
          <w:b/>
          <w:color w:val="0000FF"/>
          <w:sz w:val="22"/>
          <w:u w:val="single"/>
        </w:rPr>
        <w:t>Prepayments</w:t>
      </w:r>
      <w:r>
        <w:rPr>
          <w:color w:val="000000"/>
        </w:rPr>
        <w:t>    </w:t>
      </w:r>
      <w:r>
        <w:rPr>
          <w:rFonts w:ascii="Times New Roman;sans-serif" w:hAnsi="Times New Roman;sans-serif"/>
          <w:b/>
          <w:strike/>
          <w:color w:val="FF0000"/>
          <w:sz w:val="22"/>
        </w:rPr>
        <w:t>57</w:t>
      </w:r>
      <w:r>
        <w:rPr>
          <w:rFonts w:ascii="Times New Roman;sans-serif" w:hAnsi="Times New Roman;sans-serif"/>
          <w:b/>
          <w:color w:val="0000FF"/>
          <w:sz w:val="22"/>
          <w:u w:val="single"/>
        </w:rPr>
        <w:t>61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2.6</w:t>
      </w:r>
      <w:r>
        <w:rPr>
          <w:color w:val="000000"/>
        </w:rPr>
        <w:t>    </w:t>
      </w:r>
      <w:r>
        <w:rPr>
          <w:rFonts w:ascii="Times New Roman;sans-serif" w:hAnsi="Times New Roman;sans-serif"/>
          <w:b/>
          <w:color w:val="0000FF"/>
          <w:sz w:val="22"/>
          <w:u w:val="single"/>
        </w:rPr>
        <w:t>Termination or Reduction of Commitments</w:t>
      </w:r>
      <w:r>
        <w:rPr>
          <w:color w:val="000000"/>
        </w:rPr>
        <w:t>    </w:t>
      </w:r>
      <w:r>
        <w:rPr>
          <w:rFonts w:ascii="Times New Roman;sans-serif" w:hAnsi="Times New Roman;sans-serif"/>
          <w:b/>
          <w:strike/>
          <w:color w:val="FF0000"/>
          <w:sz w:val="22"/>
        </w:rPr>
        <w:t>59</w:t>
      </w:r>
      <w:r>
        <w:rPr>
          <w:rFonts w:ascii="Times New Roman;sans-serif" w:hAnsi="Times New Roman;sans-serif"/>
          <w:b/>
          <w:color w:val="0000FF"/>
          <w:sz w:val="22"/>
          <w:u w:val="single"/>
        </w:rPr>
        <w:t>63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2.7</w:t>
      </w:r>
      <w:r>
        <w:rPr>
          <w:color w:val="000000"/>
        </w:rPr>
        <w:t>    </w:t>
      </w:r>
      <w:r>
        <w:rPr>
          <w:rFonts w:ascii="Times New Roman;sans-serif" w:hAnsi="Times New Roman;sans-serif"/>
          <w:b/>
          <w:color w:val="0000FF"/>
          <w:sz w:val="22"/>
          <w:u w:val="single"/>
        </w:rPr>
        <w:t>Repayment of Loans</w:t>
      </w:r>
      <w:r>
        <w:rPr>
          <w:color w:val="000000"/>
        </w:rPr>
        <w:t>    </w:t>
      </w:r>
      <w:r>
        <w:rPr>
          <w:rFonts w:ascii="Times New Roman;sans-serif" w:hAnsi="Times New Roman;sans-serif"/>
          <w:b/>
          <w:strike/>
          <w:color w:val="FF0000"/>
          <w:sz w:val="22"/>
        </w:rPr>
        <w:t>59</w:t>
      </w:r>
      <w:r>
        <w:rPr>
          <w:rFonts w:ascii="Times New Roman;sans-serif" w:hAnsi="Times New Roman;sans-serif"/>
          <w:b/>
          <w:color w:val="0000FF"/>
          <w:sz w:val="22"/>
          <w:u w:val="single"/>
        </w:rPr>
        <w:t>63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2.8</w:t>
      </w:r>
      <w:r>
        <w:rPr>
          <w:color w:val="000000"/>
        </w:rPr>
        <w:t>    </w:t>
      </w:r>
      <w:r>
        <w:rPr>
          <w:rFonts w:ascii="Times New Roman;sans-serif" w:hAnsi="Times New Roman;sans-serif"/>
          <w:b/>
          <w:color w:val="0000FF"/>
          <w:sz w:val="22"/>
          <w:u w:val="single"/>
        </w:rPr>
        <w:t>Increase of Revolving Credit Commitment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60</w:t>
      </w:r>
      <w:r>
        <w:rPr>
          <w:rFonts w:ascii="Times New Roman;sans-serif" w:hAnsi="Times New Roman;sans-serif"/>
          <w:b/>
          <w:color w:val="0000FF"/>
          <w:sz w:val="22"/>
          <w:u w:val="single"/>
        </w:rPr>
        <w:t>64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2.9</w:t>
      </w:r>
      <w:r>
        <w:rPr>
          <w:color w:val="000000"/>
        </w:rPr>
        <w:t>    </w:t>
      </w:r>
      <w:r>
        <w:rPr>
          <w:rFonts w:ascii="Times New Roman;sans-serif" w:hAnsi="Times New Roman;sans-serif"/>
          <w:b/>
          <w:color w:val="0000FF"/>
          <w:sz w:val="22"/>
          <w:u w:val="single"/>
        </w:rPr>
        <w:t>Optional Incremental Term Loans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62</w:t>
      </w:r>
      <w:r>
        <w:rPr>
          <w:rFonts w:ascii="Times New Roman;sans-serif" w:hAnsi="Times New Roman;sans-serif"/>
          <w:b/>
          <w:color w:val="0000FF"/>
          <w:sz w:val="22"/>
          <w:u w:val="single"/>
        </w:rPr>
        <w:t>67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2.10</w:t>
      </w:r>
      <w:r>
        <w:rPr>
          <w:color w:val="000000"/>
        </w:rPr>
        <w:t>    </w:t>
      </w:r>
      <w:r>
        <w:rPr>
          <w:rFonts w:ascii="Times New Roman;sans-serif" w:hAnsi="Times New Roman;sans-serif"/>
          <w:b/>
          <w:color w:val="0000FF"/>
          <w:sz w:val="22"/>
          <w:u w:val="single"/>
        </w:rPr>
        <w:t>Additional Borrowers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65</w:t>
      </w:r>
      <w:r>
        <w:rPr>
          <w:rFonts w:ascii="Times New Roman;sans-serif" w:hAnsi="Times New Roman;sans-serif"/>
          <w:b/>
          <w:color w:val="0000FF"/>
          <w:sz w:val="22"/>
          <w:u w:val="single"/>
        </w:rPr>
        <w:t>69</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2.11</w:t>
      </w:r>
      <w:r>
        <w:rPr>
          <w:color w:val="000000"/>
        </w:rPr>
        <w:t>    </w:t>
      </w:r>
      <w:r>
        <w:rPr>
          <w:rFonts w:ascii="Times New Roman;sans-serif" w:hAnsi="Times New Roman;sans-serif"/>
          <w:b/>
          <w:color w:val="0000FF"/>
          <w:sz w:val="22"/>
          <w:u w:val="single"/>
        </w:rPr>
        <w:t>Sustainability Adjustments</w:t>
      </w:r>
      <w:r>
        <w:rPr>
          <w:color w:val="000000"/>
        </w:rPr>
        <w:t>    </w:t>
      </w:r>
      <w:r>
        <w:rPr>
          <w:rFonts w:ascii="Times New Roman;sans-serif" w:hAnsi="Times New Roman;sans-serif"/>
          <w:b/>
          <w:color w:val="0000FF"/>
          <w:sz w:val="22"/>
          <w:u w:val="single"/>
        </w:rPr>
        <w:t>71</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III [INTENTIONALLY OMITTED]</w:t>
      </w:r>
      <w:r>
        <w:rPr>
          <w:color w:val="000000"/>
        </w:rPr>
        <w:t>    </w:t>
      </w:r>
      <w:r>
        <w:rPr>
          <w:rFonts w:ascii="Times New Roman;sans-serif" w:hAnsi="Times New Roman;sans-serif"/>
          <w:b w:val="false"/>
          <w:strike/>
          <w:color w:val="FF0000"/>
          <w:sz w:val="22"/>
        </w:rPr>
        <w:t>67</w:t>
      </w:r>
      <w:r>
        <w:rPr>
          <w:rFonts w:ascii="Times New Roman;sans-serif" w:hAnsi="Times New Roman;sans-serif"/>
          <w:b w:val="false"/>
          <w:color w:val="0000FF"/>
          <w:sz w:val="22"/>
          <w:u w:val="single"/>
        </w:rPr>
        <w:t>72</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IV GENERAL LOAN PROVISIONS</w:t>
      </w:r>
      <w:r>
        <w:rPr>
          <w:color w:val="000000"/>
        </w:rPr>
        <w:t>    </w:t>
      </w:r>
      <w:r>
        <w:rPr>
          <w:rFonts w:ascii="Times New Roman;sans-serif" w:hAnsi="Times New Roman;sans-serif"/>
          <w:b w:val="false"/>
          <w:strike/>
          <w:color w:val="FF0000"/>
          <w:sz w:val="22"/>
        </w:rPr>
        <w:t>67</w:t>
      </w:r>
      <w:r>
        <w:rPr>
          <w:rFonts w:ascii="Times New Roman;sans-serif" w:hAnsi="Times New Roman;sans-serif"/>
          <w:b w:val="false"/>
          <w:color w:val="0000FF"/>
          <w:sz w:val="22"/>
          <w:u w:val="single"/>
        </w:rPr>
        <w:t>72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4.1</w:t>
      </w:r>
      <w:r>
        <w:rPr>
          <w:color w:val="000000"/>
        </w:rPr>
        <w:t>    </w:t>
      </w:r>
      <w:r>
        <w:rPr>
          <w:rFonts w:ascii="Times New Roman;sans-serif" w:hAnsi="Times New Roman;sans-serif"/>
          <w:b/>
          <w:color w:val="0000FF"/>
          <w:sz w:val="22"/>
          <w:u w:val="single"/>
        </w:rPr>
        <w:t>Interest and Default Rate</w:t>
      </w:r>
      <w:r>
        <w:rPr>
          <w:color w:val="000000"/>
        </w:rPr>
        <w:t>    </w:t>
      </w:r>
      <w:r>
        <w:rPr>
          <w:rFonts w:ascii="Times New Roman;sans-serif" w:hAnsi="Times New Roman;sans-serif"/>
          <w:b/>
          <w:strike/>
          <w:color w:val="FF0000"/>
          <w:sz w:val="22"/>
        </w:rPr>
        <w:t>67</w:t>
      </w:r>
      <w:r>
        <w:rPr>
          <w:rFonts w:ascii="Times New Roman;sans-serif" w:hAnsi="Times New Roman;sans-serif"/>
          <w:b/>
          <w:color w:val="0000FF"/>
          <w:sz w:val="22"/>
          <w:u w:val="single"/>
        </w:rPr>
        <w:t>73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4.2</w:t>
      </w:r>
      <w:r>
        <w:rPr>
          <w:color w:val="000000"/>
        </w:rPr>
        <w:t>    </w:t>
      </w:r>
      <w:r>
        <w:rPr>
          <w:rFonts w:ascii="Times New Roman;sans-serif" w:hAnsi="Times New Roman;sans-serif"/>
          <w:b/>
          <w:color w:val="0000FF"/>
          <w:sz w:val="22"/>
          <w:u w:val="single"/>
        </w:rPr>
        <w:t>Computation of Interest and Fees</w:t>
      </w:r>
      <w:r>
        <w:rPr>
          <w:color w:val="000000"/>
        </w:rPr>
        <w:t>    </w:t>
      </w:r>
      <w:r>
        <w:rPr>
          <w:rFonts w:ascii="Times New Roman;sans-serif" w:hAnsi="Times New Roman;sans-serif"/>
          <w:b/>
          <w:strike/>
          <w:color w:val="FF0000"/>
          <w:sz w:val="22"/>
        </w:rPr>
        <w:t>68</w:t>
      </w:r>
      <w:r>
        <w:rPr>
          <w:rFonts w:ascii="Times New Roman;sans-serif" w:hAnsi="Times New Roman;sans-serif"/>
          <w:b/>
          <w:color w:val="0000FF"/>
          <w:sz w:val="22"/>
          <w:u w:val="single"/>
        </w:rPr>
        <w:t>74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4.3</w:t>
      </w:r>
      <w:r>
        <w:rPr>
          <w:color w:val="000000"/>
        </w:rPr>
        <w:t>    </w:t>
      </w:r>
      <w:r>
        <w:rPr>
          <w:rFonts w:ascii="Times New Roman;sans-serif" w:hAnsi="Times New Roman;sans-serif"/>
          <w:b/>
          <w:color w:val="0000FF"/>
          <w:sz w:val="22"/>
          <w:u w:val="single"/>
        </w:rPr>
        <w:t>Fees</w:t>
      </w:r>
      <w:r>
        <w:rPr>
          <w:color w:val="000000"/>
        </w:rPr>
        <w:t>    </w:t>
      </w:r>
      <w:r>
        <w:rPr>
          <w:rFonts w:ascii="Times New Roman;sans-serif" w:hAnsi="Times New Roman;sans-serif"/>
          <w:b/>
          <w:strike/>
          <w:color w:val="FF0000"/>
          <w:sz w:val="22"/>
        </w:rPr>
        <w:t>69</w:t>
      </w:r>
      <w:r>
        <w:rPr>
          <w:rFonts w:ascii="Times New Roman;sans-serif" w:hAnsi="Times New Roman;sans-serif"/>
          <w:b/>
          <w:color w:val="0000FF"/>
          <w:sz w:val="22"/>
          <w:u w:val="single"/>
        </w:rPr>
        <w:t>74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4.4</w:t>
      </w:r>
      <w:r>
        <w:rPr>
          <w:color w:val="000000"/>
        </w:rPr>
        <w:t>    </w:t>
      </w:r>
      <w:r>
        <w:rPr>
          <w:rFonts w:ascii="Times New Roman;sans-serif" w:hAnsi="Times New Roman;sans-serif"/>
          <w:b/>
          <w:color w:val="0000FF"/>
          <w:sz w:val="22"/>
          <w:u w:val="single"/>
        </w:rPr>
        <w:t>Payments Generally; Administrative Agent’s Clawback</w:t>
      </w:r>
      <w:r>
        <w:rPr>
          <w:color w:val="000000"/>
        </w:rPr>
        <w:t>    </w:t>
      </w:r>
      <w:r>
        <w:rPr>
          <w:rFonts w:ascii="Times New Roman;sans-serif" w:hAnsi="Times New Roman;sans-serif"/>
          <w:b/>
          <w:strike/>
          <w:color w:val="FF0000"/>
          <w:sz w:val="22"/>
        </w:rPr>
        <w:t>69</w:t>
      </w:r>
      <w:r>
        <w:rPr>
          <w:rFonts w:ascii="Times New Roman;sans-serif" w:hAnsi="Times New Roman;sans-serif"/>
          <w:b/>
          <w:color w:val="0000FF"/>
          <w:sz w:val="22"/>
          <w:u w:val="single"/>
        </w:rPr>
        <w:t>75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4.5</w:t>
      </w:r>
      <w:r>
        <w:rPr>
          <w:color w:val="000000"/>
        </w:rPr>
        <w:t>    </w:t>
      </w:r>
      <w:r>
        <w:rPr>
          <w:rFonts w:ascii="Times New Roman;sans-serif" w:hAnsi="Times New Roman;sans-serif"/>
          <w:b/>
          <w:color w:val="0000FF"/>
          <w:sz w:val="22"/>
          <w:u w:val="single"/>
        </w:rPr>
        <w:t>Evidence of Debt</w:t>
      </w:r>
      <w:r>
        <w:rPr>
          <w:color w:val="000000"/>
        </w:rPr>
        <w:t>    </w:t>
      </w:r>
      <w:r>
        <w:rPr>
          <w:rFonts w:ascii="Times New Roman;sans-serif" w:hAnsi="Times New Roman;sans-serif"/>
          <w:b/>
          <w:strike/>
          <w:color w:val="FF0000"/>
          <w:sz w:val="22"/>
        </w:rPr>
        <w:t>72</w:t>
      </w:r>
      <w:r>
        <w:rPr>
          <w:rFonts w:ascii="Times New Roman;sans-serif" w:hAnsi="Times New Roman;sans-serif"/>
          <w:b/>
          <w:color w:val="0000FF"/>
          <w:sz w:val="22"/>
          <w:u w:val="single"/>
        </w:rPr>
        <w:t>77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4.6</w:t>
      </w:r>
      <w:r>
        <w:rPr>
          <w:color w:val="000000"/>
        </w:rPr>
        <w:t>    </w:t>
      </w:r>
      <w:r>
        <w:rPr>
          <w:rFonts w:ascii="Times New Roman;sans-serif" w:hAnsi="Times New Roman;sans-serif"/>
          <w:b/>
          <w:color w:val="0000FF"/>
          <w:sz w:val="22"/>
          <w:u w:val="single"/>
        </w:rPr>
        <w:t>Adjustments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72</w:t>
      </w:r>
      <w:r>
        <w:rPr>
          <w:rFonts w:ascii="Times New Roman;sans-serif" w:hAnsi="Times New Roman;sans-serif"/>
          <w:b/>
          <w:color w:val="0000FF"/>
          <w:sz w:val="22"/>
          <w:u w:val="single"/>
        </w:rPr>
        <w:t>78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4.7</w:t>
      </w:r>
      <w:r>
        <w:rPr>
          <w:color w:val="000000"/>
        </w:rPr>
        <w:t>    </w:t>
      </w:r>
      <w:r>
        <w:rPr>
          <w:rFonts w:ascii="Times New Roman;sans-serif" w:hAnsi="Times New Roman;sans-serif"/>
          <w:b/>
          <w:color w:val="0000FF"/>
          <w:sz w:val="22"/>
          <w:u w:val="single"/>
        </w:rPr>
        <w:t>Illegality</w:t>
      </w:r>
      <w:r>
        <w:rPr>
          <w:color w:val="000000"/>
        </w:rPr>
        <w:t>    </w:t>
      </w:r>
      <w:r>
        <w:rPr>
          <w:rFonts w:ascii="Times New Roman;sans-serif" w:hAnsi="Times New Roman;sans-serif"/>
          <w:b/>
          <w:strike/>
          <w:color w:val="FF0000"/>
          <w:sz w:val="22"/>
        </w:rPr>
        <w:t>73</w:t>
      </w:r>
      <w:r>
        <w:rPr>
          <w:rFonts w:ascii="Times New Roman;sans-serif" w:hAnsi="Times New Roman;sans-serif"/>
          <w:b/>
          <w:color w:val="0000FF"/>
          <w:sz w:val="22"/>
          <w:u w:val="single"/>
        </w:rPr>
        <w:t>79</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4.8</w:t>
      </w:r>
      <w:r>
        <w:rPr>
          <w:color w:val="000000"/>
        </w:rPr>
        <w:t>    </w:t>
      </w:r>
      <w:r>
        <w:rPr>
          <w:rFonts w:ascii="Times New Roman;sans-serif" w:hAnsi="Times New Roman;sans-serif"/>
          <w:b/>
          <w:color w:val="0000FF"/>
          <w:sz w:val="22"/>
          <w:u w:val="single"/>
        </w:rPr>
        <w:t>Inability to Determine Rates</w:t>
      </w:r>
      <w:r>
        <w:rPr>
          <w:color w:val="000000"/>
        </w:rPr>
        <w:t>    </w:t>
      </w:r>
      <w:r>
        <w:rPr>
          <w:rFonts w:ascii="Times New Roman;sans-serif" w:hAnsi="Times New Roman;sans-serif"/>
          <w:b/>
          <w:strike/>
          <w:color w:val="FF0000"/>
          <w:sz w:val="22"/>
        </w:rPr>
        <w:t>74</w:t>
      </w:r>
      <w:r>
        <w:rPr>
          <w:rFonts w:ascii="Times New Roman;sans-serif" w:hAnsi="Times New Roman;sans-serif"/>
          <w:b/>
          <w:color w:val="0000FF"/>
          <w:sz w:val="22"/>
          <w:u w:val="single"/>
        </w:rPr>
        <w:t>80</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4.9</w:t>
      </w:r>
      <w:r>
        <w:rPr>
          <w:color w:val="000000"/>
        </w:rPr>
        <w:t>    </w:t>
      </w:r>
      <w:r>
        <w:rPr>
          <w:rFonts w:ascii="Times New Roman;sans-serif" w:hAnsi="Times New Roman;sans-serif"/>
          <w:b/>
          <w:color w:val="0000FF"/>
          <w:sz w:val="22"/>
          <w:u w:val="single"/>
        </w:rPr>
        <w:t>Indemnity</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79</w:t>
      </w:r>
      <w:r>
        <w:rPr>
          <w:rFonts w:ascii="Times New Roman;sans-serif" w:hAnsi="Times New Roman;sans-serif"/>
          <w:b/>
          <w:color w:val="0000FF"/>
          <w:sz w:val="22"/>
          <w:u w:val="single"/>
        </w:rPr>
        <w:t>83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4.10</w:t>
      </w:r>
      <w:r>
        <w:rPr>
          <w:color w:val="000000"/>
        </w:rPr>
        <w:t>    </w:t>
      </w:r>
      <w:r>
        <w:rPr>
          <w:rFonts w:ascii="Times New Roman;sans-serif" w:hAnsi="Times New Roman;sans-serif"/>
          <w:b/>
          <w:color w:val="0000FF"/>
          <w:sz w:val="22"/>
          <w:u w:val="single"/>
        </w:rPr>
        <w:t>Increased Costs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79</w:t>
      </w:r>
      <w:r>
        <w:rPr>
          <w:rFonts w:ascii="Times New Roman;sans-serif" w:hAnsi="Times New Roman;sans-serif"/>
          <w:b/>
          <w:color w:val="0000FF"/>
          <w:sz w:val="22"/>
          <w:u w:val="single"/>
        </w:rPr>
        <w:t>83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4.11</w:t>
      </w:r>
      <w:r>
        <w:rPr>
          <w:color w:val="000000"/>
        </w:rPr>
        <w:t>    </w:t>
      </w:r>
      <w:r>
        <w:rPr>
          <w:rFonts w:ascii="Times New Roman;sans-serif" w:hAnsi="Times New Roman;sans-serif"/>
          <w:b/>
          <w:color w:val="0000FF"/>
          <w:sz w:val="22"/>
          <w:u w:val="single"/>
        </w:rPr>
        <w:t>Taxes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80</w:t>
      </w:r>
      <w:r>
        <w:rPr>
          <w:rFonts w:ascii="Times New Roman;sans-serif" w:hAnsi="Times New Roman;sans-serif"/>
          <w:b/>
          <w:color w:val="0000FF"/>
          <w:sz w:val="22"/>
          <w:u w:val="single"/>
        </w:rPr>
        <w:t>85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4.12</w:t>
      </w:r>
      <w:r>
        <w:rPr>
          <w:color w:val="000000"/>
        </w:rPr>
        <w:t>    </w:t>
      </w:r>
      <w:r>
        <w:rPr>
          <w:rFonts w:ascii="Times New Roman;sans-serif" w:hAnsi="Times New Roman;sans-serif"/>
          <w:b/>
          <w:color w:val="0000FF"/>
          <w:sz w:val="22"/>
          <w:u w:val="single"/>
        </w:rPr>
        <w:t>Mitigation Obligations; Replacement of Lenders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85</w:t>
      </w:r>
      <w:r>
        <w:rPr>
          <w:rFonts w:ascii="Times New Roman;sans-serif" w:hAnsi="Times New Roman;sans-serif"/>
          <w:b/>
          <w:color w:val="0000FF"/>
          <w:sz w:val="22"/>
          <w:u w:val="single"/>
        </w:rPr>
        <w:t>89</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4.13</w:t>
      </w:r>
      <w:r>
        <w:rPr>
          <w:color w:val="000000"/>
        </w:rPr>
        <w:t>    </w:t>
      </w:r>
      <w:r>
        <w:rPr>
          <w:rFonts w:ascii="Times New Roman;sans-serif" w:hAnsi="Times New Roman;sans-serif"/>
          <w:b/>
          <w:color w:val="0000FF"/>
          <w:sz w:val="22"/>
          <w:u w:val="single"/>
        </w:rPr>
        <w:t>Cash Collateral</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86</w:t>
      </w:r>
      <w:r>
        <w:rPr>
          <w:rFonts w:ascii="Times New Roman;sans-serif" w:hAnsi="Times New Roman;sans-serif"/>
          <w:b/>
          <w:color w:val="0000FF"/>
          <w:sz w:val="22"/>
          <w:u w:val="single"/>
        </w:rPr>
        <w:t>91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4.14</w:t>
      </w:r>
      <w:r>
        <w:rPr>
          <w:color w:val="000000"/>
        </w:rPr>
        <w:t>    </w:t>
      </w:r>
      <w:r>
        <w:rPr>
          <w:rFonts w:ascii="Times New Roman;sans-serif" w:hAnsi="Times New Roman;sans-serif"/>
          <w:b/>
          <w:color w:val="0000FF"/>
          <w:sz w:val="22"/>
          <w:u w:val="single"/>
        </w:rPr>
        <w:t>Defaulting Lenders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87</w:t>
      </w:r>
      <w:r>
        <w:rPr>
          <w:rFonts w:ascii="Times New Roman;sans-serif" w:hAnsi="Times New Roman;sans-serif"/>
          <w:b/>
          <w:color w:val="0000FF"/>
          <w:sz w:val="22"/>
          <w:u w:val="single"/>
        </w:rPr>
        <w:t>91</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V CLOSING; CONDITIONS OF CLOSING AND BORROWING</w:t>
      </w:r>
      <w:r>
        <w:rPr>
          <w:color w:val="000000"/>
        </w:rPr>
        <w:t>    </w:t>
      </w:r>
      <w:r>
        <w:rPr>
          <w:rFonts w:ascii="Times New Roman;sans-serif" w:hAnsi="Times New Roman;sans-serif"/>
          <w:b w:val="false"/>
          <w:strike/>
          <w:color w:val="FF0000"/>
          <w:sz w:val="22"/>
        </w:rPr>
        <w:t>89</w:t>
      </w:r>
      <w:r>
        <w:rPr>
          <w:rFonts w:ascii="Times New Roman;sans-serif" w:hAnsi="Times New Roman;sans-serif"/>
          <w:b w:val="false"/>
          <w:color w:val="0000FF"/>
          <w:sz w:val="22"/>
          <w:u w:val="single"/>
        </w:rPr>
        <w:t>94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5.1</w:t>
      </w:r>
      <w:r>
        <w:rPr>
          <w:color w:val="000000"/>
        </w:rPr>
        <w:t>    </w:t>
      </w:r>
      <w:r>
        <w:rPr>
          <w:rFonts w:ascii="Times New Roman;sans-serif" w:hAnsi="Times New Roman;sans-serif"/>
          <w:b/>
          <w:color w:val="0000FF"/>
          <w:sz w:val="22"/>
          <w:u w:val="single"/>
        </w:rPr>
        <w:t>Conditions to Closing and Initial Extensions of Credit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89</w:t>
      </w:r>
      <w:r>
        <w:rPr>
          <w:rFonts w:ascii="Times New Roman;sans-serif" w:hAnsi="Times New Roman;sans-serif"/>
          <w:b/>
          <w:color w:val="0000FF"/>
          <w:sz w:val="22"/>
          <w:u w:val="single"/>
        </w:rPr>
        <w:t>94</w:t>
      </w:r>
    </w:p>
    <w:p>
      <w:pPr>
        <w:pStyle w:val="TextBody"/>
        <w:bidi w:val="0"/>
        <w:spacing w:lineRule="auto" w:line="288"/>
        <w:ind w:left="0" w:right="0" w:hanging="1800"/>
        <w:jc w:val="left"/>
        <w:rPr/>
      </w:pPr>
      <w:r>
        <w:rPr>
          <w:rFonts w:ascii="Times New Roman;sans-serif" w:hAnsi="Times New Roman;sans-serif"/>
          <w:b/>
          <w:color w:val="0000FF"/>
          <w:sz w:val="22"/>
          <w:u w:val="single"/>
        </w:rPr>
        <w:t>SECTION 5.2</w:t>
      </w:r>
      <w:r>
        <w:rPr>
          <w:color w:val="000000"/>
        </w:rPr>
        <w:t>    </w:t>
      </w:r>
      <w:r>
        <w:rPr>
          <w:rFonts w:ascii="Times New Roman;sans-serif" w:hAnsi="Times New Roman;sans-serif"/>
          <w:b/>
          <w:color w:val="0000FF"/>
          <w:sz w:val="22"/>
          <w:u w:val="single"/>
        </w:rPr>
        <w:t>Conditions to All Extensions of Credit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92</w:t>
      </w:r>
      <w:r>
        <w:rPr>
          <w:rFonts w:ascii="Times New Roman;sans-serif" w:hAnsi="Times New Roman;sans-serif"/>
          <w:b/>
          <w:color w:val="0000FF"/>
          <w:sz w:val="22"/>
          <w:u w:val="single"/>
        </w:rPr>
        <w:t>97</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203"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VI REPRESENTATIONS AND WARRANTIES OF THE BORROWER</w:t>
      </w:r>
      <w:r>
        <w:rPr>
          <w:color w:val="000000"/>
        </w:rPr>
        <w:t>    </w:t>
      </w:r>
      <w:r>
        <w:rPr>
          <w:rFonts w:ascii="Times New Roman;sans-serif" w:hAnsi="Times New Roman;sans-serif"/>
          <w:b w:val="false"/>
          <w:strike/>
          <w:color w:val="FF0000"/>
          <w:sz w:val="22"/>
        </w:rPr>
        <w:t>93</w:t>
      </w:r>
      <w:r>
        <w:rPr>
          <w:rFonts w:ascii="Times New Roman;sans-serif" w:hAnsi="Times New Roman;sans-serif"/>
          <w:b w:val="false"/>
          <w:color w:val="0000FF"/>
          <w:sz w:val="22"/>
          <w:u w:val="single"/>
        </w:rPr>
        <w:t>98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6.1</w:t>
      </w:r>
      <w:r>
        <w:rPr>
          <w:color w:val="000000"/>
        </w:rPr>
        <w:t>    </w:t>
      </w:r>
      <w:r>
        <w:rPr>
          <w:rFonts w:ascii="Times New Roman;sans-serif" w:hAnsi="Times New Roman;sans-serif"/>
          <w:b/>
          <w:color w:val="0000FF"/>
          <w:sz w:val="22"/>
          <w:u w:val="single"/>
        </w:rPr>
        <w:t>Representations and Warranties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93</w:t>
      </w:r>
      <w:r>
        <w:rPr>
          <w:rFonts w:ascii="Times New Roman;sans-serif" w:hAnsi="Times New Roman;sans-serif"/>
          <w:b/>
          <w:color w:val="0000FF"/>
          <w:sz w:val="22"/>
          <w:u w:val="single"/>
        </w:rPr>
        <w:t>98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6.2</w:t>
      </w:r>
      <w:r>
        <w:rPr>
          <w:color w:val="000000"/>
        </w:rPr>
        <w:t>    </w:t>
      </w:r>
      <w:r>
        <w:rPr>
          <w:rFonts w:ascii="Times New Roman;sans-serif" w:hAnsi="Times New Roman;sans-serif"/>
          <w:b/>
          <w:color w:val="0000FF"/>
          <w:sz w:val="22"/>
          <w:u w:val="single"/>
        </w:rPr>
        <w:t>Survival of Representations and Warranties, Etc</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100</w:t>
      </w:r>
      <w:r>
        <w:rPr>
          <w:rFonts w:ascii="Times New Roman;sans-serif" w:hAnsi="Times New Roman;sans-serif"/>
          <w:b/>
          <w:color w:val="0000FF"/>
          <w:sz w:val="22"/>
          <w:u w:val="single"/>
        </w:rPr>
        <w:t>105</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VII FINANCIAL INFORMATION AND NOTICES</w:t>
      </w:r>
      <w:r>
        <w:rPr>
          <w:color w:val="000000"/>
        </w:rPr>
        <w:t>    </w:t>
      </w:r>
      <w:r>
        <w:rPr>
          <w:rFonts w:ascii="Times New Roman;sans-serif" w:hAnsi="Times New Roman;sans-serif"/>
          <w:b w:val="false"/>
          <w:strike/>
          <w:color w:val="FF0000"/>
          <w:sz w:val="22"/>
        </w:rPr>
        <w:t>100</w:t>
      </w:r>
      <w:r>
        <w:rPr>
          <w:rFonts w:ascii="Times New Roman;sans-serif" w:hAnsi="Times New Roman;sans-serif"/>
          <w:b w:val="false"/>
          <w:color w:val="0000FF"/>
          <w:sz w:val="22"/>
          <w:u w:val="single"/>
        </w:rPr>
        <w:t>105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7.1</w:t>
      </w:r>
      <w:r>
        <w:rPr>
          <w:color w:val="000000"/>
        </w:rPr>
        <w:t>    </w:t>
      </w:r>
      <w:r>
        <w:rPr>
          <w:rFonts w:ascii="Times New Roman;sans-serif" w:hAnsi="Times New Roman;sans-serif"/>
          <w:b/>
          <w:color w:val="0000FF"/>
          <w:sz w:val="22"/>
          <w:u w:val="single"/>
        </w:rPr>
        <w:t>Financial Statements and Projections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100</w:t>
      </w:r>
      <w:r>
        <w:rPr>
          <w:rFonts w:ascii="Times New Roman;sans-serif" w:hAnsi="Times New Roman;sans-serif"/>
          <w:b/>
          <w:color w:val="0000FF"/>
          <w:sz w:val="22"/>
          <w:u w:val="single"/>
        </w:rPr>
        <w:t>105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7.2</w:t>
      </w:r>
      <w:r>
        <w:rPr>
          <w:color w:val="000000"/>
        </w:rPr>
        <w:t>    </w:t>
      </w:r>
      <w:r>
        <w:rPr>
          <w:rFonts w:ascii="Times New Roman;sans-serif" w:hAnsi="Times New Roman;sans-serif"/>
          <w:b/>
          <w:color w:val="0000FF"/>
          <w:sz w:val="22"/>
          <w:u w:val="single"/>
        </w:rPr>
        <w:t>Officer’s Compliance Certificate</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102</w:t>
      </w:r>
      <w:r>
        <w:rPr>
          <w:rFonts w:ascii="Times New Roman;sans-serif" w:hAnsi="Times New Roman;sans-serif"/>
          <w:b/>
          <w:color w:val="0000FF"/>
          <w:sz w:val="22"/>
          <w:u w:val="single"/>
        </w:rPr>
        <w:t>106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7.3</w:t>
      </w:r>
      <w:r>
        <w:rPr>
          <w:color w:val="000000"/>
        </w:rPr>
        <w:t>    </w:t>
      </w:r>
      <w:r>
        <w:rPr>
          <w:rFonts w:ascii="Times New Roman;sans-serif" w:hAnsi="Times New Roman;sans-serif"/>
          <w:b/>
          <w:color w:val="0000FF"/>
          <w:sz w:val="22"/>
          <w:u w:val="single"/>
        </w:rPr>
        <w:t>Borrower Materials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102</w:t>
      </w:r>
      <w:r>
        <w:rPr>
          <w:rFonts w:ascii="Times New Roman;sans-serif" w:hAnsi="Times New Roman;sans-serif"/>
          <w:b/>
          <w:color w:val="0000FF"/>
          <w:sz w:val="22"/>
          <w:u w:val="single"/>
        </w:rPr>
        <w:t>106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7.4</w:t>
      </w:r>
      <w:r>
        <w:rPr>
          <w:color w:val="000000"/>
        </w:rPr>
        <w:t>    </w:t>
      </w:r>
      <w:r>
        <w:rPr>
          <w:rFonts w:ascii="Times New Roman;sans-serif" w:hAnsi="Times New Roman;sans-serif"/>
          <w:b/>
          <w:color w:val="0000FF"/>
          <w:sz w:val="22"/>
          <w:u w:val="single"/>
        </w:rPr>
        <w:t>Other Reports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102</w:t>
      </w:r>
      <w:r>
        <w:rPr>
          <w:rFonts w:ascii="Times New Roman;sans-serif" w:hAnsi="Times New Roman;sans-serif"/>
          <w:b/>
          <w:color w:val="0000FF"/>
          <w:sz w:val="22"/>
          <w:u w:val="single"/>
        </w:rPr>
        <w:t>107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7.5</w:t>
      </w:r>
      <w:r>
        <w:rPr>
          <w:color w:val="000000"/>
        </w:rPr>
        <w:t>    </w:t>
      </w:r>
      <w:r>
        <w:rPr>
          <w:rFonts w:ascii="Times New Roman;sans-serif" w:hAnsi="Times New Roman;sans-serif"/>
          <w:b/>
          <w:color w:val="0000FF"/>
          <w:sz w:val="22"/>
          <w:u w:val="single"/>
        </w:rPr>
        <w:t>Notice of Litigation and Other Matters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103</w:t>
      </w:r>
      <w:r>
        <w:rPr>
          <w:rFonts w:ascii="Times New Roman;sans-serif" w:hAnsi="Times New Roman;sans-serif"/>
          <w:b/>
          <w:color w:val="0000FF"/>
          <w:sz w:val="22"/>
          <w:u w:val="single"/>
        </w:rPr>
        <w:t>107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7.6</w:t>
      </w:r>
      <w:r>
        <w:rPr>
          <w:color w:val="000000"/>
        </w:rPr>
        <w:t>    </w:t>
      </w:r>
      <w:r>
        <w:rPr>
          <w:rFonts w:ascii="Times New Roman;sans-serif" w:hAnsi="Times New Roman;sans-serif"/>
          <w:b/>
          <w:color w:val="0000FF"/>
          <w:sz w:val="22"/>
          <w:u w:val="single"/>
        </w:rPr>
        <w:t>Accuracy of Information</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103</w:t>
      </w:r>
      <w:r>
        <w:rPr>
          <w:rFonts w:ascii="Times New Roman;sans-serif" w:hAnsi="Times New Roman;sans-serif"/>
          <w:b/>
          <w:color w:val="0000FF"/>
          <w:sz w:val="22"/>
          <w:u w:val="single"/>
        </w:rPr>
        <w:t>107</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VIII AFFIRMATIVE COVENANTS</w:t>
      </w:r>
      <w:r>
        <w:rPr>
          <w:color w:val="000000"/>
        </w:rPr>
        <w:t>    </w:t>
      </w:r>
      <w:r>
        <w:rPr>
          <w:rFonts w:ascii="Times New Roman;sans-serif" w:hAnsi="Times New Roman;sans-serif"/>
          <w:b w:val="false"/>
          <w:strike/>
          <w:color w:val="FF0000"/>
          <w:sz w:val="22"/>
        </w:rPr>
        <w:t>103</w:t>
      </w:r>
      <w:r>
        <w:rPr>
          <w:rFonts w:ascii="Times New Roman;sans-serif" w:hAnsi="Times New Roman;sans-serif"/>
          <w:b w:val="false"/>
          <w:color w:val="0000FF"/>
          <w:sz w:val="22"/>
          <w:u w:val="single"/>
        </w:rPr>
        <w:t>108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8.1</w:t>
      </w:r>
      <w:r>
        <w:rPr>
          <w:color w:val="000000"/>
        </w:rPr>
        <w:t>    </w:t>
      </w:r>
      <w:r>
        <w:rPr>
          <w:rFonts w:ascii="Times New Roman;sans-serif" w:hAnsi="Times New Roman;sans-serif"/>
          <w:b/>
          <w:color w:val="0000FF"/>
          <w:sz w:val="22"/>
          <w:u w:val="single"/>
        </w:rPr>
        <w:t>Preservation of Existence and Related Matters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103</w:t>
      </w:r>
      <w:r>
        <w:rPr>
          <w:rFonts w:ascii="Times New Roman;sans-serif" w:hAnsi="Times New Roman;sans-serif"/>
          <w:b/>
          <w:color w:val="0000FF"/>
          <w:sz w:val="22"/>
          <w:u w:val="single"/>
        </w:rPr>
        <w:t>108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8.2</w:t>
      </w:r>
      <w:r>
        <w:rPr>
          <w:color w:val="000000"/>
        </w:rPr>
        <w:t>    </w:t>
      </w:r>
      <w:r>
        <w:rPr>
          <w:rFonts w:ascii="Times New Roman;sans-serif" w:hAnsi="Times New Roman;sans-serif"/>
          <w:b/>
          <w:color w:val="0000FF"/>
          <w:sz w:val="22"/>
          <w:u w:val="single"/>
        </w:rPr>
        <w:t>Maintenance of Property</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103</w:t>
      </w:r>
      <w:r>
        <w:rPr>
          <w:rFonts w:ascii="Times New Roman;sans-serif" w:hAnsi="Times New Roman;sans-serif"/>
          <w:b/>
          <w:color w:val="0000FF"/>
          <w:sz w:val="22"/>
          <w:u w:val="single"/>
        </w:rPr>
        <w:t>108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8.3</w:t>
      </w:r>
      <w:r>
        <w:rPr>
          <w:color w:val="000000"/>
        </w:rPr>
        <w:t>    </w:t>
      </w:r>
      <w:r>
        <w:rPr>
          <w:rFonts w:ascii="Times New Roman;sans-serif" w:hAnsi="Times New Roman;sans-serif"/>
          <w:b/>
          <w:color w:val="0000FF"/>
          <w:sz w:val="22"/>
          <w:u w:val="single"/>
        </w:rPr>
        <w:t>Insurance</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103</w:t>
      </w:r>
      <w:r>
        <w:rPr>
          <w:rFonts w:ascii="Times New Roman;sans-serif" w:hAnsi="Times New Roman;sans-serif"/>
          <w:b/>
          <w:color w:val="0000FF"/>
          <w:sz w:val="22"/>
          <w:u w:val="single"/>
        </w:rPr>
        <w:t>108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8.4</w:t>
      </w:r>
      <w:r>
        <w:rPr>
          <w:color w:val="000000"/>
        </w:rPr>
        <w:t>    </w:t>
      </w:r>
      <w:r>
        <w:rPr>
          <w:rFonts w:ascii="Times New Roman;sans-serif" w:hAnsi="Times New Roman;sans-serif"/>
          <w:b/>
          <w:color w:val="0000FF"/>
          <w:sz w:val="22"/>
          <w:u w:val="single"/>
        </w:rPr>
        <w:t>Accounting Methods and Financial Records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104</w:t>
      </w:r>
      <w:r>
        <w:rPr>
          <w:rFonts w:ascii="Times New Roman;sans-serif" w:hAnsi="Times New Roman;sans-serif"/>
          <w:b/>
          <w:color w:val="0000FF"/>
          <w:sz w:val="22"/>
          <w:u w:val="single"/>
        </w:rPr>
        <w:t>108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8.5</w:t>
      </w:r>
      <w:r>
        <w:rPr>
          <w:color w:val="000000"/>
        </w:rPr>
        <w:t>    </w:t>
      </w:r>
      <w:r>
        <w:rPr>
          <w:rFonts w:ascii="Times New Roman;sans-serif" w:hAnsi="Times New Roman;sans-serif"/>
          <w:b/>
          <w:color w:val="0000FF"/>
          <w:sz w:val="22"/>
          <w:u w:val="single"/>
        </w:rPr>
        <w:t>Payment and Performance of Obligations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104</w:t>
      </w:r>
      <w:r>
        <w:rPr>
          <w:rFonts w:ascii="Times New Roman;sans-serif" w:hAnsi="Times New Roman;sans-serif"/>
          <w:b/>
          <w:color w:val="0000FF"/>
          <w:sz w:val="22"/>
          <w:u w:val="single"/>
        </w:rPr>
        <w:t>108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8.6</w:t>
      </w:r>
      <w:r>
        <w:rPr>
          <w:color w:val="000000"/>
        </w:rPr>
        <w:t>    </w:t>
      </w:r>
      <w:r>
        <w:rPr>
          <w:rFonts w:ascii="Times New Roman;sans-serif" w:hAnsi="Times New Roman;sans-serif"/>
          <w:b/>
          <w:color w:val="0000FF"/>
          <w:sz w:val="22"/>
          <w:u w:val="single"/>
        </w:rPr>
        <w:t xml:space="preserve">Compliance </w:t>
      </w:r>
      <w:r>
        <w:rPr>
          <w:rFonts w:ascii="Times New Roman;sans-serif" w:hAnsi="Times New Roman;sans-serif"/>
          <w:b/>
          <w:strike/>
          <w:color w:val="FF0000"/>
          <w:sz w:val="22"/>
          <w:u w:val="single"/>
        </w:rPr>
        <w:t>With</w:t>
      </w:r>
      <w:r>
        <w:rPr>
          <w:rFonts w:ascii="Times New Roman;sans-serif" w:hAnsi="Times New Roman;sans-serif"/>
          <w:b/>
          <w:color w:val="0000FF"/>
          <w:sz w:val="22"/>
          <w:u w:val="single"/>
        </w:rPr>
        <w:t>with Laws and Approvals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104</w:t>
      </w:r>
      <w:r>
        <w:rPr>
          <w:rFonts w:ascii="Times New Roman;sans-serif" w:hAnsi="Times New Roman;sans-serif"/>
          <w:b/>
          <w:color w:val="0000FF"/>
          <w:sz w:val="22"/>
          <w:u w:val="single"/>
        </w:rPr>
        <w:t>108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8.7</w:t>
      </w:r>
      <w:r>
        <w:rPr>
          <w:color w:val="000000"/>
        </w:rPr>
        <w:t>    </w:t>
      </w:r>
      <w:r>
        <w:rPr>
          <w:rFonts w:ascii="Times New Roman;sans-serif" w:hAnsi="Times New Roman;sans-serif"/>
          <w:b/>
          <w:color w:val="0000FF"/>
          <w:sz w:val="22"/>
          <w:u w:val="single"/>
        </w:rPr>
        <w:t>Environmental Laws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104</w:t>
      </w:r>
      <w:r>
        <w:rPr>
          <w:rFonts w:ascii="Times New Roman;sans-serif" w:hAnsi="Times New Roman;sans-serif"/>
          <w:b/>
          <w:color w:val="0000FF"/>
          <w:sz w:val="22"/>
          <w:u w:val="single"/>
        </w:rPr>
        <w:t>108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8.8</w:t>
      </w:r>
      <w:r>
        <w:rPr>
          <w:color w:val="000000"/>
        </w:rPr>
        <w:t>    </w:t>
      </w:r>
      <w:r>
        <w:rPr>
          <w:rFonts w:ascii="Times New Roman;sans-serif" w:hAnsi="Times New Roman;sans-serif"/>
          <w:b/>
          <w:color w:val="0000FF"/>
          <w:sz w:val="22"/>
          <w:u w:val="single"/>
        </w:rPr>
        <w:t>Compliance with ERISA</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104</w:t>
      </w:r>
      <w:r>
        <w:rPr>
          <w:rFonts w:ascii="Times New Roman;sans-serif" w:hAnsi="Times New Roman;sans-serif"/>
          <w:b/>
          <w:color w:val="0000FF"/>
          <w:sz w:val="22"/>
          <w:u w:val="single"/>
        </w:rPr>
        <w:t>109</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8.9</w:t>
      </w:r>
      <w:r>
        <w:rPr>
          <w:color w:val="000000"/>
        </w:rPr>
        <w:t>    </w:t>
      </w:r>
      <w:r>
        <w:rPr>
          <w:rFonts w:ascii="Times New Roman;sans-serif" w:hAnsi="Times New Roman;sans-serif"/>
          <w:b/>
          <w:color w:val="0000FF"/>
          <w:sz w:val="22"/>
          <w:u w:val="single"/>
        </w:rPr>
        <w:t>[Intentionally Omitted]</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104</w:t>
      </w:r>
      <w:r>
        <w:rPr>
          <w:rFonts w:ascii="Times New Roman;sans-serif" w:hAnsi="Times New Roman;sans-serif"/>
          <w:b/>
          <w:color w:val="0000FF"/>
          <w:sz w:val="22"/>
          <w:u w:val="single"/>
        </w:rPr>
        <w:t>109</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8.10</w:t>
      </w:r>
      <w:r>
        <w:rPr>
          <w:color w:val="000000"/>
        </w:rPr>
        <w:t>    </w:t>
      </w:r>
      <w:r>
        <w:rPr>
          <w:rFonts w:ascii="Times New Roman;sans-serif" w:hAnsi="Times New Roman;sans-serif"/>
          <w:b/>
          <w:color w:val="0000FF"/>
          <w:sz w:val="22"/>
          <w:u w:val="single"/>
        </w:rPr>
        <w:t>Visits and Inspections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105</w:t>
      </w:r>
      <w:r>
        <w:rPr>
          <w:rFonts w:ascii="Times New Roman;sans-serif" w:hAnsi="Times New Roman;sans-serif"/>
          <w:b/>
          <w:color w:val="0000FF"/>
          <w:sz w:val="22"/>
          <w:u w:val="single"/>
        </w:rPr>
        <w:t>109</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8.11</w:t>
      </w:r>
      <w:r>
        <w:rPr>
          <w:color w:val="000000"/>
        </w:rPr>
        <w:t>    </w:t>
      </w:r>
      <w:r>
        <w:rPr>
          <w:rFonts w:ascii="Times New Roman;sans-serif" w:hAnsi="Times New Roman;sans-serif"/>
          <w:b/>
          <w:color w:val="0000FF"/>
          <w:sz w:val="22"/>
          <w:u w:val="single"/>
        </w:rPr>
        <w:t>Additional Subsidiaries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105</w:t>
      </w:r>
      <w:r>
        <w:rPr>
          <w:rFonts w:ascii="Times New Roman;sans-serif" w:hAnsi="Times New Roman;sans-serif"/>
          <w:b/>
          <w:color w:val="0000FF"/>
          <w:sz w:val="22"/>
          <w:u w:val="single"/>
        </w:rPr>
        <w:t>109</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8.12</w:t>
      </w:r>
      <w:r>
        <w:rPr>
          <w:color w:val="000000"/>
        </w:rPr>
        <w:t>    </w:t>
      </w:r>
      <w:r>
        <w:rPr>
          <w:rFonts w:ascii="Times New Roman;sans-serif" w:hAnsi="Times New Roman;sans-serif"/>
          <w:b/>
          <w:color w:val="0000FF"/>
          <w:sz w:val="22"/>
          <w:u w:val="single"/>
        </w:rPr>
        <w:t>Use of Proceeds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106</w:t>
      </w:r>
      <w:r>
        <w:rPr>
          <w:rFonts w:ascii="Times New Roman;sans-serif" w:hAnsi="Times New Roman;sans-serif"/>
          <w:b/>
          <w:color w:val="0000FF"/>
          <w:sz w:val="22"/>
          <w:u w:val="single"/>
        </w:rPr>
        <w:t>111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8.13</w:t>
      </w:r>
      <w:r>
        <w:rPr>
          <w:color w:val="000000"/>
        </w:rPr>
        <w:t>    </w:t>
      </w:r>
      <w:r>
        <w:rPr>
          <w:rFonts w:ascii="Times New Roman;sans-serif" w:hAnsi="Times New Roman;sans-serif"/>
          <w:b/>
          <w:color w:val="0000FF"/>
          <w:sz w:val="22"/>
          <w:u w:val="single"/>
        </w:rPr>
        <w:t>Further Assurances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106</w:t>
      </w:r>
      <w:r>
        <w:rPr>
          <w:rFonts w:ascii="Times New Roman;sans-serif" w:hAnsi="Times New Roman;sans-serif"/>
          <w:b/>
          <w:color w:val="0000FF"/>
          <w:sz w:val="22"/>
          <w:u w:val="single"/>
        </w:rPr>
        <w:t>111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8.14</w:t>
      </w:r>
      <w:r>
        <w:rPr>
          <w:color w:val="000000"/>
        </w:rPr>
        <w:t>    </w:t>
      </w:r>
      <w:r>
        <w:rPr>
          <w:rFonts w:ascii="Times New Roman;sans-serif" w:hAnsi="Times New Roman;sans-serif"/>
          <w:b/>
          <w:color w:val="0000FF"/>
          <w:sz w:val="22"/>
          <w:u w:val="single"/>
        </w:rPr>
        <w:t>Designation of Subsidiaries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107</w:t>
      </w:r>
      <w:r>
        <w:rPr>
          <w:rFonts w:ascii="Times New Roman;sans-serif" w:hAnsi="Times New Roman;sans-serif"/>
          <w:b/>
          <w:color w:val="0000FF"/>
          <w:sz w:val="22"/>
          <w:u w:val="single"/>
        </w:rPr>
        <w:t>111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8.15</w:t>
      </w:r>
      <w:r>
        <w:rPr>
          <w:color w:val="000000"/>
        </w:rPr>
        <w:t>    </w:t>
      </w:r>
      <w:r>
        <w:rPr>
          <w:rFonts w:ascii="Times New Roman;sans-serif" w:hAnsi="Times New Roman;sans-serif"/>
          <w:b/>
          <w:strike/>
          <w:color w:val="FF0000"/>
          <w:sz w:val="22"/>
          <w:u w:val="single"/>
        </w:rPr>
        <w:t>Anti-Corruption</w:t>
      </w:r>
      <w:r>
        <w:rPr>
          <w:rFonts w:ascii="Times New Roman;sans-serif" w:hAnsi="Times New Roman;sans-serif"/>
          <w:b/>
          <w:color w:val="0000FF"/>
          <w:sz w:val="22"/>
          <w:u w:val="single"/>
        </w:rPr>
        <w:t>Anti-Corruption Laws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107</w:t>
      </w:r>
      <w:r>
        <w:rPr>
          <w:rFonts w:ascii="Times New Roman;sans-serif" w:hAnsi="Times New Roman;sans-serif"/>
          <w:b/>
          <w:color w:val="0000FF"/>
          <w:sz w:val="22"/>
          <w:u w:val="single"/>
        </w:rPr>
        <w:t>112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8.16</w:t>
      </w:r>
      <w:r>
        <w:rPr>
          <w:color w:val="000000"/>
        </w:rPr>
        <w:t>    </w:t>
      </w:r>
      <w:r>
        <w:rPr>
          <w:rFonts w:ascii="Times New Roman;sans-serif" w:hAnsi="Times New Roman;sans-serif"/>
          <w:b/>
          <w:color w:val="0000FF"/>
          <w:sz w:val="22"/>
          <w:u w:val="single"/>
        </w:rPr>
        <w:t>Approvals and Authorizations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108</w:t>
      </w:r>
      <w:r>
        <w:rPr>
          <w:rFonts w:ascii="Times New Roman;sans-serif" w:hAnsi="Times New Roman;sans-serif"/>
          <w:b/>
          <w:color w:val="0000FF"/>
          <w:sz w:val="22"/>
          <w:u w:val="single"/>
        </w:rPr>
        <w:t>112</w:t>
      </w:r>
    </w:p>
    <w:p>
      <w:pPr>
        <w:pStyle w:val="TextBody"/>
        <w:bidi w:val="0"/>
        <w:spacing w:lineRule="auto" w:line="288" w:before="0" w:after="0"/>
        <w:ind w:left="0" w:right="0" w:hanging="1800"/>
        <w:jc w:val="left"/>
        <w:rPr/>
      </w:pPr>
      <w:r>
        <w:rPr>
          <w:rFonts w:ascii="Times New Roman;sans-serif" w:hAnsi="Times New Roman;sans-serif"/>
          <w:b/>
          <w:strike/>
          <w:color w:val="FF0000"/>
          <w:sz w:val="22"/>
          <w:u w:val="single"/>
        </w:rPr>
        <w:t>SECTION 8.17</w:t>
      </w:r>
      <w:r>
        <w:rPr>
          <w:color w:val="000000"/>
        </w:rPr>
        <w:t>    </w:t>
      </w:r>
      <w:r>
        <w:rPr>
          <w:rFonts w:ascii="Times New Roman;sans-serif" w:hAnsi="Times New Roman;sans-serif"/>
          <w:b/>
          <w:strike/>
          <w:color w:val="FF0000"/>
          <w:sz w:val="22"/>
          <w:u w:val="single"/>
        </w:rPr>
        <w:t>Post-Closing Covenants.</w:t>
      </w:r>
      <w:r>
        <w:rPr>
          <w:color w:val="000000"/>
        </w:rPr>
        <w:t>    </w:t>
      </w:r>
      <w:r>
        <w:rPr>
          <w:rFonts w:ascii="Times New Roman;sans-serif" w:hAnsi="Times New Roman;sans-serif"/>
          <w:b w:val="false"/>
          <w:strike/>
          <w:color w:val="FF0000"/>
          <w:sz w:val="22"/>
        </w:rPr>
        <w:t>108</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IX FINANCIAL COVENANTS</w:t>
      </w:r>
      <w:r>
        <w:rPr>
          <w:color w:val="000000"/>
        </w:rPr>
        <w:t>    </w:t>
      </w:r>
      <w:r>
        <w:rPr>
          <w:rFonts w:ascii="Times New Roman;sans-serif" w:hAnsi="Times New Roman;sans-serif"/>
          <w:b w:val="false"/>
          <w:strike/>
          <w:color w:val="FF0000"/>
          <w:sz w:val="22"/>
        </w:rPr>
        <w:t>108</w:t>
      </w:r>
      <w:r>
        <w:rPr>
          <w:rFonts w:ascii="Times New Roman;sans-serif" w:hAnsi="Times New Roman;sans-serif"/>
          <w:b w:val="false"/>
          <w:color w:val="0000FF"/>
          <w:sz w:val="22"/>
          <w:u w:val="single"/>
        </w:rPr>
        <w:t>112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9.1</w:t>
      </w:r>
      <w:r>
        <w:rPr>
          <w:color w:val="000000"/>
        </w:rPr>
        <w:t>    </w:t>
      </w:r>
      <w:r>
        <w:rPr>
          <w:rFonts w:ascii="Times New Roman;sans-serif" w:hAnsi="Times New Roman;sans-serif"/>
          <w:b/>
          <w:color w:val="0000FF"/>
          <w:sz w:val="22"/>
          <w:u w:val="single"/>
        </w:rPr>
        <w:t>Net Leverage Ratio</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108</w:t>
      </w:r>
      <w:r>
        <w:rPr>
          <w:rFonts w:ascii="Times New Roman;sans-serif" w:hAnsi="Times New Roman;sans-serif"/>
          <w:b/>
          <w:color w:val="0000FF"/>
          <w:sz w:val="22"/>
          <w:u w:val="single"/>
        </w:rPr>
        <w:t>113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9.2</w:t>
      </w:r>
      <w:r>
        <w:rPr>
          <w:color w:val="000000"/>
        </w:rPr>
        <w:t>    </w:t>
      </w:r>
      <w:r>
        <w:rPr>
          <w:rFonts w:ascii="Times New Roman;sans-serif" w:hAnsi="Times New Roman;sans-serif"/>
          <w:b/>
          <w:color w:val="0000FF"/>
          <w:sz w:val="22"/>
          <w:u w:val="single"/>
        </w:rPr>
        <w:t>Interest Coverage Ratio</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108</w:t>
      </w:r>
      <w:r>
        <w:rPr>
          <w:rFonts w:ascii="Times New Roman;sans-serif" w:hAnsi="Times New Roman;sans-serif"/>
          <w:b/>
          <w:color w:val="0000FF"/>
          <w:sz w:val="22"/>
          <w:u w:val="single"/>
        </w:rPr>
        <w:t>113</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X NEGATIVE COVENANTS</w:t>
      </w:r>
      <w:r>
        <w:rPr>
          <w:color w:val="000000"/>
        </w:rPr>
        <w:t>    </w:t>
      </w:r>
      <w:r>
        <w:rPr>
          <w:rFonts w:ascii="Times New Roman;sans-serif" w:hAnsi="Times New Roman;sans-serif"/>
          <w:b w:val="false"/>
          <w:strike/>
          <w:color w:val="FF0000"/>
          <w:sz w:val="22"/>
        </w:rPr>
        <w:t>109</w:t>
      </w:r>
      <w:r>
        <w:rPr>
          <w:rFonts w:ascii="Times New Roman;sans-serif" w:hAnsi="Times New Roman;sans-serif"/>
          <w:b w:val="false"/>
          <w:color w:val="0000FF"/>
          <w:sz w:val="22"/>
          <w:u w:val="single"/>
        </w:rPr>
        <w:t>113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10.1</w:t>
      </w:r>
      <w:r>
        <w:rPr>
          <w:color w:val="000000"/>
        </w:rPr>
        <w:t>    </w:t>
      </w:r>
      <w:r>
        <w:rPr>
          <w:rFonts w:ascii="Times New Roman;sans-serif" w:hAnsi="Times New Roman;sans-serif"/>
          <w:b/>
          <w:color w:val="0000FF"/>
          <w:sz w:val="22"/>
          <w:u w:val="single"/>
        </w:rPr>
        <w:t>Limitations on Indebtedness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109</w:t>
      </w:r>
      <w:r>
        <w:rPr>
          <w:rFonts w:ascii="Times New Roman;sans-serif" w:hAnsi="Times New Roman;sans-serif"/>
          <w:b/>
          <w:color w:val="0000FF"/>
          <w:sz w:val="22"/>
          <w:u w:val="single"/>
        </w:rPr>
        <w:t>113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10.2</w:t>
      </w:r>
      <w:r>
        <w:rPr>
          <w:color w:val="000000"/>
        </w:rPr>
        <w:t>    </w:t>
      </w:r>
      <w:r>
        <w:rPr>
          <w:rFonts w:ascii="Times New Roman;sans-serif" w:hAnsi="Times New Roman;sans-serif"/>
          <w:b/>
          <w:color w:val="0000FF"/>
          <w:sz w:val="22"/>
          <w:u w:val="single"/>
        </w:rPr>
        <w:t>Limitations on Liens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110</w:t>
      </w:r>
      <w:r>
        <w:rPr>
          <w:rFonts w:ascii="Times New Roman;sans-serif" w:hAnsi="Times New Roman;sans-serif"/>
          <w:b/>
          <w:color w:val="0000FF"/>
          <w:sz w:val="22"/>
          <w:u w:val="single"/>
        </w:rPr>
        <w:t>115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10.3</w:t>
      </w:r>
      <w:r>
        <w:rPr>
          <w:color w:val="000000"/>
        </w:rPr>
        <w:t>    </w:t>
      </w:r>
      <w:r>
        <w:rPr>
          <w:rFonts w:ascii="Times New Roman;sans-serif" w:hAnsi="Times New Roman;sans-serif"/>
          <w:b/>
          <w:color w:val="0000FF"/>
          <w:sz w:val="22"/>
          <w:u w:val="single"/>
        </w:rPr>
        <w:t>Limitations on Loans, Advances, Investments and Acquisitions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112</w:t>
      </w:r>
      <w:r>
        <w:rPr>
          <w:rFonts w:ascii="Times New Roman;sans-serif" w:hAnsi="Times New Roman;sans-serif"/>
          <w:b/>
          <w:color w:val="0000FF"/>
          <w:sz w:val="22"/>
          <w:u w:val="single"/>
        </w:rPr>
        <w:t>116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10.4</w:t>
      </w:r>
      <w:r>
        <w:rPr>
          <w:color w:val="000000"/>
        </w:rPr>
        <w:t>    </w:t>
      </w:r>
      <w:r>
        <w:rPr>
          <w:rFonts w:ascii="Times New Roman;sans-serif" w:hAnsi="Times New Roman;sans-serif"/>
          <w:b/>
          <w:color w:val="0000FF"/>
          <w:sz w:val="22"/>
          <w:u w:val="single"/>
        </w:rPr>
        <w:t>Limitations on Mergers and Liquidation</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115</w:t>
      </w:r>
      <w:r>
        <w:rPr>
          <w:rFonts w:ascii="Times New Roman;sans-serif" w:hAnsi="Times New Roman;sans-serif"/>
          <w:b/>
          <w:color w:val="0000FF"/>
          <w:sz w:val="22"/>
          <w:u w:val="single"/>
        </w:rPr>
        <w:t>120</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10.5</w:t>
      </w:r>
      <w:r>
        <w:rPr>
          <w:color w:val="000000"/>
        </w:rPr>
        <w:t>    </w:t>
      </w:r>
      <w:r>
        <w:rPr>
          <w:rFonts w:ascii="Times New Roman;sans-serif" w:hAnsi="Times New Roman;sans-serif"/>
          <w:b/>
          <w:color w:val="0000FF"/>
          <w:sz w:val="22"/>
          <w:u w:val="single"/>
        </w:rPr>
        <w:t>Limitations on Sale of Assets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116</w:t>
      </w:r>
      <w:r>
        <w:rPr>
          <w:rFonts w:ascii="Times New Roman;sans-serif" w:hAnsi="Times New Roman;sans-serif"/>
          <w:b/>
          <w:color w:val="0000FF"/>
          <w:sz w:val="22"/>
          <w:u w:val="single"/>
        </w:rPr>
        <w:t>120</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10.6</w:t>
      </w:r>
      <w:r>
        <w:rPr>
          <w:color w:val="000000"/>
        </w:rPr>
        <w:t>    </w:t>
      </w:r>
      <w:r>
        <w:rPr>
          <w:rFonts w:ascii="Times New Roman;sans-serif" w:hAnsi="Times New Roman;sans-serif"/>
          <w:b/>
          <w:color w:val="0000FF"/>
          <w:sz w:val="22"/>
          <w:u w:val="single"/>
        </w:rPr>
        <w:t>Limitations on Dividends and Distributions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117</w:t>
      </w:r>
      <w:r>
        <w:rPr>
          <w:rFonts w:ascii="Times New Roman;sans-serif" w:hAnsi="Times New Roman;sans-serif"/>
          <w:b/>
          <w:color w:val="0000FF"/>
          <w:sz w:val="22"/>
          <w:u w:val="single"/>
        </w:rPr>
        <w:t>121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10.7</w:t>
      </w:r>
      <w:r>
        <w:rPr>
          <w:color w:val="000000"/>
        </w:rPr>
        <w:t>    </w:t>
      </w:r>
      <w:r>
        <w:rPr>
          <w:rFonts w:ascii="Times New Roman;sans-serif" w:hAnsi="Times New Roman;sans-serif"/>
          <w:b/>
          <w:color w:val="0000FF"/>
          <w:sz w:val="22"/>
          <w:u w:val="single"/>
        </w:rPr>
        <w:t>Sanctions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117</w:t>
      </w:r>
      <w:r>
        <w:rPr>
          <w:rFonts w:ascii="Times New Roman;sans-serif" w:hAnsi="Times New Roman;sans-serif"/>
          <w:b/>
          <w:color w:val="0000FF"/>
          <w:sz w:val="22"/>
          <w:u w:val="single"/>
        </w:rPr>
        <w:t>122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10.8</w:t>
      </w:r>
      <w:r>
        <w:rPr>
          <w:color w:val="000000"/>
        </w:rPr>
        <w:t>    </w:t>
      </w:r>
      <w:r>
        <w:rPr>
          <w:rFonts w:ascii="Times New Roman;sans-serif" w:hAnsi="Times New Roman;sans-serif"/>
          <w:b/>
          <w:color w:val="0000FF"/>
          <w:sz w:val="22"/>
          <w:u w:val="single"/>
        </w:rPr>
        <w:t>Transactions with Affiliates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117</w:t>
      </w:r>
      <w:r>
        <w:rPr>
          <w:rFonts w:ascii="Times New Roman;sans-serif" w:hAnsi="Times New Roman;sans-serif"/>
          <w:b/>
          <w:color w:val="0000FF"/>
          <w:sz w:val="22"/>
          <w:u w:val="single"/>
        </w:rPr>
        <w:t>122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10.9</w:t>
      </w:r>
      <w:r>
        <w:rPr>
          <w:color w:val="000000"/>
        </w:rPr>
        <w:t>    </w:t>
      </w:r>
      <w:r>
        <w:rPr>
          <w:rFonts w:ascii="Times New Roman;sans-serif" w:hAnsi="Times New Roman;sans-serif"/>
          <w:b/>
          <w:color w:val="0000FF"/>
          <w:sz w:val="22"/>
          <w:u w:val="single"/>
        </w:rPr>
        <w:t>Certain Accounting Changes; Organizational Documents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118</w:t>
      </w:r>
      <w:r>
        <w:rPr>
          <w:rFonts w:ascii="Times New Roman;sans-serif" w:hAnsi="Times New Roman;sans-serif"/>
          <w:b/>
          <w:color w:val="0000FF"/>
          <w:sz w:val="22"/>
          <w:u w:val="single"/>
        </w:rPr>
        <w:t>122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10.10</w:t>
      </w:r>
      <w:r>
        <w:rPr>
          <w:color w:val="000000"/>
        </w:rPr>
        <w:t>    </w:t>
      </w:r>
      <w:r>
        <w:rPr>
          <w:rFonts w:ascii="Times New Roman;sans-serif" w:hAnsi="Times New Roman;sans-serif"/>
          <w:b/>
          <w:color w:val="0000FF"/>
          <w:sz w:val="22"/>
          <w:u w:val="single"/>
        </w:rPr>
        <w:t>Amendments; Payments and Prepayments of Subordinated Indebtedness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118</w:t>
      </w:r>
      <w:r>
        <w:rPr>
          <w:rFonts w:ascii="Times New Roman;sans-serif" w:hAnsi="Times New Roman;sans-serif"/>
          <w:b/>
          <w:color w:val="0000FF"/>
          <w:sz w:val="22"/>
          <w:u w:val="single"/>
        </w:rPr>
        <w:t>122</w:t>
      </w:r>
    </w:p>
    <w:p>
      <w:pPr>
        <w:pStyle w:val="TextBody"/>
        <w:bidi w:val="0"/>
        <w:spacing w:lineRule="auto" w:line="288"/>
        <w:ind w:left="0" w:right="0" w:hanging="1800"/>
        <w:jc w:val="left"/>
        <w:rPr/>
      </w:pPr>
      <w:r>
        <w:rPr>
          <w:rFonts w:ascii="Times New Roman;sans-serif" w:hAnsi="Times New Roman;sans-serif"/>
          <w:b/>
          <w:color w:val="0000FF"/>
          <w:sz w:val="22"/>
          <w:u w:val="single"/>
        </w:rPr>
        <w:t>SECTION 10.11</w:t>
      </w:r>
      <w:r>
        <w:rPr>
          <w:color w:val="000000"/>
        </w:rPr>
        <w:t>    </w:t>
      </w:r>
      <w:r>
        <w:rPr>
          <w:rFonts w:ascii="Times New Roman;sans-serif" w:hAnsi="Times New Roman;sans-serif"/>
          <w:b/>
          <w:color w:val="0000FF"/>
          <w:sz w:val="22"/>
          <w:u w:val="single"/>
        </w:rPr>
        <w:t>Restrictive Agreements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118</w:t>
      </w:r>
      <w:r>
        <w:rPr>
          <w:rFonts w:ascii="Times New Roman;sans-serif" w:hAnsi="Times New Roman;sans-serif"/>
          <w:b/>
          <w:color w:val="0000FF"/>
          <w:sz w:val="22"/>
          <w:u w:val="single"/>
        </w:rPr>
        <w:t>123</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204"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1800"/>
        <w:jc w:val="left"/>
        <w:rPr/>
      </w:pPr>
      <w:r>
        <w:rPr/>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10.12</w:t>
      </w:r>
      <w:r>
        <w:rPr>
          <w:color w:val="000000"/>
        </w:rPr>
        <w:t>    </w:t>
      </w:r>
      <w:r>
        <w:rPr>
          <w:rFonts w:ascii="Times New Roman;sans-serif" w:hAnsi="Times New Roman;sans-serif"/>
          <w:b/>
          <w:color w:val="0000FF"/>
          <w:sz w:val="22"/>
          <w:u w:val="single"/>
        </w:rPr>
        <w:t>Nature of Business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119</w:t>
      </w:r>
      <w:r>
        <w:rPr>
          <w:rFonts w:ascii="Times New Roman;sans-serif" w:hAnsi="Times New Roman;sans-serif"/>
          <w:b/>
          <w:color w:val="0000FF"/>
          <w:sz w:val="22"/>
          <w:u w:val="single"/>
        </w:rPr>
        <w:t>123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10.13</w:t>
      </w:r>
      <w:r>
        <w:rPr>
          <w:color w:val="000000"/>
        </w:rPr>
        <w:t>    </w:t>
      </w:r>
      <w:r>
        <w:rPr>
          <w:rFonts w:ascii="Times New Roman;sans-serif" w:hAnsi="Times New Roman;sans-serif"/>
          <w:b/>
          <w:strike/>
          <w:color w:val="FF0000"/>
          <w:sz w:val="22"/>
          <w:u w:val="single"/>
        </w:rPr>
        <w:t>Anti-Corruption</w:t>
      </w:r>
      <w:r>
        <w:rPr>
          <w:rFonts w:ascii="Times New Roman;sans-serif" w:hAnsi="Times New Roman;sans-serif"/>
          <w:b/>
          <w:color w:val="0000FF"/>
          <w:sz w:val="22"/>
          <w:u w:val="single"/>
        </w:rPr>
        <w:t>Anti-Corruption Laws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119</w:t>
      </w:r>
      <w:r>
        <w:rPr>
          <w:rFonts w:ascii="Times New Roman;sans-serif" w:hAnsi="Times New Roman;sans-serif"/>
          <w:b/>
          <w:color w:val="0000FF"/>
          <w:sz w:val="22"/>
          <w:u w:val="single"/>
        </w:rPr>
        <w:t>123</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XI DEFAULT AND REMEDIES</w:t>
      </w:r>
      <w:r>
        <w:rPr>
          <w:color w:val="000000"/>
        </w:rPr>
        <w:t>    </w:t>
      </w:r>
      <w:r>
        <w:rPr>
          <w:rFonts w:ascii="Times New Roman;sans-serif" w:hAnsi="Times New Roman;sans-serif"/>
          <w:b w:val="false"/>
          <w:strike/>
          <w:color w:val="FF0000"/>
          <w:sz w:val="22"/>
        </w:rPr>
        <w:t>119</w:t>
      </w:r>
      <w:r>
        <w:rPr>
          <w:rFonts w:ascii="Times New Roman;sans-serif" w:hAnsi="Times New Roman;sans-serif"/>
          <w:b w:val="false"/>
          <w:color w:val="0000FF"/>
          <w:sz w:val="22"/>
          <w:u w:val="single"/>
        </w:rPr>
        <w:t>124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11.1</w:t>
      </w:r>
      <w:r>
        <w:rPr>
          <w:color w:val="000000"/>
        </w:rPr>
        <w:t>    </w:t>
      </w:r>
      <w:r>
        <w:rPr>
          <w:rFonts w:ascii="Times New Roman;sans-serif" w:hAnsi="Times New Roman;sans-serif"/>
          <w:b/>
          <w:color w:val="0000FF"/>
          <w:sz w:val="22"/>
          <w:u w:val="single"/>
        </w:rPr>
        <w:t>Events of Default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119</w:t>
      </w:r>
      <w:r>
        <w:rPr>
          <w:rFonts w:ascii="Times New Roman;sans-serif" w:hAnsi="Times New Roman;sans-serif"/>
          <w:b/>
          <w:color w:val="0000FF"/>
          <w:sz w:val="22"/>
          <w:u w:val="single"/>
        </w:rPr>
        <w:t>124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11.2</w:t>
      </w:r>
      <w:r>
        <w:rPr>
          <w:color w:val="000000"/>
        </w:rPr>
        <w:t>    </w:t>
      </w:r>
      <w:r>
        <w:rPr>
          <w:rFonts w:ascii="Times New Roman;sans-serif" w:hAnsi="Times New Roman;sans-serif"/>
          <w:b/>
          <w:color w:val="0000FF"/>
          <w:sz w:val="22"/>
          <w:u w:val="single"/>
        </w:rPr>
        <w:t>Remedies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121</w:t>
      </w:r>
      <w:r>
        <w:rPr>
          <w:rFonts w:ascii="Times New Roman;sans-serif" w:hAnsi="Times New Roman;sans-serif"/>
          <w:b/>
          <w:color w:val="0000FF"/>
          <w:sz w:val="22"/>
          <w:u w:val="single"/>
        </w:rPr>
        <w:t>126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11.3</w:t>
      </w:r>
      <w:r>
        <w:rPr>
          <w:color w:val="000000"/>
        </w:rPr>
        <w:t>    </w:t>
      </w:r>
      <w:r>
        <w:rPr>
          <w:rFonts w:ascii="Times New Roman;sans-serif" w:hAnsi="Times New Roman;sans-serif"/>
          <w:b/>
          <w:color w:val="0000FF"/>
          <w:sz w:val="22"/>
          <w:u w:val="single"/>
        </w:rPr>
        <w:t>[Intentionally Omitted]</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122</w:t>
      </w:r>
      <w:r>
        <w:rPr>
          <w:rFonts w:ascii="Times New Roman;sans-serif" w:hAnsi="Times New Roman;sans-serif"/>
          <w:b/>
          <w:color w:val="0000FF"/>
          <w:sz w:val="22"/>
          <w:u w:val="single"/>
        </w:rPr>
        <w:t>127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11.4</w:t>
      </w:r>
      <w:r>
        <w:rPr>
          <w:color w:val="000000"/>
        </w:rPr>
        <w:t>    </w:t>
      </w:r>
      <w:r>
        <w:rPr>
          <w:rFonts w:ascii="Times New Roman;sans-serif" w:hAnsi="Times New Roman;sans-serif"/>
          <w:b/>
          <w:color w:val="0000FF"/>
          <w:sz w:val="22"/>
          <w:u w:val="single"/>
        </w:rPr>
        <w:t>Crediting of Payments and Proceeds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122</w:t>
      </w:r>
      <w:r>
        <w:rPr>
          <w:rFonts w:ascii="Times New Roman;sans-serif" w:hAnsi="Times New Roman;sans-serif"/>
          <w:b/>
          <w:color w:val="0000FF"/>
          <w:sz w:val="22"/>
          <w:u w:val="single"/>
        </w:rPr>
        <w:t>127</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XII THE ADMINISTRATIVE AGENT</w:t>
      </w:r>
      <w:r>
        <w:rPr>
          <w:color w:val="000000"/>
        </w:rPr>
        <w:t>    </w:t>
      </w:r>
      <w:r>
        <w:rPr>
          <w:rFonts w:ascii="Times New Roman;sans-serif" w:hAnsi="Times New Roman;sans-serif"/>
          <w:b w:val="false"/>
          <w:strike/>
          <w:color w:val="FF0000"/>
          <w:sz w:val="22"/>
        </w:rPr>
        <w:t>123</w:t>
      </w:r>
      <w:r>
        <w:rPr>
          <w:rFonts w:ascii="Times New Roman;sans-serif" w:hAnsi="Times New Roman;sans-serif"/>
          <w:b w:val="false"/>
          <w:color w:val="0000FF"/>
          <w:sz w:val="22"/>
          <w:u w:val="single"/>
        </w:rPr>
        <w:t>127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12.1</w:t>
      </w:r>
      <w:r>
        <w:rPr>
          <w:color w:val="000000"/>
        </w:rPr>
        <w:t>    </w:t>
      </w:r>
      <w:r>
        <w:rPr>
          <w:rFonts w:ascii="Times New Roman;sans-serif" w:hAnsi="Times New Roman;sans-serif"/>
          <w:b/>
          <w:color w:val="0000FF"/>
          <w:sz w:val="22"/>
          <w:u w:val="single"/>
        </w:rPr>
        <w:t>Appointment and Authority</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123</w:t>
      </w:r>
      <w:r>
        <w:rPr>
          <w:rFonts w:ascii="Times New Roman;sans-serif" w:hAnsi="Times New Roman;sans-serif"/>
          <w:b/>
          <w:color w:val="0000FF"/>
          <w:sz w:val="22"/>
          <w:u w:val="single"/>
        </w:rPr>
        <w:t>127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12.2</w:t>
      </w:r>
      <w:r>
        <w:rPr>
          <w:color w:val="000000"/>
        </w:rPr>
        <w:t>    </w:t>
      </w:r>
      <w:r>
        <w:rPr>
          <w:rFonts w:ascii="Times New Roman;sans-serif" w:hAnsi="Times New Roman;sans-serif"/>
          <w:b/>
          <w:color w:val="0000FF"/>
          <w:sz w:val="22"/>
          <w:u w:val="single"/>
        </w:rPr>
        <w:t>Rights as a Lender</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124</w:t>
      </w:r>
      <w:r>
        <w:rPr>
          <w:rFonts w:ascii="Times New Roman;sans-serif" w:hAnsi="Times New Roman;sans-serif"/>
          <w:b/>
          <w:color w:val="0000FF"/>
          <w:sz w:val="22"/>
          <w:u w:val="single"/>
        </w:rPr>
        <w:t>128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12.3</w:t>
      </w:r>
      <w:r>
        <w:rPr>
          <w:color w:val="000000"/>
        </w:rPr>
        <w:t>    </w:t>
      </w:r>
      <w:r>
        <w:rPr>
          <w:rFonts w:ascii="Times New Roman;sans-serif" w:hAnsi="Times New Roman;sans-serif"/>
          <w:b/>
          <w:color w:val="0000FF"/>
          <w:sz w:val="22"/>
          <w:u w:val="single"/>
        </w:rPr>
        <w:t>Exculpatory Provisions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124</w:t>
      </w:r>
      <w:r>
        <w:rPr>
          <w:rFonts w:ascii="Times New Roman;sans-serif" w:hAnsi="Times New Roman;sans-serif"/>
          <w:b/>
          <w:color w:val="0000FF"/>
          <w:sz w:val="22"/>
          <w:u w:val="single"/>
        </w:rPr>
        <w:t>128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12.4</w:t>
      </w:r>
      <w:r>
        <w:rPr>
          <w:color w:val="000000"/>
        </w:rPr>
        <w:t>    </w:t>
      </w:r>
      <w:r>
        <w:rPr>
          <w:rFonts w:ascii="Times New Roman;sans-serif" w:hAnsi="Times New Roman;sans-serif"/>
          <w:b/>
          <w:color w:val="0000FF"/>
          <w:sz w:val="22"/>
          <w:u w:val="single"/>
        </w:rPr>
        <w:t>Reliance by Administrative Agent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125</w:t>
      </w:r>
      <w:r>
        <w:rPr>
          <w:rFonts w:ascii="Times New Roman;sans-serif" w:hAnsi="Times New Roman;sans-serif"/>
          <w:b/>
          <w:color w:val="0000FF"/>
          <w:sz w:val="22"/>
          <w:u w:val="single"/>
        </w:rPr>
        <w:t>130</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12.5</w:t>
      </w:r>
      <w:r>
        <w:rPr>
          <w:color w:val="000000"/>
        </w:rPr>
        <w:t>    </w:t>
      </w:r>
      <w:r>
        <w:rPr>
          <w:rFonts w:ascii="Times New Roman;sans-serif" w:hAnsi="Times New Roman;sans-serif"/>
          <w:b/>
          <w:color w:val="0000FF"/>
          <w:sz w:val="22"/>
          <w:u w:val="single"/>
        </w:rPr>
        <w:t>Delegation of Duties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125</w:t>
      </w:r>
      <w:r>
        <w:rPr>
          <w:rFonts w:ascii="Times New Roman;sans-serif" w:hAnsi="Times New Roman;sans-serif"/>
          <w:b/>
          <w:color w:val="0000FF"/>
          <w:sz w:val="22"/>
          <w:u w:val="single"/>
        </w:rPr>
        <w:t>130</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12.6</w:t>
      </w:r>
      <w:r>
        <w:rPr>
          <w:color w:val="000000"/>
        </w:rPr>
        <w:t>    </w:t>
      </w:r>
      <w:r>
        <w:rPr>
          <w:rFonts w:ascii="Times New Roman;sans-serif" w:hAnsi="Times New Roman;sans-serif"/>
          <w:b/>
          <w:color w:val="0000FF"/>
          <w:sz w:val="22"/>
          <w:u w:val="single"/>
        </w:rPr>
        <w:t>Resignation and Removal of Administrative Agent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126</w:t>
      </w:r>
      <w:r>
        <w:rPr>
          <w:rFonts w:ascii="Times New Roman;sans-serif" w:hAnsi="Times New Roman;sans-serif"/>
          <w:b/>
          <w:color w:val="0000FF"/>
          <w:sz w:val="22"/>
          <w:u w:val="single"/>
        </w:rPr>
        <w:t>130</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12.7</w:t>
      </w:r>
      <w:r>
        <w:rPr>
          <w:color w:val="000000"/>
        </w:rPr>
        <w:t>    </w:t>
      </w:r>
      <w:r>
        <w:rPr>
          <w:rFonts w:ascii="Times New Roman;sans-serif" w:hAnsi="Times New Roman;sans-serif"/>
          <w:b/>
          <w:strike/>
          <w:color w:val="FF0000"/>
          <w:sz w:val="22"/>
          <w:u w:val="single"/>
        </w:rPr>
        <w:t>Non-Reliance</w:t>
      </w:r>
      <w:r>
        <w:rPr>
          <w:rFonts w:ascii="Times New Roman;sans-serif" w:hAnsi="Times New Roman;sans-serif"/>
          <w:b/>
          <w:color w:val="0000FF"/>
          <w:sz w:val="22"/>
          <w:u w:val="single"/>
        </w:rPr>
        <w:t>Non-Reliance on Administrative Agent, Sustainability Coordinator and Other Lenders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127</w:t>
      </w:r>
      <w:r>
        <w:rPr>
          <w:rFonts w:ascii="Times New Roman;sans-serif" w:hAnsi="Times New Roman;sans-serif"/>
          <w:b/>
          <w:color w:val="0000FF"/>
          <w:sz w:val="22"/>
          <w:u w:val="single"/>
        </w:rPr>
        <w:t>132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12.8</w:t>
      </w:r>
      <w:r>
        <w:rPr>
          <w:color w:val="000000"/>
        </w:rPr>
        <w:t>    </w:t>
      </w:r>
      <w:r>
        <w:rPr>
          <w:rFonts w:ascii="Times New Roman;sans-serif" w:hAnsi="Times New Roman;sans-serif"/>
          <w:b/>
          <w:color w:val="0000FF"/>
          <w:sz w:val="22"/>
          <w:u w:val="single"/>
        </w:rPr>
        <w:t>No Other Duties, Etc</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128</w:t>
      </w:r>
      <w:r>
        <w:rPr>
          <w:rFonts w:ascii="Times New Roman;sans-serif" w:hAnsi="Times New Roman;sans-serif"/>
          <w:b/>
          <w:color w:val="0000FF"/>
          <w:sz w:val="22"/>
          <w:u w:val="single"/>
        </w:rPr>
        <w:t>133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12.9</w:t>
      </w:r>
      <w:r>
        <w:rPr>
          <w:color w:val="000000"/>
        </w:rPr>
        <w:t>    </w:t>
      </w:r>
      <w:r>
        <w:rPr>
          <w:rFonts w:ascii="Times New Roman;sans-serif" w:hAnsi="Times New Roman;sans-serif"/>
          <w:b/>
          <w:color w:val="0000FF"/>
          <w:sz w:val="22"/>
          <w:u w:val="single"/>
        </w:rPr>
        <w:t>Administrative Agent May File Proofs of Claim; Credit Bidding</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128</w:t>
      </w:r>
      <w:r>
        <w:rPr>
          <w:rFonts w:ascii="Times New Roman;sans-serif" w:hAnsi="Times New Roman;sans-serif"/>
          <w:b/>
          <w:color w:val="0000FF"/>
          <w:sz w:val="22"/>
          <w:u w:val="single"/>
        </w:rPr>
        <w:t>133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12.10</w:t>
      </w:r>
      <w:r>
        <w:rPr>
          <w:color w:val="000000"/>
        </w:rPr>
        <w:t>    </w:t>
      </w:r>
      <w:r>
        <w:rPr>
          <w:rFonts w:ascii="Times New Roman;sans-serif" w:hAnsi="Times New Roman;sans-serif"/>
          <w:b/>
          <w:color w:val="0000FF"/>
          <w:sz w:val="22"/>
          <w:u w:val="single"/>
        </w:rPr>
        <w:t>Collateral and Guaranty Matters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129</w:t>
      </w:r>
      <w:r>
        <w:rPr>
          <w:rFonts w:ascii="Times New Roman;sans-serif" w:hAnsi="Times New Roman;sans-serif"/>
          <w:b/>
          <w:color w:val="0000FF"/>
          <w:sz w:val="22"/>
          <w:u w:val="single"/>
        </w:rPr>
        <w:t>134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12.11</w:t>
      </w:r>
      <w:r>
        <w:rPr>
          <w:color w:val="000000"/>
        </w:rPr>
        <w:t>    </w:t>
      </w:r>
      <w:r>
        <w:rPr>
          <w:rFonts w:ascii="Times New Roman;sans-serif" w:hAnsi="Times New Roman;sans-serif"/>
          <w:b/>
          <w:color w:val="0000FF"/>
          <w:sz w:val="22"/>
          <w:u w:val="single"/>
        </w:rPr>
        <w:t>Bank Products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130</w:t>
      </w:r>
      <w:r>
        <w:rPr>
          <w:rFonts w:ascii="Times New Roman;sans-serif" w:hAnsi="Times New Roman;sans-serif"/>
          <w:b/>
          <w:color w:val="0000FF"/>
          <w:sz w:val="22"/>
          <w:u w:val="single"/>
        </w:rPr>
        <w:t>135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12.12</w:t>
      </w:r>
      <w:r>
        <w:rPr>
          <w:color w:val="000000"/>
        </w:rPr>
        <w:t>    </w:t>
      </w:r>
      <w:r>
        <w:rPr>
          <w:rFonts w:ascii="Times New Roman;sans-serif" w:hAnsi="Times New Roman;sans-serif"/>
          <w:b/>
          <w:color w:val="0000FF"/>
          <w:sz w:val="22"/>
          <w:u w:val="single"/>
        </w:rPr>
        <w:t>Certain ERISA Matters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130</w:t>
      </w:r>
      <w:r>
        <w:rPr>
          <w:rFonts w:ascii="Times New Roman;sans-serif" w:hAnsi="Times New Roman;sans-serif"/>
          <w:b/>
          <w:color w:val="0000FF"/>
          <w:sz w:val="22"/>
          <w:u w:val="single"/>
        </w:rPr>
        <w:t>135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12.13</w:t>
      </w:r>
      <w:r>
        <w:rPr>
          <w:color w:val="000000"/>
        </w:rPr>
        <w:t>    </w:t>
      </w:r>
      <w:r>
        <w:rPr>
          <w:rFonts w:ascii="Times New Roman;sans-serif" w:hAnsi="Times New Roman;sans-serif"/>
          <w:b/>
          <w:color w:val="0000FF"/>
          <w:sz w:val="22"/>
          <w:u w:val="single"/>
        </w:rPr>
        <w:t>Recovery of Erroneous Payments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131</w:t>
      </w:r>
      <w:r>
        <w:rPr>
          <w:rFonts w:ascii="Times New Roman;sans-serif" w:hAnsi="Times New Roman;sans-serif"/>
          <w:b/>
          <w:color w:val="0000FF"/>
          <w:sz w:val="22"/>
          <w:u w:val="single"/>
        </w:rPr>
        <w:t>136</w:t>
      </w:r>
    </w:p>
    <w:p>
      <w:pPr>
        <w:pStyle w:val="TextBody"/>
        <w:bidi w:val="0"/>
        <w:spacing w:lineRule="auto" w:line="288" w:before="0" w:after="120"/>
        <w:ind w:left="0" w:right="0" w:hanging="720"/>
        <w:jc w:val="left"/>
        <w:rPr/>
      </w:pPr>
      <w:r>
        <w:rPr>
          <w:rFonts w:ascii="Times New Roman;sans-serif" w:hAnsi="Times New Roman;sans-serif"/>
          <w:b w:val="false"/>
          <w:color w:val="0000FF"/>
          <w:sz w:val="22"/>
          <w:u w:val="single"/>
        </w:rPr>
        <w:t>ARTICLE XIII MISCELLANEOUS</w:t>
      </w:r>
      <w:r>
        <w:rPr>
          <w:color w:val="000000"/>
        </w:rPr>
        <w:t>    </w:t>
      </w:r>
      <w:r>
        <w:rPr>
          <w:rFonts w:ascii="Times New Roman;sans-serif" w:hAnsi="Times New Roman;sans-serif"/>
          <w:b w:val="false"/>
          <w:strike/>
          <w:color w:val="FF0000"/>
          <w:sz w:val="22"/>
        </w:rPr>
        <w:t>132</w:t>
      </w:r>
      <w:r>
        <w:rPr>
          <w:rFonts w:ascii="Times New Roman;sans-serif" w:hAnsi="Times New Roman;sans-serif"/>
          <w:b w:val="false"/>
          <w:color w:val="0000FF"/>
          <w:sz w:val="22"/>
          <w:u w:val="single"/>
        </w:rPr>
        <w:t>136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w:t>
      </w:r>
      <w:r>
        <w:rPr>
          <w:color w:val="000000"/>
        </w:rPr>
        <w:t>    </w:t>
      </w:r>
      <w:r>
        <w:rPr>
          <w:rFonts w:ascii="Times New Roman;sans-serif" w:hAnsi="Times New Roman;sans-serif"/>
          <w:b/>
          <w:color w:val="0000FF"/>
          <w:sz w:val="22"/>
          <w:u w:val="single"/>
        </w:rPr>
        <w:t>Notices; Effectiveness; Electronic Communications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132</w:t>
      </w:r>
      <w:r>
        <w:rPr>
          <w:rFonts w:ascii="Times New Roman;sans-serif" w:hAnsi="Times New Roman;sans-serif"/>
          <w:b/>
          <w:color w:val="0000FF"/>
          <w:sz w:val="22"/>
          <w:u w:val="single"/>
        </w:rPr>
        <w:t>136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13.2</w:t>
      </w:r>
      <w:r>
        <w:rPr>
          <w:color w:val="000000"/>
        </w:rPr>
        <w:t>    </w:t>
      </w:r>
      <w:r>
        <w:rPr>
          <w:rFonts w:ascii="Times New Roman;sans-serif" w:hAnsi="Times New Roman;sans-serif"/>
          <w:b/>
          <w:color w:val="0000FF"/>
          <w:sz w:val="22"/>
          <w:u w:val="single"/>
        </w:rPr>
        <w:t>Amendments, Etc</w:t>
      </w:r>
      <w:r>
        <w:rPr>
          <w:color w:val="000000"/>
        </w:rPr>
        <w:t>    </w:t>
      </w:r>
      <w:r>
        <w:rPr>
          <w:rFonts w:ascii="Times New Roman;sans-serif" w:hAnsi="Times New Roman;sans-serif"/>
          <w:b/>
          <w:strike/>
          <w:color w:val="FF0000"/>
          <w:sz w:val="22"/>
        </w:rPr>
        <w:t>134</w:t>
      </w:r>
      <w:r>
        <w:rPr>
          <w:rFonts w:ascii="Times New Roman;sans-serif" w:hAnsi="Times New Roman;sans-serif"/>
          <w:b/>
          <w:color w:val="0000FF"/>
          <w:sz w:val="22"/>
          <w:u w:val="single"/>
        </w:rPr>
        <w:t>138</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13.3</w:t>
      </w:r>
      <w:r>
        <w:rPr>
          <w:color w:val="000000"/>
        </w:rPr>
        <w:t>    </w:t>
      </w:r>
      <w:r>
        <w:rPr>
          <w:rFonts w:ascii="Times New Roman;sans-serif" w:hAnsi="Times New Roman;sans-serif"/>
          <w:b/>
          <w:color w:val="0000FF"/>
          <w:sz w:val="22"/>
          <w:u w:val="single"/>
        </w:rPr>
        <w:t>No Waiver; Cumulative Remedies; Enforcement</w:t>
      </w:r>
      <w:r>
        <w:rPr>
          <w:color w:val="000000"/>
        </w:rPr>
        <w:t>    </w:t>
      </w:r>
      <w:r>
        <w:rPr>
          <w:rFonts w:ascii="Times New Roman;sans-serif" w:hAnsi="Times New Roman;sans-serif"/>
          <w:b/>
          <w:strike/>
          <w:color w:val="FF0000"/>
          <w:sz w:val="22"/>
        </w:rPr>
        <w:t>136</w:t>
      </w:r>
      <w:r>
        <w:rPr>
          <w:rFonts w:ascii="Times New Roman;sans-serif" w:hAnsi="Times New Roman;sans-serif"/>
          <w:b/>
          <w:color w:val="0000FF"/>
          <w:sz w:val="22"/>
          <w:u w:val="single"/>
        </w:rPr>
        <w:t>141</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13.4</w:t>
      </w:r>
      <w:r>
        <w:rPr>
          <w:color w:val="000000"/>
        </w:rPr>
        <w:t>    </w:t>
      </w:r>
      <w:r>
        <w:rPr>
          <w:rFonts w:ascii="Times New Roman;sans-serif" w:hAnsi="Times New Roman;sans-serif"/>
          <w:b/>
          <w:color w:val="0000FF"/>
          <w:sz w:val="22"/>
          <w:u w:val="single"/>
        </w:rPr>
        <w:t>Expenses; Indemnity; Damage Waiver</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137</w:t>
      </w:r>
      <w:r>
        <w:rPr>
          <w:rFonts w:ascii="Times New Roman;sans-serif" w:hAnsi="Times New Roman;sans-serif"/>
          <w:b/>
          <w:color w:val="0000FF"/>
          <w:sz w:val="22"/>
          <w:u w:val="single"/>
        </w:rPr>
        <w:t>142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13.5</w:t>
      </w:r>
      <w:r>
        <w:rPr>
          <w:color w:val="000000"/>
        </w:rPr>
        <w:t>    </w:t>
      </w:r>
      <w:r>
        <w:rPr>
          <w:rFonts w:ascii="Times New Roman;sans-serif" w:hAnsi="Times New Roman;sans-serif"/>
          <w:b/>
          <w:color w:val="0000FF"/>
          <w:sz w:val="22"/>
          <w:u w:val="single"/>
        </w:rPr>
        <w:t>Set-off</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139</w:t>
      </w:r>
      <w:r>
        <w:rPr>
          <w:rFonts w:ascii="Times New Roman;sans-serif" w:hAnsi="Times New Roman;sans-serif"/>
          <w:b/>
          <w:color w:val="0000FF"/>
          <w:sz w:val="22"/>
          <w:u w:val="single"/>
        </w:rPr>
        <w:t>144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13.6</w:t>
      </w:r>
      <w:r>
        <w:rPr>
          <w:color w:val="000000"/>
        </w:rPr>
        <w:t>    </w:t>
      </w:r>
      <w:r>
        <w:rPr>
          <w:rFonts w:ascii="Times New Roman;sans-serif" w:hAnsi="Times New Roman;sans-serif"/>
          <w:b/>
          <w:color w:val="0000FF"/>
          <w:sz w:val="22"/>
          <w:u w:val="single"/>
        </w:rPr>
        <w:t>Governing Law; Jurisdiction; Etc</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139</w:t>
      </w:r>
      <w:r>
        <w:rPr>
          <w:rFonts w:ascii="Times New Roman;sans-serif" w:hAnsi="Times New Roman;sans-serif"/>
          <w:b/>
          <w:color w:val="0000FF"/>
          <w:sz w:val="22"/>
          <w:u w:val="single"/>
        </w:rPr>
        <w:t>144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13.7</w:t>
      </w:r>
      <w:r>
        <w:rPr>
          <w:color w:val="000000"/>
        </w:rPr>
        <w:t>    </w:t>
      </w:r>
      <w:r>
        <w:rPr>
          <w:rFonts w:ascii="Times New Roman;sans-serif" w:hAnsi="Times New Roman;sans-serif"/>
          <w:b/>
          <w:color w:val="0000FF"/>
          <w:sz w:val="22"/>
          <w:u w:val="single"/>
        </w:rPr>
        <w:t>Waiver of Jury Trial</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140</w:t>
      </w:r>
      <w:r>
        <w:rPr>
          <w:rFonts w:ascii="Times New Roman;sans-serif" w:hAnsi="Times New Roman;sans-serif"/>
          <w:b/>
          <w:color w:val="0000FF"/>
          <w:sz w:val="22"/>
          <w:u w:val="single"/>
        </w:rPr>
        <w:t>145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13.8</w:t>
      </w:r>
      <w:r>
        <w:rPr>
          <w:color w:val="000000"/>
        </w:rPr>
        <w:t>    </w:t>
      </w:r>
      <w:r>
        <w:rPr>
          <w:rFonts w:ascii="Times New Roman;sans-serif" w:hAnsi="Times New Roman;sans-serif"/>
          <w:b/>
          <w:color w:val="0000FF"/>
          <w:sz w:val="22"/>
          <w:u w:val="single"/>
        </w:rPr>
        <w:t>Reversal of Payments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141</w:t>
      </w:r>
      <w:r>
        <w:rPr>
          <w:rFonts w:ascii="Times New Roman;sans-serif" w:hAnsi="Times New Roman;sans-serif"/>
          <w:b/>
          <w:color w:val="0000FF"/>
          <w:sz w:val="22"/>
          <w:u w:val="single"/>
        </w:rPr>
        <w:t>145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13.9</w:t>
      </w:r>
      <w:r>
        <w:rPr>
          <w:color w:val="000000"/>
        </w:rPr>
        <w:t>    </w:t>
      </w:r>
      <w:r>
        <w:rPr>
          <w:rFonts w:ascii="Times New Roman;sans-serif" w:hAnsi="Times New Roman;sans-serif"/>
          <w:b/>
          <w:color w:val="0000FF"/>
          <w:sz w:val="22"/>
          <w:u w:val="single"/>
        </w:rPr>
        <w:t>Successors and Assigns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141</w:t>
      </w:r>
      <w:r>
        <w:rPr>
          <w:rFonts w:ascii="Times New Roman;sans-serif" w:hAnsi="Times New Roman;sans-serif"/>
          <w:b/>
          <w:color w:val="0000FF"/>
          <w:sz w:val="22"/>
          <w:u w:val="single"/>
        </w:rPr>
        <w:t>146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13.10</w:t>
      </w:r>
      <w:r>
        <w:rPr>
          <w:color w:val="000000"/>
        </w:rPr>
        <w:t>    </w:t>
      </w:r>
      <w:r>
        <w:rPr>
          <w:rFonts w:ascii="Times New Roman;sans-serif" w:hAnsi="Times New Roman;sans-serif"/>
          <w:b/>
          <w:color w:val="0000FF"/>
          <w:sz w:val="22"/>
          <w:u w:val="single"/>
        </w:rPr>
        <w:t>Treatment of Certain Information; Confidentiality</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147</w:t>
      </w:r>
      <w:r>
        <w:rPr>
          <w:rFonts w:ascii="Times New Roman;sans-serif" w:hAnsi="Times New Roman;sans-serif"/>
          <w:b/>
          <w:color w:val="0000FF"/>
          <w:sz w:val="22"/>
          <w:u w:val="single"/>
        </w:rPr>
        <w:t>152</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13.11</w:t>
      </w:r>
      <w:r>
        <w:rPr>
          <w:color w:val="000000"/>
        </w:rPr>
        <w:t>    </w:t>
      </w:r>
      <w:r>
        <w:rPr>
          <w:rFonts w:ascii="Times New Roman;sans-serif" w:hAnsi="Times New Roman;sans-serif"/>
          <w:b/>
          <w:color w:val="0000FF"/>
          <w:sz w:val="22"/>
          <w:u w:val="single"/>
        </w:rPr>
        <w:t>Performance of Duties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148</w:t>
      </w:r>
      <w:r>
        <w:rPr>
          <w:rFonts w:ascii="Times New Roman;sans-serif" w:hAnsi="Times New Roman;sans-serif"/>
          <w:b/>
          <w:color w:val="0000FF"/>
          <w:sz w:val="22"/>
          <w:u w:val="single"/>
        </w:rPr>
        <w:t>153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13.12</w:t>
      </w:r>
      <w:r>
        <w:rPr>
          <w:color w:val="000000"/>
        </w:rPr>
        <w:t>    </w:t>
      </w:r>
      <w:r>
        <w:rPr>
          <w:rFonts w:ascii="Times New Roman;sans-serif" w:hAnsi="Times New Roman;sans-serif"/>
          <w:b/>
          <w:color w:val="0000FF"/>
          <w:sz w:val="22"/>
          <w:u w:val="single"/>
        </w:rPr>
        <w:t>All Powers Coupled with Interest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148</w:t>
      </w:r>
      <w:r>
        <w:rPr>
          <w:rFonts w:ascii="Times New Roman;sans-serif" w:hAnsi="Times New Roman;sans-serif"/>
          <w:b/>
          <w:color w:val="0000FF"/>
          <w:sz w:val="22"/>
          <w:u w:val="single"/>
        </w:rPr>
        <w:t>153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13.13</w:t>
      </w:r>
      <w:r>
        <w:rPr>
          <w:color w:val="000000"/>
        </w:rPr>
        <w:t>    </w:t>
      </w:r>
      <w:r>
        <w:rPr>
          <w:rFonts w:ascii="Times New Roman;sans-serif" w:hAnsi="Times New Roman;sans-serif"/>
          <w:b/>
          <w:color w:val="0000FF"/>
          <w:sz w:val="22"/>
          <w:u w:val="single"/>
        </w:rPr>
        <w:t>Survival</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148</w:t>
      </w:r>
      <w:r>
        <w:rPr>
          <w:rFonts w:ascii="Times New Roman;sans-serif" w:hAnsi="Times New Roman;sans-serif"/>
          <w:b/>
          <w:color w:val="0000FF"/>
          <w:sz w:val="22"/>
          <w:u w:val="single"/>
        </w:rPr>
        <w:t>153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13.14</w:t>
      </w:r>
      <w:r>
        <w:rPr>
          <w:color w:val="000000"/>
        </w:rPr>
        <w:t>    </w:t>
      </w:r>
      <w:r>
        <w:rPr>
          <w:rFonts w:ascii="Times New Roman;sans-serif" w:hAnsi="Times New Roman;sans-serif"/>
          <w:b/>
          <w:color w:val="0000FF"/>
          <w:sz w:val="22"/>
          <w:u w:val="single"/>
        </w:rPr>
        <w:t>Titles and Captions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148</w:t>
      </w:r>
      <w:r>
        <w:rPr>
          <w:rFonts w:ascii="Times New Roman;sans-serif" w:hAnsi="Times New Roman;sans-serif"/>
          <w:b/>
          <w:color w:val="0000FF"/>
          <w:sz w:val="22"/>
          <w:u w:val="single"/>
        </w:rPr>
        <w:t>153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13.15</w:t>
      </w:r>
      <w:r>
        <w:rPr>
          <w:color w:val="000000"/>
        </w:rPr>
        <w:t>    </w:t>
      </w:r>
      <w:r>
        <w:rPr>
          <w:rFonts w:ascii="Times New Roman;sans-serif" w:hAnsi="Times New Roman;sans-serif"/>
          <w:b/>
          <w:color w:val="0000FF"/>
          <w:sz w:val="22"/>
          <w:u w:val="single"/>
        </w:rPr>
        <w:t>Severability of Provisions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148</w:t>
      </w:r>
      <w:r>
        <w:rPr>
          <w:rFonts w:ascii="Times New Roman;sans-serif" w:hAnsi="Times New Roman;sans-serif"/>
          <w:b/>
          <w:color w:val="0000FF"/>
          <w:sz w:val="22"/>
          <w:u w:val="single"/>
        </w:rPr>
        <w:t>153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13.16</w:t>
      </w:r>
      <w:r>
        <w:rPr>
          <w:color w:val="000000"/>
        </w:rPr>
        <w:t>    </w:t>
      </w:r>
      <w:r>
        <w:rPr>
          <w:rFonts w:ascii="Times New Roman;sans-serif" w:hAnsi="Times New Roman;sans-serif"/>
          <w:b/>
          <w:strike/>
          <w:color w:val="FF0000"/>
          <w:sz w:val="22"/>
          <w:u w:val="single"/>
        </w:rPr>
        <w:t>Counterparts.</w:t>
      </w:r>
      <w:r>
        <w:rPr>
          <w:color w:val="000000"/>
        </w:rPr>
        <w:t>    </w:t>
      </w:r>
      <w:r>
        <w:rPr>
          <w:rFonts w:ascii="Times New Roman;sans-serif" w:hAnsi="Times New Roman;sans-serif"/>
          <w:b/>
          <w:strike/>
          <w:color w:val="FF0000"/>
          <w:sz w:val="22"/>
        </w:rPr>
        <w:t>148</w:t>
      </w:r>
      <w:r>
        <w:rPr>
          <w:rFonts w:ascii="Times New Roman;sans-serif" w:hAnsi="Times New Roman;sans-serif"/>
          <w:b/>
          <w:color w:val="0000FF"/>
          <w:sz w:val="22"/>
          <w:u w:val="single"/>
        </w:rPr>
        <w:t>[Reserved]</w:t>
      </w:r>
      <w:r>
        <w:rPr>
          <w:color w:val="000000"/>
        </w:rPr>
        <w:t>    </w:t>
      </w:r>
      <w:r>
        <w:rPr>
          <w:rFonts w:ascii="Times New Roman;sans-serif" w:hAnsi="Times New Roman;sans-serif"/>
          <w:b/>
          <w:color w:val="0000FF"/>
          <w:sz w:val="22"/>
          <w:u w:val="single"/>
        </w:rPr>
        <w:t>153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13.17</w:t>
      </w:r>
      <w:r>
        <w:rPr>
          <w:color w:val="000000"/>
        </w:rPr>
        <w:t>    </w:t>
      </w:r>
      <w:r>
        <w:rPr>
          <w:rFonts w:ascii="Times New Roman;sans-serif" w:hAnsi="Times New Roman;sans-serif"/>
          <w:b/>
          <w:color w:val="0000FF"/>
          <w:sz w:val="22"/>
          <w:u w:val="single"/>
        </w:rPr>
        <w:t>Integration</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148</w:t>
      </w:r>
      <w:r>
        <w:rPr>
          <w:rFonts w:ascii="Times New Roman;sans-serif" w:hAnsi="Times New Roman;sans-serif"/>
          <w:b/>
          <w:color w:val="0000FF"/>
          <w:sz w:val="22"/>
          <w:u w:val="single"/>
        </w:rPr>
        <w:t>153</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13.18</w:t>
      </w:r>
      <w:r>
        <w:rPr>
          <w:color w:val="000000"/>
        </w:rPr>
        <w:t>    </w:t>
      </w:r>
      <w:r>
        <w:rPr>
          <w:rFonts w:ascii="Times New Roman;sans-serif" w:hAnsi="Times New Roman;sans-serif"/>
          <w:b/>
          <w:color w:val="0000FF"/>
          <w:sz w:val="22"/>
          <w:u w:val="single"/>
        </w:rPr>
        <w:t>Term of Agreement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149</w:t>
      </w:r>
      <w:r>
        <w:rPr>
          <w:rFonts w:ascii="Times New Roman;sans-serif" w:hAnsi="Times New Roman;sans-serif"/>
          <w:b/>
          <w:color w:val="0000FF"/>
          <w:sz w:val="22"/>
          <w:u w:val="single"/>
        </w:rPr>
        <w:t>154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13.19</w:t>
      </w:r>
      <w:r>
        <w:rPr>
          <w:color w:val="000000"/>
        </w:rPr>
        <w:t>    </w:t>
      </w:r>
      <w:r>
        <w:rPr>
          <w:rFonts w:ascii="Times New Roman;sans-serif" w:hAnsi="Times New Roman;sans-serif"/>
          <w:b/>
          <w:color w:val="0000FF"/>
          <w:sz w:val="22"/>
          <w:u w:val="single"/>
        </w:rPr>
        <w:t>USA Patriot Act</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149</w:t>
      </w:r>
      <w:r>
        <w:rPr>
          <w:rFonts w:ascii="Times New Roman;sans-serif" w:hAnsi="Times New Roman;sans-serif"/>
          <w:b/>
          <w:color w:val="0000FF"/>
          <w:sz w:val="22"/>
          <w:u w:val="single"/>
        </w:rPr>
        <w:t>154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13.20</w:t>
      </w:r>
      <w:r>
        <w:rPr>
          <w:color w:val="000000"/>
        </w:rPr>
        <w:t>    </w:t>
      </w:r>
      <w:r>
        <w:rPr>
          <w:rFonts w:ascii="Times New Roman;sans-serif" w:hAnsi="Times New Roman;sans-serif"/>
          <w:b/>
          <w:color w:val="0000FF"/>
          <w:sz w:val="22"/>
          <w:u w:val="single"/>
        </w:rPr>
        <w:t>Advice of Counsel, No Strict Construction</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149</w:t>
      </w:r>
      <w:r>
        <w:rPr>
          <w:rFonts w:ascii="Times New Roman;sans-serif" w:hAnsi="Times New Roman;sans-serif"/>
          <w:b/>
          <w:color w:val="0000FF"/>
          <w:sz w:val="22"/>
          <w:u w:val="single"/>
        </w:rPr>
        <w:t>154</w:t>
      </w:r>
    </w:p>
    <w:p>
      <w:pPr>
        <w:pStyle w:val="TextBody"/>
        <w:bidi w:val="0"/>
        <w:spacing w:lineRule="auto" w:line="288"/>
        <w:ind w:left="0" w:right="0" w:hanging="1800"/>
        <w:jc w:val="left"/>
        <w:rPr/>
      </w:pPr>
      <w:r>
        <w:rPr>
          <w:rFonts w:ascii="Times New Roman;sans-serif" w:hAnsi="Times New Roman;sans-serif"/>
          <w:b/>
          <w:color w:val="0000FF"/>
          <w:sz w:val="22"/>
          <w:u w:val="single"/>
        </w:rPr>
        <w:t>SECTION 13.21</w:t>
      </w:r>
      <w:r>
        <w:rPr>
          <w:color w:val="000000"/>
        </w:rPr>
        <w:t>    </w:t>
      </w:r>
      <w:r>
        <w:rPr>
          <w:rFonts w:ascii="Times New Roman;sans-serif" w:hAnsi="Times New Roman;sans-serif"/>
          <w:b/>
          <w:color w:val="0000FF"/>
          <w:sz w:val="22"/>
          <w:u w:val="single"/>
        </w:rPr>
        <w:t>Inconsistencies with Other Documents; Independent Effect of Covenants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149</w:t>
      </w:r>
      <w:r>
        <w:rPr>
          <w:rFonts w:ascii="Times New Roman;sans-serif" w:hAnsi="Times New Roman;sans-serif"/>
          <w:b/>
          <w:color w:val="0000FF"/>
          <w:sz w:val="22"/>
          <w:u w:val="single"/>
        </w:rPr>
        <w:t>154</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205"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13.22</w:t>
      </w:r>
      <w:r>
        <w:rPr>
          <w:color w:val="000000"/>
        </w:rPr>
        <w:t>    </w:t>
      </w:r>
      <w:r>
        <w:rPr>
          <w:rFonts w:ascii="Times New Roman;sans-serif" w:hAnsi="Times New Roman;sans-serif"/>
          <w:b/>
          <w:color w:val="0000FF"/>
          <w:sz w:val="22"/>
          <w:u w:val="single"/>
        </w:rPr>
        <w:t>No Advisory or Fiduciary Responsibility</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149</w:t>
      </w:r>
      <w:r>
        <w:rPr>
          <w:rFonts w:ascii="Times New Roman;sans-serif" w:hAnsi="Times New Roman;sans-serif"/>
          <w:b/>
          <w:color w:val="0000FF"/>
          <w:sz w:val="22"/>
          <w:u w:val="single"/>
        </w:rPr>
        <w:t>154</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13.23</w:t>
      </w:r>
      <w:r>
        <w:rPr>
          <w:color w:val="000000"/>
        </w:rPr>
        <w:t>    </w:t>
      </w:r>
      <w:r>
        <w:rPr>
          <w:rFonts w:ascii="Times New Roman;sans-serif" w:hAnsi="Times New Roman;sans-serif"/>
          <w:b/>
          <w:color w:val="0000FF"/>
          <w:sz w:val="22"/>
          <w:u w:val="single"/>
        </w:rPr>
        <w:t>Judgment Currency</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150</w:t>
      </w:r>
      <w:r>
        <w:rPr>
          <w:rFonts w:ascii="Times New Roman;sans-serif" w:hAnsi="Times New Roman;sans-serif"/>
          <w:b/>
          <w:color w:val="0000FF"/>
          <w:sz w:val="22"/>
          <w:u w:val="single"/>
        </w:rPr>
        <w:t>155</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13.24</w:t>
      </w:r>
      <w:r>
        <w:rPr>
          <w:color w:val="000000"/>
        </w:rPr>
        <w:t>    </w:t>
      </w:r>
      <w:r>
        <w:rPr>
          <w:rFonts w:ascii="Times New Roman;sans-serif" w:hAnsi="Times New Roman;sans-serif"/>
          <w:b/>
          <w:color w:val="0000FF"/>
          <w:sz w:val="22"/>
          <w:u w:val="single"/>
        </w:rPr>
        <w:t>Electronic Execution; Electronic Records</w:t>
      </w:r>
      <w:r>
        <w:rPr>
          <w:rFonts w:ascii="Times New Roman;sans-serif" w:hAnsi="Times New Roman;sans-serif"/>
          <w:b/>
          <w:strike/>
          <w:color w:val="FF0000"/>
          <w:sz w:val="22"/>
          <w:u w:val="single"/>
        </w:rPr>
        <w:t>.</w:t>
      </w:r>
      <w:r>
        <w:rPr>
          <w:color w:val="000000"/>
        </w:rPr>
        <w:t>    </w:t>
      </w:r>
      <w:r>
        <w:rPr>
          <w:rFonts w:ascii="Times New Roman;sans-serif" w:hAnsi="Times New Roman;sans-serif"/>
          <w:b/>
          <w:strike/>
          <w:color w:val="FF0000"/>
          <w:sz w:val="22"/>
        </w:rPr>
        <w:t>151</w:t>
      </w:r>
      <w:r>
        <w:rPr>
          <w:rFonts w:ascii="Times New Roman;sans-serif" w:hAnsi="Times New Roman;sans-serif"/>
          <w:b/>
          <w:color w:val="0000FF"/>
          <w:sz w:val="22"/>
          <w:u w:val="single"/>
        </w:rPr>
        <w:t>156</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13.25</w:t>
      </w:r>
      <w:r>
        <w:rPr>
          <w:color w:val="000000"/>
        </w:rPr>
        <w:t>    </w:t>
      </w:r>
      <w:r>
        <w:rPr>
          <w:rFonts w:ascii="Times New Roman;sans-serif" w:hAnsi="Times New Roman;sans-serif"/>
          <w:b/>
          <w:color w:val="0000FF"/>
          <w:sz w:val="22"/>
          <w:u w:val="single"/>
        </w:rPr>
        <w:t xml:space="preserve">Acknowledgement and Consent to </w:t>
      </w:r>
      <w:r>
        <w:rPr>
          <w:rFonts w:ascii="Times New Roman;sans-serif" w:hAnsi="Times New Roman;sans-serif"/>
          <w:b/>
          <w:strike/>
          <w:color w:val="FF0000"/>
          <w:sz w:val="22"/>
          <w:u w:val="single"/>
        </w:rPr>
        <w:t>Bail-In</w:t>
      </w:r>
      <w:r>
        <w:rPr>
          <w:rFonts w:ascii="Times New Roman;sans-serif" w:hAnsi="Times New Roman;sans-serif"/>
          <w:b/>
          <w:color w:val="0000FF"/>
          <w:sz w:val="22"/>
          <w:u w:val="single"/>
        </w:rPr>
        <w:t>Bail-In of Affected Financial Institutions</w:t>
      </w:r>
      <w:r>
        <w:rPr>
          <w:color w:val="000000"/>
        </w:rPr>
        <w:t>    </w:t>
      </w:r>
      <w:r>
        <w:rPr>
          <w:rFonts w:ascii="Times New Roman;sans-serif" w:hAnsi="Times New Roman;sans-serif"/>
          <w:b/>
          <w:strike/>
          <w:color w:val="FF0000"/>
          <w:sz w:val="22"/>
        </w:rPr>
        <w:t>152</w:t>
      </w:r>
      <w:r>
        <w:rPr>
          <w:rFonts w:ascii="Times New Roman;sans-serif" w:hAnsi="Times New Roman;sans-serif"/>
          <w:b/>
          <w:color w:val="0000FF"/>
          <w:sz w:val="22"/>
          <w:u w:val="single"/>
        </w:rPr>
        <w:t>157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13.26</w:t>
      </w:r>
      <w:r>
        <w:rPr>
          <w:color w:val="000000"/>
        </w:rPr>
        <w:t>    </w:t>
      </w:r>
      <w:r>
        <w:rPr>
          <w:rFonts w:ascii="Times New Roman;sans-serif" w:hAnsi="Times New Roman;sans-serif"/>
          <w:b/>
          <w:color w:val="0000FF"/>
          <w:sz w:val="22"/>
          <w:u w:val="single"/>
        </w:rPr>
        <w:t>Acknowledgement Regarding Any Supported QFCs</w:t>
      </w:r>
      <w:r>
        <w:rPr>
          <w:color w:val="000000"/>
        </w:rPr>
        <w:t>    </w:t>
      </w:r>
      <w:r>
        <w:rPr>
          <w:rFonts w:ascii="Times New Roman;sans-serif" w:hAnsi="Times New Roman;sans-serif"/>
          <w:b/>
          <w:strike/>
          <w:color w:val="FF0000"/>
          <w:sz w:val="22"/>
        </w:rPr>
        <w:t>152</w:t>
      </w:r>
      <w:r>
        <w:rPr>
          <w:rFonts w:ascii="Times New Roman;sans-serif" w:hAnsi="Times New Roman;sans-serif"/>
          <w:b/>
          <w:color w:val="0000FF"/>
          <w:sz w:val="22"/>
          <w:u w:val="single"/>
        </w:rPr>
        <w:t>157</w:t>
      </w:r>
    </w:p>
    <w:p>
      <w:pPr>
        <w:pStyle w:val="TextBody"/>
        <w:bidi w:val="0"/>
        <w:spacing w:lineRule="auto" w:line="288" w:before="0" w:after="0"/>
        <w:ind w:left="0" w:right="0" w:hanging="1800"/>
        <w:jc w:val="left"/>
        <w:rPr/>
      </w:pPr>
      <w:r>
        <w:rPr>
          <w:rFonts w:ascii="Times New Roman;sans-serif" w:hAnsi="Times New Roman;sans-serif"/>
          <w:b/>
          <w:color w:val="0000FF"/>
          <w:sz w:val="22"/>
          <w:u w:val="single"/>
        </w:rPr>
        <w:t>SECTION 13.27</w:t>
      </w:r>
      <w:r>
        <w:rPr>
          <w:color w:val="000000"/>
        </w:rPr>
        <w:t>    </w:t>
      </w:r>
      <w:r>
        <w:rPr>
          <w:rFonts w:ascii="Times New Roman;sans-serif" w:hAnsi="Times New Roman;sans-serif"/>
          <w:b/>
          <w:color w:val="0000FF"/>
          <w:sz w:val="22"/>
          <w:u w:val="single"/>
        </w:rPr>
        <w:t>Amendment and Restatement</w:t>
      </w:r>
      <w:r>
        <w:rPr>
          <w:color w:val="000000"/>
        </w:rPr>
        <w:t>    </w:t>
      </w:r>
      <w:r>
        <w:rPr>
          <w:rFonts w:ascii="Times New Roman;sans-serif" w:hAnsi="Times New Roman;sans-serif"/>
          <w:b/>
          <w:strike/>
          <w:color w:val="FF0000"/>
          <w:sz w:val="22"/>
        </w:rPr>
        <w:t>153</w:t>
      </w:r>
      <w:r>
        <w:rPr>
          <w:rFonts w:ascii="Times New Roman;sans-serif" w:hAnsi="Times New Roman;sans-serif"/>
          <w:b/>
          <w:color w:val="0000FF"/>
          <w:sz w:val="22"/>
          <w:u w:val="single"/>
        </w:rPr>
        <w:t>158</w:t>
      </w:r>
    </w:p>
    <w:p>
      <w:pPr>
        <w:pStyle w:val="TextBody"/>
        <w:bidi w:val="0"/>
        <w:spacing w:before="0" w:after="0"/>
        <w:jc w:val="both"/>
        <w:rPr/>
      </w:pPr>
      <w:r>
        <w:rPr/>
      </w:r>
    </w:p>
    <w:p>
      <w:pPr>
        <w:pStyle w:val="TextBody"/>
        <w:bidi w:val="0"/>
        <w:ind w:left="0" w:right="0" w:hanging="18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206"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EXHIBITS</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A-1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Dollar Tranche Revolving Credit Note</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A-2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Swingline Note</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A-3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Term Loan Note</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A-4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Designated Currency Tranche Revolving Credit Note</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B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Loan Notice</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C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Notice of Account Designation</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D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Form of Notice of Prepayment</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E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Swingline Loan Notice</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F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Officer’s Compliance Certificate</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G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Assignment and Assumption</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H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Guaranty Agreement</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I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Pledge Agreement</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J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Bank Product Provider Notice</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K (</w:t>
      </w:r>
      <w:r>
        <w:rPr>
          <w:rFonts w:ascii="Times New Roman;sans-serif" w:hAnsi="Times New Roman;sans-serif"/>
          <w:b w:val="false"/>
          <w:strike/>
          <w:color w:val="FF0000"/>
          <w:sz w:val="22"/>
        </w:rPr>
        <w:t>1-4</w:t>
      </w:r>
      <w:r>
        <w:rPr>
          <w:rFonts w:ascii="Times New Roman;sans-serif" w:hAnsi="Times New Roman;sans-serif"/>
          <w:b w:val="false"/>
          <w:color w:val="0000FF"/>
          <w:sz w:val="22"/>
          <w:u w:val="single"/>
        </w:rPr>
        <w:t>1-4</w:t>
      </w:r>
      <w:r>
        <w:rPr>
          <w:rFonts w:ascii="Times New Roman;sans-serif" w:hAnsi="Times New Roman;sans-serif"/>
          <w:b w:val="false"/>
          <w:color w:val="000000"/>
          <w:sz w:val="22"/>
        </w:rPr>
        <w:t>)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Forms of U.S. Tax Compliance Certificates</w:t>
      </w:r>
    </w:p>
    <w:p>
      <w:pPr>
        <w:pStyle w:val="TextBody"/>
        <w:bidi w:val="0"/>
        <w:spacing w:lineRule="auto" w:line="300" w:before="7" w:after="283"/>
        <w:ind w:left="0" w:right="0" w:hanging="2880"/>
        <w:jc w:val="both"/>
        <w:rPr/>
      </w:pPr>
      <w:r>
        <w:rPr>
          <w:rFonts w:ascii="Times New Roman;sans-serif" w:hAnsi="Times New Roman;sans-serif"/>
          <w:b w:val="false"/>
          <w:color w:val="000000"/>
          <w:sz w:val="22"/>
        </w:rPr>
        <w:t>Exhibit L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Form of Letter of Credit Report</w:t>
      </w:r>
    </w:p>
    <w:p>
      <w:pPr>
        <w:pStyle w:val="TextBody"/>
        <w:bidi w:val="0"/>
        <w:spacing w:lineRule="auto" w:line="288" w:before="240" w:after="283"/>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SCHEDULES</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1.1(a)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Addresses for Notices</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1.1(b)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Lenders and Commitments</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1.1(c)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Existing Letters of Credit</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2.3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L/C Commitments</w:t>
      </w:r>
    </w:p>
    <w:p>
      <w:pPr>
        <w:pStyle w:val="TextBody"/>
        <w:bidi w:val="0"/>
        <w:spacing w:lineRule="auto" w:line="300" w:before="7" w:after="283"/>
        <w:ind w:left="0" w:right="0" w:hanging="2880"/>
        <w:jc w:val="left"/>
        <w:rPr/>
      </w:pPr>
      <w:r>
        <w:rPr>
          <w:rFonts w:ascii="Times New Roman;sans-serif" w:hAnsi="Times New Roman;sans-serif"/>
          <w:b w:val="false"/>
          <w:color w:val="0000FF"/>
          <w:sz w:val="22"/>
          <w:u w:val="single"/>
        </w:rPr>
        <w:t>Schedule 4.2</w:t>
      </w:r>
      <w:r>
        <w:rPr>
          <w:color w:val="000000"/>
        </w:rPr>
        <w:t>    </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FF"/>
          <w:sz w:val="22"/>
          <w:u w:val="single"/>
        </w:rPr>
        <w:t>Day Basis for Designated Currencies</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6.1(a)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Jurisdictions of Organization</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6.1(b)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Subsidiaries and Capitalization</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6.1(l)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Material Domestic Subsidiaries</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6.1(m)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Labor and Collective Bargaining Agreements</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10.1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Existing Indebtedness</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10.2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Existing Liens</w:t>
      </w:r>
    </w:p>
    <w:p>
      <w:pPr>
        <w:pStyle w:val="TextBody"/>
        <w:bidi w:val="0"/>
        <w:spacing w:lineRule="auto" w:line="300" w:before="7" w:after="283"/>
        <w:ind w:left="0" w:right="0" w:hanging="2880"/>
        <w:jc w:val="left"/>
        <w:rPr/>
      </w:pPr>
      <w:r>
        <w:rPr>
          <w:rFonts w:ascii="Times New Roman;sans-serif" w:hAnsi="Times New Roman;sans-serif"/>
          <w:b w:val="false"/>
          <w:color w:val="000000"/>
          <w:sz w:val="22"/>
        </w:rPr>
        <w:t>Schedule 10.3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Existing Loans, Advances and Investments</w:t>
      </w:r>
    </w:p>
    <w:p>
      <w:pPr>
        <w:pStyle w:val="TextBody"/>
        <w:bidi w:val="0"/>
        <w:spacing w:lineRule="auto" w:line="300" w:before="0" w:after="1200"/>
        <w:ind w:left="0" w:right="0" w:hanging="2880"/>
        <w:jc w:val="left"/>
        <w:rPr/>
      </w:pPr>
      <w:r>
        <w:rPr>
          <w:rFonts w:ascii="Times New Roman;sans-serif" w:hAnsi="Times New Roman;sans-serif"/>
          <w:b w:val="false"/>
          <w:color w:val="000000"/>
          <w:sz w:val="22"/>
        </w:rPr>
        <w:t>Schedule 10.8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w:t>
      </w:r>
      <w:r>
        <w:rPr>
          <w:rFonts w:ascii="Times New Roman;sans-serif" w:hAnsi="Times New Roman;sans-serif"/>
          <w:b w:val="false"/>
          <w:color w:val="000000"/>
          <w:sz w:val="22"/>
        </w:rPr>
        <w:t>Transactions with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207"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AMENDED AND RESTATED CREDIT AGREEMENT, dated as of October 30, 2020, by and among BLACKBAUD,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certain Subsidiaries of the Company party hereto pursuant to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Subsidiary Borrower</w:t>
      </w:r>
      <w:r>
        <w:rPr>
          <w:color w:val="000000"/>
        </w:rPr>
        <w:t>”</w:t>
      </w:r>
      <w:r>
        <w:rPr>
          <w:rFonts w:ascii="Times New Roman;sans-serif" w:hAnsi="Times New Roman;sans-serif"/>
          <w:b w:val="false"/>
          <w:color w:val="000000"/>
          <w:sz w:val="24"/>
        </w:rPr>
        <w:t>, and together with the Company, collectively the “</w:t>
      </w:r>
      <w:r>
        <w:rPr>
          <w:rFonts w:ascii="Times New Roman;sans-serif" w:hAnsi="Times New Roman;sans-serif"/>
          <w:b w:val="false"/>
          <w:color w:val="000000"/>
          <w:sz w:val="24"/>
          <w:u w:val="single"/>
        </w:rPr>
        <w:t>Borrowers</w:t>
      </w:r>
      <w:r>
        <w:rPr>
          <w:color w:val="000000"/>
        </w:rPr>
        <w:t xml:space="preserve">” </w:t>
      </w:r>
      <w:r>
        <w:rPr>
          <w:rFonts w:ascii="Times New Roman;sans-serif" w:hAnsi="Times New Roman;sans-serif"/>
          <w:b w:val="false"/>
          <w:color w:val="000000"/>
          <w:sz w:val="24"/>
        </w:rPr>
        <w:t>and any of them individually, each a “</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the lenders who are or may become a party to this Agreement (collectively, the “</w:t>
      </w:r>
      <w:r>
        <w:rPr>
          <w:rFonts w:ascii="Times New Roman;sans-serif" w:hAnsi="Times New Roman;sans-serif"/>
          <w:b w:val="false"/>
          <w:color w:val="000000"/>
          <w:sz w:val="24"/>
          <w:u w:val="single"/>
        </w:rPr>
        <w:t>Lenders</w:t>
      </w:r>
      <w:r>
        <w:rPr>
          <w:color w:val="000000"/>
        </w:rPr>
        <w:t>”</w:t>
      </w:r>
      <w:r>
        <w:rPr>
          <w:rFonts w:ascii="Times New Roman;sans-serif" w:hAnsi="Times New Roman;sans-serif"/>
          <w:b w:val="false"/>
          <w:color w:val="000000"/>
          <w:sz w:val="24"/>
        </w:rPr>
        <w:t>) and BANK OF AMERICA, N.A., a national banking association, as Administrative Agent for the Lenders.</w:t>
      </w:r>
    </w:p>
    <w:p>
      <w:pPr>
        <w:pStyle w:val="TextBody"/>
        <w:bidi w:val="0"/>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STATEMENT OF PURPOSE</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Company, the other borrowers from time to time party thereto, the lenders party thereto and Bank of America, N.A., as administrative agent, swingline lender and an issuing lender, have entered into that certain Credit Agreement, dated as of June 2, 2017 (as amended or modified from time to time prior to the Closing Date,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w:t>
      </w:r>
      <w:r>
        <w:rPr>
          <w:strike/>
          <w:color w:val="FF0000"/>
        </w:rPr>
        <w:t xml:space="preserve"> </w:t>
      </w:r>
      <w:r>
        <w:rPr>
          <w:rFonts w:ascii="Times New Roman;sans-serif" w:hAnsi="Times New Roman;sans-serif"/>
          <w:b w:val="false"/>
          <w:strike/>
          <w:color w:val="FF0000"/>
          <w:sz w:val="22"/>
        </w:rPr>
        <w:t>and</w:t>
      </w:r>
      <w:r>
        <w:rPr>
          <w:strike/>
          <w:color w:val="FF0000"/>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FF"/>
          <w:sz w:val="22"/>
          <w:u w:val="single"/>
        </w:rPr>
        <w:t>WHEREAS</w:t>
      </w:r>
      <w:r>
        <w:rPr>
          <w:rFonts w:ascii="Times New Roman;sans-serif" w:hAnsi="Times New Roman;sans-serif"/>
          <w:b w:val="false"/>
          <w:color w:val="0000FF"/>
          <w:sz w:val="22"/>
          <w:u w:val="single"/>
        </w:rPr>
        <w:t xml:space="preserve">, prior to the Third Amendment Effective Date, the parties hereto amended and restated the Existing Credit Agreement to (a) provide for a $500,000,000 revolving credit facility, with a $50,000,000 letter of credit subfacility and a $50,000,000 swingline subfacility, in favor of the Borrowers, and (ii) a term loan to the Company in an initial aggregate principal amount equal to $400,000,000 and (b) make certain other amendments and modifications to the Existing Credit Agreement; and </w:t>
      </w:r>
    </w:p>
    <w:p>
      <w:pPr>
        <w:pStyle w:val="TextBody"/>
        <w:bidi w:val="0"/>
        <w:spacing w:lineRule="auto" w:line="288" w:before="0" w:after="240"/>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parties hereto wish to </w:t>
      </w:r>
      <w:r>
        <w:rPr>
          <w:rFonts w:ascii="Times New Roman;sans-serif" w:hAnsi="Times New Roman;sans-serif"/>
          <w:b w:val="false"/>
          <w:color w:val="0000FF"/>
          <w:sz w:val="22"/>
          <w:u w:val="single"/>
        </w:rPr>
        <w:t xml:space="preserve">further </w:t>
      </w:r>
      <w:r>
        <w:rPr>
          <w:rFonts w:ascii="Times New Roman;sans-serif" w:hAnsi="Times New Roman;sans-serif"/>
          <w:b w:val="false"/>
          <w:color w:val="000000"/>
          <w:sz w:val="22"/>
        </w:rPr>
        <w:t xml:space="preserve">amend </w:t>
      </w:r>
      <w:r>
        <w:rPr>
          <w:rFonts w:ascii="Times New Roman;sans-serif" w:hAnsi="Times New Roman;sans-serif"/>
          <w:b w:val="false"/>
          <w:strike/>
          <w:color w:val="FF0000"/>
          <w:sz w:val="22"/>
        </w:rPr>
        <w:t xml:space="preserve">and restate </w:t>
      </w:r>
      <w:r>
        <w:rPr>
          <w:rFonts w:ascii="Times New Roman;sans-serif" w:hAnsi="Times New Roman;sans-serif"/>
          <w:b w:val="false"/>
          <w:color w:val="000000"/>
          <w:sz w:val="22"/>
        </w:rPr>
        <w:t xml:space="preserve">the Existing Credit Agreement </w:t>
      </w:r>
      <w:r>
        <w:rPr>
          <w:rFonts w:ascii="Times New Roman;sans-serif" w:hAnsi="Times New Roman;sans-serif"/>
          <w:b w:val="false"/>
          <w:color w:val="0000FF"/>
          <w:sz w:val="22"/>
          <w:u w:val="single"/>
        </w:rPr>
        <w:t xml:space="preserve">as of the Third Amendment Effective Date, </w:t>
      </w:r>
      <w:r>
        <w:rPr>
          <w:rFonts w:ascii="Times New Roman;sans-serif" w:hAnsi="Times New Roman;sans-serif"/>
          <w:b w:val="false"/>
          <w:color w:val="000000"/>
          <w:sz w:val="22"/>
        </w:rPr>
        <w:t>to (a) provide for</w:t>
      </w:r>
      <w:r>
        <w:rPr>
          <w:strike/>
          <w:color w:val="FF0000"/>
        </w:rPr>
        <w:t xml:space="preserve"> </w:t>
      </w:r>
      <w:r>
        <w:rPr>
          <w:rFonts w:ascii="Times New Roman;sans-serif" w:hAnsi="Times New Roman;sans-serif"/>
          <w:b w:val="false"/>
          <w:strike/>
          <w:color w:val="FF0000"/>
          <w:sz w:val="22"/>
        </w:rPr>
        <w:t>(i) a $500,000,000</w:t>
      </w:r>
      <w:r>
        <w:rPr>
          <w:rFonts w:ascii="Times New Roman;sans-serif" w:hAnsi="Times New Roman;sans-serif"/>
          <w:b w:val="false"/>
          <w:color w:val="0000FF"/>
          <w:sz w:val="22"/>
          <w:u w:val="single"/>
        </w:rPr>
        <w:t>, as of the Third Amendment Effective Date, (i) a $700,000,000</w:t>
      </w:r>
      <w:r>
        <w:rPr>
          <w:color w:val="000000"/>
        </w:rPr>
        <w:t xml:space="preserve"> </w:t>
      </w:r>
      <w:r>
        <w:rPr>
          <w:rFonts w:ascii="Times New Roman;sans-serif" w:hAnsi="Times New Roman;sans-serif"/>
          <w:b w:val="false"/>
          <w:color w:val="000000"/>
          <w:sz w:val="22"/>
        </w:rPr>
        <w:t>revolving credit facility, with a $50,000,000 letter of credit subfacility and a $50,000,000 swingline subfacility, in favor of the Borrowers, and (ii) a term loan to the Company in an initial aggregate principal amount equal to $</w:t>
      </w:r>
      <w:r>
        <w:rPr>
          <w:rFonts w:ascii="Times New Roman;sans-serif" w:hAnsi="Times New Roman;sans-serif"/>
          <w:b w:val="false"/>
          <w:strike/>
          <w:color w:val="FF0000"/>
          <w:sz w:val="22"/>
        </w:rPr>
        <w:t>400,000,000</w:t>
      </w:r>
      <w:r>
        <w:rPr>
          <w:rFonts w:ascii="Times New Roman;sans-serif" w:hAnsi="Times New Roman;sans-serif"/>
          <w:b w:val="false"/>
          <w:color w:val="0000FF"/>
          <w:sz w:val="22"/>
          <w:u w:val="single"/>
        </w:rPr>
        <w:t>800,000,000</w:t>
      </w:r>
      <w:r>
        <w:rPr>
          <w:color w:val="000000"/>
        </w:rPr>
        <w:t xml:space="preserve"> </w:t>
      </w:r>
      <w:r>
        <w:rPr>
          <w:rFonts w:ascii="Times New Roman;sans-serif" w:hAnsi="Times New Roman;sans-serif"/>
          <w:b w:val="false"/>
          <w:color w:val="000000"/>
          <w:sz w:val="22"/>
        </w:rPr>
        <w:t xml:space="preserve">and (b) make certain other amendments and modifications to the Existing Credit Agreement, </w:t>
      </w:r>
      <w:r>
        <w:rPr>
          <w:rFonts w:ascii="Times New Roman;sans-serif" w:hAnsi="Times New Roman;sans-serif"/>
          <w:b w:val="false"/>
          <w:color w:val="0000FF"/>
          <w:sz w:val="22"/>
          <w:u w:val="single"/>
        </w:rPr>
        <w:t xml:space="preserve">as of the Third Amendment Effective Date, </w:t>
      </w:r>
      <w:r>
        <w:rPr>
          <w:rFonts w:ascii="Times New Roman;sans-serif" w:hAnsi="Times New Roman;sans-serif"/>
          <w:b w:val="false"/>
          <w:color w:val="000000"/>
          <w:sz w:val="22"/>
        </w:rPr>
        <w:t>subject to the conditions set forth herein.</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for good and valuable consideration, the receipt and sufficiency of which are hereby acknowledged by the parties hereto, such parties hereby agree as follows: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w:t>
        <w:br/>
        <w:br/>
        <w:t>DEFINITIONS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1.1    </w:t>
      </w:r>
      <w:r>
        <w:rPr>
          <w:rFonts w:ascii="Times New Roman;sans-serif" w:hAnsi="Times New Roman;sans-serif"/>
          <w:b/>
          <w:color w:val="000000"/>
          <w:sz w:val="22"/>
          <w:u w:val="single"/>
        </w:rPr>
        <w:t>Definitions</w:t>
      </w:r>
      <w:r>
        <w:rPr>
          <w:rFonts w:ascii="Times New Roman;sans-serif" w:hAnsi="Times New Roman;sans-serif"/>
          <w:b w:val="false"/>
          <w:color w:val="000000"/>
          <w:sz w:val="22"/>
        </w:rPr>
        <w:t>. The following terms when used in this Agreement shall have the meanings assigned to them below:</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Adjustment</w:t>
      </w:r>
      <w:r>
        <w:rPr>
          <w:strike/>
          <w:color w:val="008000"/>
        </w:rPr>
        <w:t xml:space="preserve">” </w:t>
      </w:r>
      <w:r>
        <w:rPr>
          <w:rFonts w:ascii="Times New Roman;sans-serif" w:hAnsi="Times New Roman;sans-serif"/>
          <w:b w:val="false"/>
          <w:strike/>
          <w:color w:val="008000"/>
          <w:sz w:val="22"/>
        </w:rPr>
        <w:t xml:space="preserve">has the meaning assigned to such term in </w:t>
      </w:r>
      <w:r>
        <w:rPr>
          <w:rFonts w:ascii="Times New Roman;sans-serif" w:hAnsi="Times New Roman;sans-serif"/>
          <w:b w:val="false"/>
          <w:strike/>
          <w:color w:val="008000"/>
          <w:sz w:val="22"/>
          <w:u w:val="single"/>
        </w:rPr>
        <w:t xml:space="preserve">Section </w:t>
      </w:r>
      <w:r>
        <w:rPr>
          <w:rFonts w:ascii="Times New Roman;sans-serif" w:hAnsi="Times New Roman;sans-serif"/>
          <w:b w:val="false"/>
          <w:strike/>
          <w:color w:val="FF0000"/>
          <w:sz w:val="22"/>
          <w:u w:val="single"/>
        </w:rPr>
        <w:t>4.8(c)</w:t>
      </w:r>
      <w:r>
        <w:rPr>
          <w:rFonts w:ascii="Times New Roman;sans-serif" w:hAnsi="Times New Roman;sans-serif"/>
          <w:b w:val="false"/>
          <w:strike/>
          <w:color w:val="FF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Bank of America</w:t>
      </w:r>
      <w:r>
        <w:rPr>
          <w:color w:val="000000"/>
        </w:rPr>
        <w:t xml:space="preserve"> </w:t>
      </w:r>
      <w:r>
        <w:rPr>
          <w:rFonts w:ascii="Times New Roman;sans-serif" w:hAnsi="Times New Roman;sans-serif"/>
          <w:b w:val="false"/>
          <w:color w:val="000000"/>
          <w:sz w:val="22"/>
        </w:rPr>
        <w:t xml:space="preserve">(or any of its designated branch offices or affiliates) in its capacity as administrative agent under any of the Loan Documents, or any successor administrative agent appointed pursuant to </w:t>
      </w:r>
      <w:r>
        <w:rPr>
          <w:rFonts w:ascii="Times New Roman;sans-serif" w:hAnsi="Times New Roman;sans-serif"/>
          <w:b w:val="false"/>
          <w:color w:val="000000"/>
          <w:sz w:val="22"/>
          <w:u w:val="single"/>
        </w:rPr>
        <w:t>Section 12.6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Agent Fee Letter</w:t>
      </w:r>
      <w:r>
        <w:rPr>
          <w:color w:val="000000"/>
        </w:rPr>
        <w:t xml:space="preserve">” </w:t>
      </w:r>
      <w:r>
        <w:rPr>
          <w:rFonts w:ascii="Times New Roman;sans-serif" w:hAnsi="Times New Roman;sans-serif"/>
          <w:b w:val="false"/>
          <w:color w:val="000000"/>
          <w:sz w:val="22"/>
        </w:rPr>
        <w:t xml:space="preserve">means the fee letter dated as of </w:t>
      </w:r>
      <w:r>
        <w:rPr>
          <w:rFonts w:ascii="Times New Roman;sans-serif" w:hAnsi="Times New Roman;sans-serif"/>
          <w:b w:val="false"/>
          <w:strike/>
          <w:color w:val="FF0000"/>
          <w:sz w:val="22"/>
        </w:rPr>
        <w:t>October 12, 2020</w:t>
      </w:r>
      <w:r>
        <w:rPr>
          <w:rFonts w:ascii="Times New Roman;sans-serif" w:hAnsi="Times New Roman;sans-serif"/>
          <w:b w:val="false"/>
          <w:color w:val="0000FF"/>
          <w:sz w:val="22"/>
          <w:u w:val="single"/>
        </w:rPr>
        <w:t>March 25, 2024</w:t>
      </w:r>
      <w:r>
        <w:rPr>
          <w:color w:val="000000"/>
        </w:rPr>
        <w:t xml:space="preserve"> </w:t>
      </w:r>
      <w:r>
        <w:rPr>
          <w:rFonts w:ascii="Times New Roman;sans-serif" w:hAnsi="Times New Roman;sans-serif"/>
          <w:b w:val="false"/>
          <w:color w:val="000000"/>
          <w:sz w:val="22"/>
        </w:rPr>
        <w:t>among the Company, the Administrative Agent and BAS.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Agent’s Office</w:t>
      </w:r>
      <w:r>
        <w:rPr>
          <w:color w:val="000000"/>
        </w:rPr>
        <w:t xml:space="preserve">” </w:t>
      </w:r>
      <w:r>
        <w:rPr>
          <w:rFonts w:ascii="Times New Roman;sans-serif" w:hAnsi="Times New Roman;sans-serif"/>
          <w:b w:val="false"/>
          <w:color w:val="000000"/>
          <w:sz w:val="22"/>
        </w:rPr>
        <w:t xml:space="preserve">means, with respect to any currency, the Administrative Agent’s address and, as appropriate, account as set forth on </w:t>
      </w:r>
      <w:r>
        <w:rPr>
          <w:rFonts w:ascii="Times New Roman;sans-serif" w:hAnsi="Times New Roman;sans-serif"/>
          <w:b w:val="false"/>
          <w:color w:val="000000"/>
          <w:sz w:val="22"/>
          <w:u w:val="single"/>
        </w:rPr>
        <w:t>Schedule 1.1(a)</w:t>
      </w:r>
      <w:r>
        <w:rPr>
          <w:color w:val="000000"/>
        </w:rPr>
        <w:t xml:space="preserve"> </w:t>
      </w:r>
      <w:r>
        <w:rPr>
          <w:rFonts w:ascii="Times New Roman;sans-serif" w:hAnsi="Times New Roman;sans-serif"/>
          <w:b w:val="false"/>
          <w:color w:val="000000"/>
          <w:sz w:val="22"/>
        </w:rPr>
        <w:t xml:space="preserve">with respect to such currency,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20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address or account with respect to such currency as the Administrative Agent may from time to time notify the Company and the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substantially the form supplied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any Person, any other Person (other than a Restricted Subsidiary of the Company) which directly or indirectly through one or more intermediaries, controls, or is controlled by, or is under common control with, such Person. The term “control” means (a) the power to vote ten percent (10%) or more of the securities or other equity interests of a Person having ordinary voting power, or (b) the possession, directly or indirectly, of any other power to direct or cause the direction of the management and policies of a Person, whether through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Agreed Currencies</w:t>
      </w:r>
      <w:r>
        <w:rPr>
          <w:color w:val="000000"/>
        </w:rPr>
        <w:t xml:space="preserve">” </w:t>
      </w:r>
      <w:r>
        <w:rPr>
          <w:rFonts w:ascii="Times New Roman;sans-serif" w:hAnsi="Times New Roman;sans-serif"/>
          <w:b w:val="false"/>
          <w:color w:val="000000"/>
          <w:sz w:val="22"/>
        </w:rPr>
        <w:t xml:space="preserve">means Dollars </w:t>
      </w:r>
      <w:r>
        <w:rPr>
          <w:rFonts w:ascii="Times New Roman;sans-serif" w:hAnsi="Times New Roman;sans-serif"/>
          <w:b w:val="false"/>
          <w:strike/>
          <w:color w:val="FF0000"/>
          <w:sz w:val="22"/>
        </w:rPr>
        <w:t>and Foreign Currencies</w:t>
      </w:r>
      <w:r>
        <w:rPr>
          <w:rFonts w:ascii="Times New Roman;sans-serif" w:hAnsi="Times New Roman;sans-serif"/>
          <w:b w:val="false"/>
          <w:color w:val="0000FF"/>
          <w:sz w:val="22"/>
          <w:u w:val="single"/>
        </w:rPr>
        <w:t>or any Designated Currency, as applicable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means this Credit Agreement, as amended, restated, supplemented or otherwise modified from time to time.</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Applicable Currency</w:t>
      </w:r>
      <w:r>
        <w:rPr>
          <w:strike/>
          <w:color w:val="FF0000"/>
        </w:rPr>
        <w:t xml:space="preserve">” </w:t>
      </w:r>
      <w:r>
        <w:rPr>
          <w:rFonts w:ascii="Times New Roman;sans-serif" w:hAnsi="Times New Roman;sans-serif"/>
          <w:b w:val="false"/>
          <w:strike/>
          <w:color w:val="FF0000"/>
          <w:sz w:val="22"/>
        </w:rPr>
        <w:t xml:space="preserve">means Dollars or any Foreign Currency </w:t>
      </w:r>
      <w:r>
        <w:rPr>
          <w:rFonts w:ascii="Times New Roman;sans-serif" w:hAnsi="Times New Roman;sans-serif"/>
          <w:b w:val="false"/>
          <w:strike/>
          <w:color w:val="008000"/>
          <w:sz w:val="22"/>
        </w:rPr>
        <w:t xml:space="preserve">that bears interest at a rate based on </w:t>
      </w:r>
      <w:r>
        <w:rPr>
          <w:rFonts w:ascii="Times New Roman;sans-serif" w:hAnsi="Times New Roman;sans-serif"/>
          <w:b w:val="false"/>
          <w:strike/>
          <w:color w:val="FF0000"/>
          <w:sz w:val="22"/>
        </w:rPr>
        <w:t>an Applicable Reference Rate, as applicable.</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Applicable Authority” means (a) with respect to SOFR, the SOFR Administrator or any governmental authority having jurisdiction over the Administrative Agent or the SOFR Administrator with respect to its publication of SOFR, in each case, acting in such capacity, (b) with respect to Term SOFR, CME or any successor administrator of the Term SOFR Screen Rate or a governmental authority </w:t>
      </w:r>
      <w:r>
        <w:rPr>
          <w:rFonts w:ascii="Times New Roman;sans-serif" w:hAnsi="Times New Roman;sans-serif"/>
          <w:b w:val="false"/>
          <w:color w:val="008000"/>
          <w:sz w:val="22"/>
          <w:u w:val="single"/>
        </w:rPr>
        <w:t xml:space="preserve">having jurisdiction over the Administrative Agent or such administrator </w:t>
      </w:r>
      <w:r>
        <w:rPr>
          <w:rFonts w:ascii="Times New Roman;sans-serif" w:hAnsi="Times New Roman;sans-serif"/>
          <w:b w:val="false"/>
          <w:color w:val="0000FF"/>
          <w:sz w:val="22"/>
          <w:u w:val="single"/>
        </w:rPr>
        <w:t xml:space="preserve">with respect to its publication of Term SOFR, in each case, acting in such capacity and (c) with respect to any Designated Currency, the applicable administrator for the Relevant Rate for such Designated Currency or any </w:t>
      </w:r>
      <w:r>
        <w:rPr>
          <w:rFonts w:ascii="Times New Roman;sans-serif" w:hAnsi="Times New Roman;sans-serif"/>
          <w:b w:val="false"/>
          <w:color w:val="008000"/>
          <w:sz w:val="22"/>
          <w:u w:val="single"/>
        </w:rPr>
        <w:t xml:space="preserve">Governmental Authority having jurisdiction over </w:t>
      </w:r>
      <w:r>
        <w:rPr>
          <w:rFonts w:ascii="Times New Roman;sans-serif" w:hAnsi="Times New Roman;sans-serif"/>
          <w:b w:val="false"/>
          <w:color w:val="0000FF"/>
          <w:sz w:val="22"/>
          <w:u w:val="single"/>
        </w:rPr>
        <w:t>the Administrative Agent or such administrator with respect to its publication of the applicable Relevant Rate, in each case acting in such capacity.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Law</w:t>
      </w:r>
      <w:r>
        <w:rPr>
          <w:color w:val="000000"/>
        </w:rPr>
        <w:t xml:space="preserve">” </w:t>
      </w:r>
      <w:r>
        <w:rPr>
          <w:rFonts w:ascii="Times New Roman;sans-serif" w:hAnsi="Times New Roman;sans-serif"/>
          <w:b w:val="false"/>
          <w:color w:val="000000"/>
          <w:sz w:val="22"/>
        </w:rPr>
        <w:t>means all applicable provisions of constitutions, laws, statutes, ordinances, rules, treaties, regulations, permits, licenses, approvals, interpretations and orders of courts or Governmental Authorities and all orders and decrees of all courts and arbitrators.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Margin</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with respect to any Incremental Term Loans, as determined pursuant to, and in accordance with, </w:t>
      </w:r>
      <w:r>
        <w:rPr>
          <w:rFonts w:ascii="Times New Roman;sans-serif" w:hAnsi="Times New Roman;sans-serif"/>
          <w:b w:val="false"/>
          <w:color w:val="000000"/>
          <w:sz w:val="22"/>
          <w:u w:val="single"/>
        </w:rPr>
        <w:t>Section 2.9(g)</w:t>
      </w:r>
      <w:r>
        <w:rPr>
          <w:rFonts w:ascii="Times New Roman;sans-serif" w:hAnsi="Times New Roman;sans-serif"/>
          <w:b w:val="false"/>
          <w:color w:val="000000"/>
          <w:sz w:val="22"/>
        </w:rPr>
        <w: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subject to the terms of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 with respect to Revolving Credit Loans, Swingline Loans, the Term Loan and the commitment fee, the corresponding percentages per annum as set forth below based on the Net Leverage Ratio:</w:t>
      </w:r>
    </w:p>
    <w:tbl>
      <w:tblPr>
        <w:tblW w:w="9734" w:type="dxa"/>
        <w:jc w:val="left"/>
        <w:tblInd w:w="0" w:type="dxa"/>
        <w:tblLayout w:type="fixed"/>
        <w:tblCellMar>
          <w:top w:w="28" w:type="dxa"/>
          <w:left w:w="28" w:type="dxa"/>
          <w:bottom w:w="28" w:type="dxa"/>
          <w:right w:w="28" w:type="dxa"/>
        </w:tblCellMar>
      </w:tblPr>
      <w:tblGrid>
        <w:gridCol w:w="299"/>
        <w:gridCol w:w="263"/>
        <w:gridCol w:w="264"/>
        <w:gridCol w:w="679"/>
        <w:gridCol w:w="679"/>
        <w:gridCol w:w="681"/>
        <w:gridCol w:w="429"/>
        <w:gridCol w:w="429"/>
        <w:gridCol w:w="431"/>
        <w:gridCol w:w="1389"/>
        <w:gridCol w:w="1389"/>
        <w:gridCol w:w="1391"/>
        <w:gridCol w:w="413"/>
        <w:gridCol w:w="413"/>
        <w:gridCol w:w="585"/>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Pricing</w:t>
              <w:br/>
              <w:t>Level</w:t>
            </w:r>
          </w:p>
        </w:tc>
        <w:tc>
          <w:tcPr>
            <w:tcW w:w="20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Net Leverage Ratio</w:t>
            </w:r>
          </w:p>
        </w:tc>
        <w:tc>
          <w:tcPr>
            <w:tcW w:w="12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Base Rate +</w:t>
            </w:r>
          </w:p>
        </w:tc>
        <w:tc>
          <w:tcPr>
            <w:tcW w:w="41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ans-serif" w:hAnsi="Times New Roman;sans-serif"/>
                <w:b/>
                <w:strike/>
                <w:color w:val="FF0000"/>
                <w:sz w:val="24"/>
              </w:rPr>
              <w:t>Eurocurrency</w:t>
            </w:r>
            <w:r>
              <w:rPr>
                <w:rFonts w:ascii="Times New Roman;sans-serif" w:hAnsi="Times New Roman;sans-serif"/>
                <w:b/>
                <w:color w:val="0000FF"/>
                <w:sz w:val="24"/>
                <w:u w:val="single"/>
              </w:rPr>
              <w:t xml:space="preserve">Term SOFR Loans/Daily </w:t>
            </w:r>
          </w:p>
        </w:tc>
        <w:tc>
          <w:tcPr>
            <w:tcW w:w="141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Commitment</w:t>
              <w:br/>
              <w:t>Fee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20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0"/>
        <w:gridCol w:w="114"/>
        <w:gridCol w:w="117"/>
        <w:gridCol w:w="1030"/>
        <w:gridCol w:w="1027"/>
        <w:gridCol w:w="1031"/>
        <w:gridCol w:w="273"/>
        <w:gridCol w:w="273"/>
        <w:gridCol w:w="275"/>
        <w:gridCol w:w="1686"/>
        <w:gridCol w:w="1686"/>
        <w:gridCol w:w="1691"/>
        <w:gridCol w:w="253"/>
        <w:gridCol w:w="253"/>
        <w:gridCol w:w="366"/>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FF"/>
                <w:sz w:val="24"/>
                <w:u w:val="single"/>
              </w:rPr>
              <w:t>SOFR Loans/Designated Currency</w:t>
            </w:r>
            <w:r>
              <w:rPr>
                <w:color w:val="000000"/>
              </w:rPr>
              <w:t xml:space="preserve"> </w:t>
            </w:r>
            <w:r>
              <w:rPr>
                <w:rFonts w:ascii="Times New Roman;sans-serif" w:hAnsi="Times New Roman;sans-serif"/>
                <w:b/>
                <w:color w:val="000000"/>
                <w:sz w:val="24"/>
              </w:rPr>
              <w:t xml:space="preserve">Rate </w:t>
            </w:r>
            <w:r>
              <w:rPr>
                <w:rFonts w:ascii="Times New Roman;sans-serif" w:hAnsi="Times New Roman;sans-serif"/>
                <w:b/>
                <w:color w:val="0000FF"/>
                <w:sz w:val="24"/>
                <w:u w:val="single"/>
              </w:rPr>
              <w:t xml:space="preserve">Loans </w:t>
            </w:r>
            <w:r>
              <w:rPr>
                <w:rFonts w:ascii="Times New Roman;sans-serif" w:hAnsi="Times New Roman;sans-serif"/>
                <w:b/>
                <w:color w:val="000000"/>
                <w:sz w:val="24"/>
              </w:rPr>
              <w:t>+</w:t>
            </w:r>
          </w:p>
        </w:tc>
        <w:tc>
          <w:tcPr>
            <w:tcW w:w="87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c>
        <w:tc>
          <w:tcPr>
            <w:tcW w:w="30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3.50: 1.00</w:t>
            </w:r>
          </w:p>
        </w:tc>
        <w:tc>
          <w:tcPr>
            <w:tcW w:w="8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w:t>
            </w:r>
          </w:p>
        </w:tc>
        <w:tc>
          <w:tcPr>
            <w:tcW w:w="5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2.500%</w:t>
            </w:r>
          </w:p>
        </w:tc>
        <w:tc>
          <w:tcPr>
            <w:tcW w:w="8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0.500%</w:t>
            </w:r>
          </w:p>
        </w:tc>
      </w:tr>
      <w:tr>
        <w:trPr/>
        <w:tc>
          <w:tcPr>
            <w:tcW w:w="3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c>
        <w:tc>
          <w:tcPr>
            <w:tcW w:w="30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3.00: 1.00 but &lt; 3.50:1.0</w:t>
            </w:r>
          </w:p>
        </w:tc>
        <w:tc>
          <w:tcPr>
            <w:tcW w:w="8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1.125%</w:t>
            </w:r>
          </w:p>
        </w:tc>
        <w:tc>
          <w:tcPr>
            <w:tcW w:w="5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2.125%</w:t>
            </w:r>
          </w:p>
        </w:tc>
        <w:tc>
          <w:tcPr>
            <w:tcW w:w="8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0.375%</w:t>
            </w:r>
          </w:p>
        </w:tc>
      </w:tr>
      <w:tr>
        <w:trPr/>
        <w:tc>
          <w:tcPr>
            <w:tcW w:w="3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c>
        <w:tc>
          <w:tcPr>
            <w:tcW w:w="30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2.50:1.00 but &lt; 3.00:1.00</w:t>
            </w:r>
          </w:p>
        </w:tc>
        <w:tc>
          <w:tcPr>
            <w:tcW w:w="8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0.875%</w:t>
            </w:r>
          </w:p>
        </w:tc>
        <w:tc>
          <w:tcPr>
            <w:tcW w:w="5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1.875%</w:t>
            </w:r>
          </w:p>
        </w:tc>
        <w:tc>
          <w:tcPr>
            <w:tcW w:w="8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0.375%</w:t>
            </w:r>
          </w:p>
        </w:tc>
      </w:tr>
      <w:tr>
        <w:trPr/>
        <w:tc>
          <w:tcPr>
            <w:tcW w:w="3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IV</w:t>
            </w:r>
          </w:p>
        </w:tc>
        <w:tc>
          <w:tcPr>
            <w:tcW w:w="30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strike/>
                <w:color w:val="FF0000"/>
                <w:sz w:val="22"/>
              </w:rPr>
              <w:t>1.75</w:t>
            </w:r>
            <w:r>
              <w:rPr>
                <w:rFonts w:ascii="Times New Roman;sans-serif" w:hAnsi="Times New Roman;sans-serif"/>
                <w:b w:val="false"/>
                <w:color w:val="0000FF"/>
                <w:sz w:val="22"/>
                <w:u w:val="single"/>
              </w:rPr>
              <w:t>2:00</w:t>
            </w:r>
            <w:r>
              <w:rPr>
                <w:rFonts w:ascii="Times New Roman;sans-serif" w:hAnsi="Times New Roman;sans-serif"/>
                <w:b w:val="false"/>
                <w:color w:val="000000"/>
                <w:sz w:val="22"/>
              </w:rPr>
              <w:t>:1.00 but &lt; 2.50:1.00</w:t>
            </w:r>
          </w:p>
        </w:tc>
        <w:tc>
          <w:tcPr>
            <w:tcW w:w="8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0.625%</w:t>
            </w:r>
          </w:p>
        </w:tc>
        <w:tc>
          <w:tcPr>
            <w:tcW w:w="5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1.625%</w:t>
            </w:r>
          </w:p>
        </w:tc>
        <w:tc>
          <w:tcPr>
            <w:tcW w:w="8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0.250%</w:t>
            </w:r>
          </w:p>
        </w:tc>
      </w:tr>
      <w:tr>
        <w:trPr/>
        <w:tc>
          <w:tcPr>
            <w:tcW w:w="3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w:t>
            </w:r>
          </w:p>
        </w:tc>
        <w:tc>
          <w:tcPr>
            <w:tcW w:w="30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 xml:space="preserve">1.25:1.00 but &lt; </w:t>
            </w:r>
            <w:r>
              <w:rPr>
                <w:rFonts w:ascii="Times New Roman;sans-serif" w:hAnsi="Times New Roman;sans-serif"/>
                <w:b w:val="false"/>
                <w:strike/>
                <w:color w:val="FF0000"/>
                <w:sz w:val="22"/>
              </w:rPr>
              <w:t>1.75</w:t>
            </w:r>
            <w:r>
              <w:rPr>
                <w:rFonts w:ascii="Times New Roman;sans-serif" w:hAnsi="Times New Roman;sans-serif"/>
                <w:b w:val="false"/>
                <w:color w:val="0000FF"/>
                <w:sz w:val="22"/>
                <w:u w:val="single"/>
              </w:rPr>
              <w:t>2</w:t>
            </w:r>
            <w:r>
              <w:rPr>
                <w:rFonts w:ascii="Times New Roman;sans-serif" w:hAnsi="Times New Roman;sans-serif"/>
                <w:b w:val="false"/>
                <w:color w:val="000000"/>
                <w:sz w:val="22"/>
              </w:rPr>
              <w:t>:</w:t>
            </w:r>
            <w:r>
              <w:rPr>
                <w:rFonts w:ascii="Times New Roman;sans-serif" w:hAnsi="Times New Roman;sans-serif"/>
                <w:b w:val="false"/>
                <w:color w:val="0000FF"/>
                <w:sz w:val="22"/>
                <w:u w:val="single"/>
              </w:rPr>
              <w:t>00:</w:t>
            </w:r>
            <w:r>
              <w:rPr>
                <w:rFonts w:ascii="Times New Roman;sans-serif" w:hAnsi="Times New Roman;sans-serif"/>
                <w:b w:val="false"/>
                <w:color w:val="000000"/>
                <w:sz w:val="22"/>
              </w:rPr>
              <w:t>1.00</w:t>
            </w:r>
          </w:p>
        </w:tc>
        <w:tc>
          <w:tcPr>
            <w:tcW w:w="8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0.500%</w:t>
            </w:r>
          </w:p>
        </w:tc>
        <w:tc>
          <w:tcPr>
            <w:tcW w:w="506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w:t>
            </w:r>
          </w:p>
        </w:tc>
        <w:tc>
          <w:tcPr>
            <w:tcW w:w="87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0.250%</w:t>
            </w:r>
          </w:p>
        </w:tc>
      </w:tr>
      <w:tr>
        <w:trPr/>
        <w:tc>
          <w:tcPr>
            <w:tcW w:w="3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VI</w:t>
            </w:r>
          </w:p>
        </w:tc>
        <w:tc>
          <w:tcPr>
            <w:tcW w:w="308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&lt; 1.25:1.00</w:t>
            </w:r>
          </w:p>
        </w:tc>
        <w:tc>
          <w:tcPr>
            <w:tcW w:w="8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0.375%</w:t>
            </w:r>
          </w:p>
        </w:tc>
        <w:tc>
          <w:tcPr>
            <w:tcW w:w="506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1.375%</w:t>
            </w:r>
          </w:p>
        </w:tc>
        <w:tc>
          <w:tcPr>
            <w:tcW w:w="87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0.250%</w:t>
            </w:r>
          </w:p>
        </w:tc>
      </w:tr>
    </w:tbl>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2"/>
        </w:rPr>
        <w:t>The Applicable Margin shall be determined and adjusted quarterly on the first Business Day (each a “</w:t>
      </w:r>
      <w:r>
        <w:rPr>
          <w:rFonts w:ascii="Times New Roman;sans-serif" w:hAnsi="Times New Roman;sans-serif"/>
          <w:b w:val="false"/>
          <w:color w:val="000000"/>
          <w:sz w:val="22"/>
          <w:u w:val="single"/>
        </w:rPr>
        <w:t>Calculation Date</w:t>
      </w:r>
      <w:r>
        <w:rPr>
          <w:color w:val="000000"/>
        </w:rPr>
        <w:t>”</w:t>
      </w:r>
      <w:r>
        <w:rPr>
          <w:rFonts w:ascii="Times New Roman;sans-serif" w:hAnsi="Times New Roman;sans-serif"/>
          <w:b w:val="false"/>
          <w:color w:val="000000"/>
          <w:sz w:val="22"/>
        </w:rPr>
        <w:t xml:space="preserve">) immediately following the date by which the Company provides an Officer’s Compliance Certificate pursuant to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 xml:space="preserve">for the most recently ended fiscal quarter of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the Applicable Margin shall be based on Pricing Level </w:t>
      </w:r>
      <w:r>
        <w:rPr>
          <w:rFonts w:ascii="Times New Roman;sans-serif" w:hAnsi="Times New Roman;sans-serif"/>
          <w:b w:val="false"/>
          <w:strike/>
          <w:color w:val="FF0000"/>
          <w:sz w:val="22"/>
        </w:rPr>
        <w:t>I</w:t>
      </w:r>
      <w:r>
        <w:rPr>
          <w:rFonts w:ascii="Times New Roman;sans-serif" w:hAnsi="Times New Roman;sans-serif"/>
          <w:b w:val="false"/>
          <w:color w:val="0000FF"/>
          <w:sz w:val="22"/>
          <w:u w:val="single"/>
        </w:rPr>
        <w:t>IV</w:t>
      </w:r>
      <w:r>
        <w:rPr>
          <w:color w:val="000000"/>
        </w:rPr>
        <w:t xml:space="preserve"> </w:t>
      </w:r>
      <w:r>
        <w:rPr>
          <w:rFonts w:ascii="Times New Roman;sans-serif" w:hAnsi="Times New Roman;sans-serif"/>
          <w:b w:val="false"/>
          <w:color w:val="000000"/>
          <w:sz w:val="22"/>
        </w:rPr>
        <w:t xml:space="preserve">until the first Calculation Date following receipt of the Officer’s Compliance Certificate for the fiscal quarter ended </w:t>
      </w:r>
      <w:r>
        <w:rPr>
          <w:rFonts w:ascii="Times New Roman;sans-serif" w:hAnsi="Times New Roman;sans-serif"/>
          <w:b w:val="false"/>
          <w:strike/>
          <w:color w:val="FF0000"/>
          <w:sz w:val="22"/>
        </w:rPr>
        <w:t>June 30, 2022</w:t>
      </w:r>
      <w:r>
        <w:rPr>
          <w:rFonts w:ascii="Times New Roman;sans-serif" w:hAnsi="Times New Roman;sans-serif"/>
          <w:b w:val="false"/>
          <w:color w:val="0000FF"/>
          <w:sz w:val="22"/>
          <w:u w:val="single"/>
        </w:rPr>
        <w:t>March 31, 2024</w:t>
      </w:r>
      <w:r>
        <w:rPr>
          <w:color w:val="000000"/>
        </w:rPr>
        <w:t xml:space="preserve"> </w:t>
      </w:r>
      <w:r>
        <w:rPr>
          <w:rFonts w:ascii="Times New Roman;sans-serif" w:hAnsi="Times New Roman;sans-serif"/>
          <w:b w:val="false"/>
          <w:color w:val="000000"/>
          <w:sz w:val="22"/>
        </w:rPr>
        <w:t xml:space="preserve">and, thereafter the Pricing Level shall be determined by reference to the Net Leverage Ratio as of the last day of the most recently ended fiscal quarter of the Company preceding the applicable Calculation Date, and (b) if the Company fails to provide the Officer’s Compliance Certificate within five (5) days of the date for delivery required by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 xml:space="preserve">for the most recently ended fiscal quarter of the Company preceding the applicable Calculation Date, then, upon the request of the Required Lenders, the Applicable Margin from such Calculation Date shall be based on Pricing Level I until such time as an appropriate Officer’s Compliance Certificate is provided, at which time the Pricing Level shall be determined by reference to the Net Leverage Ratio as of the last day of the most recently ended fiscal quarter of the Company preceding such Calculation Date. The Applicable Margin shall be effective from one Calculation Date until the next Calculation Date. Any adjustment in the Applicable Margin shall be applicable to all Extensions of Credit then existing or subsequently made or issued. The Applicable Margin set forth above shall be increased as, and to the extent, required by </w:t>
      </w:r>
      <w:r>
        <w:rPr>
          <w:rFonts w:ascii="Times New Roman;sans-serif" w:hAnsi="Times New Roman;sans-serif"/>
          <w:b w:val="false"/>
          <w:color w:val="000000"/>
          <w:sz w:val="22"/>
          <w:u w:val="single"/>
        </w:rPr>
        <w:t>Sections 2.8</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u w:val="single"/>
        </w:rPr>
        <w:t>2.9</w:t>
      </w:r>
      <w:r>
        <w:rPr>
          <w:color w:val="0000FF"/>
          <w:u w:val="single"/>
        </w:rPr>
        <w:t xml:space="preserve"> </w:t>
      </w:r>
      <w:r>
        <w:rPr>
          <w:rFonts w:ascii="Times New Roman;sans-serif" w:hAnsi="Times New Roman;sans-serif"/>
          <w:b w:val="false"/>
          <w:color w:val="0000FF"/>
          <w:sz w:val="22"/>
          <w:u w:val="single"/>
        </w:rPr>
        <w:t>and 2.11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means, with respect to any Revolving Credit Lender, the percentage of the total Revolving Credit Commitments represented by such Revolving Credit Lender’s Revolving Credit Commitment. If the Revolving Credit Commitments have terminated or expired, the Applicable Percentage shall be determined based upon the Revolving Credit Commitments most recently in effect, giving effect to any assignments.</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Applicable Reference Rate</w:t>
      </w:r>
      <w:r>
        <w:rPr>
          <w:strike/>
          <w:color w:val="FF0000"/>
        </w:rPr>
        <w:t xml:space="preserve">” </w:t>
      </w:r>
      <w:r>
        <w:rPr>
          <w:rFonts w:ascii="Times New Roman;sans-serif" w:hAnsi="Times New Roman;sans-serif"/>
          <w:b w:val="false"/>
          <w:strike/>
          <w:color w:val="FF0000"/>
          <w:sz w:val="22"/>
        </w:rPr>
        <w:t xml:space="preserve">means, for any Eurocurrency Rate Loan denominated in any LIBOR Quoted Currency, LIBOR, for any Eurocurrency Rate Loan denominated in euros, EURIBOR, for any Eurocurrency Rate Loan denominated in Australian Dollars, BBSY, for any Eurocurrency Rate Loan denominated in Canadian Dollars, CDOR and for any Eurocurrency Rate Loan denominated in </w:t>
      </w:r>
      <w:r>
        <w:rPr>
          <w:rFonts w:ascii="Times New Roman;sans-serif" w:hAnsi="Times New Roman;sans-serif"/>
          <w:b w:val="false"/>
          <w:strike/>
          <w:color w:val="008000"/>
          <w:sz w:val="22"/>
        </w:rPr>
        <w:t>New Zealand Dollars, BKBM, as applicable.</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2"/>
          <w:u w:val="single"/>
        </w:rPr>
        <w:t xml:space="preserve">Applicable </w:t>
      </w:r>
      <w:r>
        <w:rPr>
          <w:rFonts w:ascii="Times New Roman;sans-serif" w:hAnsi="Times New Roman;sans-serif"/>
          <w:b w:val="false"/>
          <w:strike/>
          <w:color w:val="FF0000"/>
          <w:sz w:val="22"/>
          <w:u w:val="single"/>
        </w:rPr>
        <w:t>Reference Rate Replacement Date</w:t>
      </w:r>
      <w:r>
        <w:rPr>
          <w:strike/>
          <w:color w:val="FF0000"/>
        </w:rPr>
        <w:t xml:space="preserve">” </w:t>
      </w:r>
      <w:r>
        <w:rPr>
          <w:rFonts w:ascii="Times New Roman;sans-serif" w:hAnsi="Times New Roman;sans-serif"/>
          <w:b w:val="false"/>
          <w:strike/>
          <w:color w:val="FF0000"/>
          <w:sz w:val="22"/>
        </w:rPr>
        <w:t>has</w:t>
      </w:r>
      <w:r>
        <w:rPr>
          <w:rFonts w:ascii="Times New Roman;sans-serif" w:hAnsi="Times New Roman;sans-serif"/>
          <w:b w:val="false"/>
          <w:color w:val="0000FF"/>
          <w:sz w:val="22"/>
          <w:u w:val="single"/>
        </w:rPr>
        <w:t>Period” shall have</w:t>
      </w:r>
      <w:r>
        <w:rPr>
          <w:color w:val="000000"/>
        </w:rPr>
        <w:t xml:space="preserve"> </w:t>
      </w:r>
      <w:r>
        <w:rPr>
          <w:rFonts w:ascii="Times New Roman;sans-serif" w:hAnsi="Times New Roman;sans-serif"/>
          <w:b w:val="false"/>
          <w:color w:val="000000"/>
          <w:sz w:val="22"/>
        </w:rPr>
        <w:t xml:space="preserve">the meaning assigned to such term in </w:t>
      </w:r>
      <w:r>
        <w:rPr>
          <w:rFonts w:ascii="Times New Roman;sans-serif" w:hAnsi="Times New Roman;sans-serif"/>
          <w:b w:val="false"/>
          <w:color w:val="000000"/>
          <w:sz w:val="22"/>
          <w:u w:val="single"/>
        </w:rPr>
        <w:t xml:space="preserve">Section </w:t>
      </w:r>
      <w:r>
        <w:rPr>
          <w:rFonts w:ascii="Times New Roman;sans-serif" w:hAnsi="Times New Roman;sans-serif"/>
          <w:b w:val="false"/>
          <w:strike/>
          <w:color w:val="FF0000"/>
          <w:sz w:val="22"/>
          <w:u w:val="single"/>
        </w:rPr>
        <w:t>4.8(c)</w:t>
      </w:r>
      <w:r>
        <w:rPr>
          <w:rFonts w:ascii="Times New Roman;sans-serif" w:hAnsi="Times New Roman;sans-serif"/>
          <w:b w:val="false"/>
          <w:color w:val="0000FF"/>
          <w:sz w:val="22"/>
          <w:u w:val="single"/>
        </w:rPr>
        <w:t>4.2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Time</w:t>
      </w:r>
      <w:r>
        <w:rPr>
          <w:color w:val="000000"/>
        </w:rPr>
        <w:t xml:space="preserve">” </w:t>
      </w:r>
      <w:r>
        <w:rPr>
          <w:rFonts w:ascii="Times New Roman;sans-serif" w:hAnsi="Times New Roman;sans-serif"/>
          <w:b w:val="false"/>
          <w:color w:val="000000"/>
          <w:sz w:val="22"/>
        </w:rPr>
        <w:t xml:space="preserve">means, with respect to any borrowings and payments in any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the local time in the place of settlement for such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as may be determined by the Administrative Agent or the applicable Issuing Lender, as the case may be, to be necessary for timely settlement on the relevant date in accordance with normal banking procedures in the place of payment.</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210"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Appropriate Lender</w:t>
      </w:r>
      <w:r>
        <w:rPr>
          <w:color w:val="000000"/>
        </w:rPr>
        <w:t xml:space="preserve">” </w:t>
      </w:r>
      <w:r>
        <w:rPr>
          <w:rFonts w:ascii="Times New Roman;sans-serif" w:hAnsi="Times New Roman;sans-serif"/>
          <w:b w:val="false"/>
          <w:color w:val="000000"/>
          <w:sz w:val="22"/>
        </w:rPr>
        <w:t xml:space="preserve">means, at any time, (a) with respect to any Facility, a Lender that has a Commitment with respect to such Facility or holds a Loan under such Facility at such time, (b) with respect to the L/C Commitments, (i) the Issuing Lenders and (ii) if any Letters of Credit have been issued pursuant to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 xml:space="preserve">, the Revolving Credit Lenders and (c) with respect to the Swingline Commitment, (i) the Swingline Lender and (ii) if any Swingline Loans are outstanding pursuant to </w:t>
      </w:r>
      <w:r>
        <w:rPr>
          <w:rFonts w:ascii="Times New Roman;sans-serif" w:hAnsi="Times New Roman;sans-serif"/>
          <w:b w:val="false"/>
          <w:color w:val="000000"/>
          <w:sz w:val="22"/>
          <w:u w:val="single"/>
        </w:rPr>
        <w:t>Section 2.4(a)</w:t>
      </w:r>
      <w:r>
        <w:rPr>
          <w:rFonts w:ascii="Times New Roman;sans-serif" w:hAnsi="Times New Roman;sans-serif"/>
          <w:b w:val="false"/>
          <w:color w:val="000000"/>
          <w:sz w:val="22"/>
        </w:rPr>
        <w:t>, the Revolving Credit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 xml:space="preserve">means any Person (other than a natural Person), including, without limitation, any special purpose entity, that is (or will be) engaged in making, purchasing, holding or otherwise investing in commercial loans and similar extensions of credit in the ordinary course of its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Approved Fund must be administered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Arrangers</w:t>
      </w:r>
      <w:r>
        <w:rPr>
          <w:color w:val="000000"/>
        </w:rPr>
        <w:t xml:space="preserve">” </w:t>
      </w:r>
      <w:r>
        <w:rPr>
          <w:rFonts w:ascii="Times New Roman;sans-serif" w:hAnsi="Times New Roman;sans-serif"/>
          <w:b w:val="false"/>
          <w:color w:val="000000"/>
          <w:sz w:val="22"/>
        </w:rPr>
        <w:t>means BAS, PNC Bank, National Association</w:t>
      </w:r>
      <w:r>
        <w:rPr>
          <w:rFonts w:ascii="Times New Roman;sans-serif" w:hAnsi="Times New Roman;sans-serif"/>
          <w:b w:val="false"/>
          <w:strike/>
          <w:color w:val="FF0000"/>
          <w:sz w:val="22"/>
        </w:rPr>
        <w:t xml:space="preserve">, Regions Capital Markets, BBVA USA </w:t>
      </w:r>
      <w:r>
        <w:rPr>
          <w:rFonts w:ascii="Times New Roman;sans-serif" w:hAnsi="Times New Roman;sans-serif"/>
          <w:b w:val="false"/>
          <w:color w:val="000000"/>
          <w:sz w:val="22"/>
        </w:rPr>
        <w:t>and Fifth Third Bank, National Association, in their capacities as joint lead arrangers and joint bookrunners.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Eligible Assignee (with the consent of any party whose consent is required by </w:t>
      </w:r>
      <w:r>
        <w:rPr>
          <w:rFonts w:ascii="Times New Roman;sans-serif" w:hAnsi="Times New Roman;sans-serif"/>
          <w:b w:val="false"/>
          <w:color w:val="000000"/>
          <w:sz w:val="22"/>
          <w:u w:val="single"/>
        </w:rPr>
        <w:t>Section 13.9(b)</w:t>
      </w:r>
      <w:r>
        <w:rPr>
          <w:rFonts w:ascii="Times New Roman;sans-serif" w:hAnsi="Times New Roman;sans-serif"/>
          <w:b w:val="false"/>
          <w:color w:val="000000"/>
          <w:sz w:val="22"/>
        </w:rPr>
        <w:t xml:space="preserve">), and accepted by the Administrative Agent, in substantially the form of </w:t>
      </w:r>
      <w:r>
        <w:rPr>
          <w:rFonts w:ascii="Times New Roman;sans-serif" w:hAnsi="Times New Roman;sans-serif"/>
          <w:b/>
          <w:i/>
          <w:color w:val="000000"/>
          <w:sz w:val="22"/>
        </w:rPr>
        <w:t>Exhibit G</w:t>
      </w:r>
      <w:r>
        <w:rPr>
          <w:color w:val="000000"/>
        </w:rPr>
        <w:t xml:space="preserve"> </w:t>
      </w:r>
      <w:r>
        <w:rPr>
          <w:rFonts w:ascii="Times New Roman;sans-serif" w:hAnsi="Times New Roman;sans-serif"/>
          <w:b w:val="false"/>
          <w:color w:val="000000"/>
          <w:sz w:val="22"/>
        </w:rPr>
        <w:t>or any other form (including an electronic documentation form generated by use of an electronic platform)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Attributable Indebtedness</w:t>
      </w:r>
      <w:r>
        <w:rPr>
          <w:color w:val="000000"/>
        </w:rPr>
        <w:t xml:space="preserve">” </w:t>
      </w:r>
      <w:r>
        <w:rPr>
          <w:rFonts w:ascii="Times New Roman;sans-serif" w:hAnsi="Times New Roman;sans-serif"/>
          <w:b w:val="false"/>
          <w:color w:val="000000"/>
          <w:sz w:val="22"/>
        </w:rPr>
        <w:t>means, on any date, (a) in respect of any Capital Lease of any Person, the capitalized amount thereof that would appear as a liability on a balance sheet of such Person prepared as of such date in accordance with GAAP, and (b) in respect of any Synthetic Lease, the capitalized amount or principal amount of the remaining lease payments under the relevant lease that would appear as a liability on a balance sheet of such Person prepared as of such date in accordance with GAAP if such lease were accounted for as a Capital Lease.</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2"/>
          <w:u w:val="single"/>
        </w:rPr>
        <w:t>Australian Dollar</w:t>
      </w:r>
      <w:r>
        <w:rPr>
          <w:color w:val="000000"/>
        </w:rPr>
        <w:t xml:space="preserve">” </w:t>
      </w:r>
      <w:r>
        <w:rPr>
          <w:rFonts w:ascii="Times New Roman;sans-serif" w:hAnsi="Times New Roman;sans-serif"/>
          <w:b w:val="false"/>
          <w:color w:val="000000"/>
          <w:sz w:val="22"/>
        </w:rPr>
        <w:t>means the lawful currency of Australia.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Availability Period</w:t>
      </w:r>
      <w:r>
        <w:rPr>
          <w:color w:val="000000"/>
        </w:rPr>
        <w:t xml:space="preserve">” </w:t>
      </w:r>
      <w:r>
        <w:rPr>
          <w:rFonts w:ascii="Times New Roman;sans-serif" w:hAnsi="Times New Roman;sans-serif"/>
          <w:b w:val="false"/>
          <w:color w:val="000000"/>
          <w:sz w:val="22"/>
        </w:rPr>
        <w:t xml:space="preserve">means in respect of the Revolving Credit Facility, the period from and including the Closing Date to the earliest of (a) the Maturity Date for the Revolving Credit Facility, (b) the date of termination of the Revolving Credit Commitments pursuant to </w:t>
      </w:r>
      <w:r>
        <w:rPr>
          <w:rFonts w:ascii="Times New Roman;sans-serif" w:hAnsi="Times New Roman;sans-serif"/>
          <w:b w:val="false"/>
          <w:color w:val="000000"/>
          <w:sz w:val="22"/>
          <w:u w:val="single"/>
        </w:rPr>
        <w:t>Section 2.6</w:t>
      </w:r>
      <w:r>
        <w:rPr>
          <w:rFonts w:ascii="Times New Roman;sans-serif" w:hAnsi="Times New Roman;sans-serif"/>
          <w:b w:val="false"/>
          <w:color w:val="000000"/>
          <w:sz w:val="22"/>
        </w:rPr>
        <w:t xml:space="preserve">, and (c) the date of termination of the Commitment of each Revolving Credit Lender to make Revolving Credit Loans and of the obligation of the Issuing Lenders to make L/C Credit Extensions pursuant to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strike/>
          <w:color w:val="FF0000"/>
          <w:sz w:val="22"/>
          <w:u w:val="single"/>
        </w:rPr>
        <w:t>Bail-In</w:t>
      </w:r>
      <w:r>
        <w:rPr>
          <w:rFonts w:ascii="Times New Roman;sans-serif" w:hAnsi="Times New Roman;sans-serif"/>
          <w:b w:val="false"/>
          <w:color w:val="0000FF"/>
          <w:sz w:val="22"/>
          <w:u w:val="single"/>
        </w:rPr>
        <w:t>Bail-In</w:t>
      </w:r>
      <w:r>
        <w:rPr>
          <w:color w:val="000000"/>
          <w:u w:val="single"/>
        </w:rPr>
        <w:t xml:space="preserve"> </w:t>
      </w:r>
      <w:r>
        <w:rPr>
          <w:rFonts w:ascii="Times New Roman;sans-serif" w:hAnsi="Times New Roman;sans-serif"/>
          <w:b w:val="false"/>
          <w:color w:val="000000"/>
          <w:sz w:val="22"/>
          <w:u w:val="single"/>
        </w:rPr>
        <w:t>Action</w:t>
      </w:r>
      <w:r>
        <w:rPr>
          <w:color w:val="000000"/>
        </w:rPr>
        <w:t xml:space="preserve">” </w:t>
      </w:r>
      <w:r>
        <w:rPr>
          <w:rFonts w:ascii="Times New Roman;sans-serif" w:hAnsi="Times New Roman;sans-serif"/>
          <w:b w:val="false"/>
          <w:color w:val="000000"/>
          <w:sz w:val="22"/>
        </w:rPr>
        <w:t xml:space="preserve">means the exercise of any </w:t>
      </w:r>
      <w:r>
        <w:rPr>
          <w:rFonts w:ascii="Times New Roman;sans-serif" w:hAnsi="Times New Roman;sans-serif"/>
          <w:b w:val="false"/>
          <w:strike/>
          <w:color w:val="FF0000"/>
          <w:sz w:val="22"/>
        </w:rPr>
        <w:t>Write-Down</w:t>
      </w:r>
      <w:r>
        <w:rPr>
          <w:rFonts w:ascii="Times New Roman;sans-serif" w:hAnsi="Times New Roman;sans-serif"/>
          <w:b w:val="false"/>
          <w:color w:val="0000FF"/>
          <w:sz w:val="22"/>
          <w:u w:val="single"/>
        </w:rPr>
        <w:t>Write-Down</w:t>
      </w:r>
      <w:r>
        <w:rPr>
          <w:color w:val="000000"/>
        </w:rPr>
        <w:t xml:space="preserve"> </w:t>
      </w:r>
      <w:r>
        <w:rPr>
          <w:rFonts w:ascii="Times New Roman;sans-serif" w:hAnsi="Times New Roman;sans-serif"/>
          <w:b w:val="false"/>
          <w:color w:val="000000"/>
          <w:sz w:val="22"/>
        </w:rPr>
        <w:t>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strike/>
          <w:color w:val="FF0000"/>
          <w:sz w:val="22"/>
          <w:u w:val="single"/>
        </w:rPr>
        <w:t>Bail-In</w:t>
      </w:r>
      <w:r>
        <w:rPr>
          <w:rFonts w:ascii="Times New Roman;sans-serif" w:hAnsi="Times New Roman;sans-serif"/>
          <w:b w:val="false"/>
          <w:color w:val="0000FF"/>
          <w:sz w:val="22"/>
          <w:u w:val="single"/>
        </w:rPr>
        <w:t>Bail-In</w:t>
      </w:r>
      <w:r>
        <w:rPr>
          <w:color w:val="000000"/>
          <w:u w:val="single"/>
        </w:rPr>
        <w:t xml:space="preserve"> </w:t>
      </w:r>
      <w:r>
        <w:rPr>
          <w:rFonts w:ascii="Times New Roman;sans-serif" w:hAnsi="Times New Roman;sans-serif"/>
          <w:b w:val="false"/>
          <w:color w:val="000000"/>
          <w:sz w:val="22"/>
          <w:u w:val="single"/>
        </w:rPr>
        <w:t>Legislation</w:t>
      </w:r>
      <w:r>
        <w:rPr>
          <w:color w:val="000000"/>
        </w:rPr>
        <w:t xml:space="preserve">” </w:t>
      </w:r>
      <w:r>
        <w:rPr>
          <w:rFonts w:ascii="Times New Roman;sans-serif" w:hAnsi="Times New Roman;sans-serif"/>
          <w:b w:val="false"/>
          <w:color w:val="000000"/>
          <w:sz w:val="22"/>
        </w:rPr>
        <w:t xml:space="preserve">means, (a) with respect to any EEA Member Country implementing Article 55 of Directive 2014/59/EU of the European Parliament and of the Council of the EU, the implementing law, rule, regulation or requirement for such EEA Member Country from time to time which is described in the EU </w:t>
      </w:r>
      <w:r>
        <w:rPr>
          <w:rFonts w:ascii="Times New Roman;sans-serif" w:hAnsi="Times New Roman;sans-serif"/>
          <w:b w:val="false"/>
          <w:strike/>
          <w:color w:val="FF0000"/>
          <w:sz w:val="22"/>
        </w:rPr>
        <w:t>Bail-In</w:t>
      </w:r>
      <w:r>
        <w:rPr>
          <w:rFonts w:ascii="Times New Roman;sans-serif" w:hAnsi="Times New Roman;sans-serif"/>
          <w:b w:val="false"/>
          <w:color w:val="0000FF"/>
          <w:sz w:val="22"/>
          <w:u w:val="single"/>
        </w:rPr>
        <w:t>Bail-In</w:t>
      </w:r>
      <w:r>
        <w:rPr>
          <w:color w:val="000000"/>
        </w:rPr>
        <w:t xml:space="preserve"> </w:t>
      </w:r>
      <w:r>
        <w:rPr>
          <w:rFonts w:ascii="Times New Roman;sans-serif" w:hAnsi="Times New Roman;sans-serif"/>
          <w:b w:val="false"/>
          <w:color w:val="000000"/>
          <w:sz w:val="22"/>
        </w:rPr>
        <w:t>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 of America</w:t>
      </w:r>
      <w:r>
        <w:rPr>
          <w:color w:val="000000"/>
        </w:rPr>
        <w:t xml:space="preserve">” </w:t>
      </w:r>
      <w:r>
        <w:rPr>
          <w:rFonts w:ascii="Times New Roman;sans-serif" w:hAnsi="Times New Roman;sans-serif"/>
          <w:b w:val="false"/>
          <w:color w:val="000000"/>
          <w:sz w:val="22"/>
        </w:rPr>
        <w:t>means Bank of America, N.A. and its successors.</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21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 Product</w:t>
      </w:r>
      <w:r>
        <w:rPr>
          <w:color w:val="000000"/>
        </w:rPr>
        <w:t xml:space="preserve">” </w:t>
      </w:r>
      <w:r>
        <w:rPr>
          <w:rFonts w:ascii="Times New Roman;sans-serif" w:hAnsi="Times New Roman;sans-serif"/>
          <w:b w:val="false"/>
          <w:color w:val="000000"/>
          <w:sz w:val="22"/>
        </w:rPr>
        <w:t xml:space="preserve">means any of the following products, services or facilities extended to any Credit Party or Restricted Subsidiary by any Bank Product Provider (including those in existence as of the Closing Date): (a) Cash Management Services; (b) products under any Hedging Agreement (including, without limitation, non-speculative foreign exchange swaps); and (c) commercial credit card, purchase card and merchant card services;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for any of the foregoing to be included as “Obligations” for purposes of a distribution under </w:t>
      </w:r>
      <w:r>
        <w:rPr>
          <w:rFonts w:ascii="Times New Roman;sans-serif" w:hAnsi="Times New Roman;sans-serif"/>
          <w:b w:val="false"/>
          <w:color w:val="000000"/>
          <w:sz w:val="22"/>
          <w:u w:val="single"/>
        </w:rPr>
        <w:t>Section 11.4</w:t>
      </w:r>
      <w:r>
        <w:rPr>
          <w:rFonts w:ascii="Times New Roman;sans-serif" w:hAnsi="Times New Roman;sans-serif"/>
          <w:b w:val="false"/>
          <w:color w:val="000000"/>
          <w:sz w:val="22"/>
        </w:rPr>
        <w:t xml:space="preserve">, the applicable Bank Product Provider must have previously provided a Bank Product Provider Notice to the Administrative Agent which shall notify the Company and the Administrative Agent of the existence of such Bank Product (with the understanding that Lenders party hereto as of the Closing Date shall be entitled to notify the Company and the Administrative Agent of Bank Products in effect as of the Closing Date promptly after the Closing Date). Any Bank Product established from and after the time that the Lenders have received written notice from the Company or the Administrative Agent that an Event of Default exists, until such Event of Default has been waived in accordance with </w:t>
      </w:r>
      <w:r>
        <w:rPr>
          <w:rFonts w:ascii="Times New Roman;sans-serif" w:hAnsi="Times New Roman;sans-serif"/>
          <w:b w:val="false"/>
          <w:color w:val="000000"/>
          <w:sz w:val="22"/>
          <w:u w:val="single"/>
        </w:rPr>
        <w:t>Section 13.2</w:t>
      </w:r>
      <w:r>
        <w:rPr>
          <w:rFonts w:ascii="Times New Roman;sans-serif" w:hAnsi="Times New Roman;sans-serif"/>
          <w:b w:val="false"/>
          <w:color w:val="000000"/>
          <w:sz w:val="22"/>
        </w:rPr>
        <w:t xml:space="preserve">, shall not be included as “Obligations” for purposes of a distribution under </w:t>
      </w:r>
      <w:r>
        <w:rPr>
          <w:rFonts w:ascii="Times New Roman;sans-serif" w:hAnsi="Times New Roman;sans-serif"/>
          <w:b w:val="false"/>
          <w:color w:val="000000"/>
          <w:sz w:val="22"/>
          <w:u w:val="single"/>
        </w:rPr>
        <w:t>Section 11.4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 Product Debt</w:t>
      </w:r>
      <w:r>
        <w:rPr>
          <w:color w:val="000000"/>
        </w:rPr>
        <w:t xml:space="preserve">” </w:t>
      </w:r>
      <w:r>
        <w:rPr>
          <w:rFonts w:ascii="Times New Roman;sans-serif" w:hAnsi="Times New Roman;sans-serif"/>
          <w:b w:val="false"/>
          <w:color w:val="000000"/>
          <w:sz w:val="22"/>
        </w:rPr>
        <w:t>means the Indebtedness and other obligations of any Credit Party or Restricted Subsidiary relating to Bank Products.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 Product Provider</w:t>
      </w:r>
      <w:r>
        <w:rPr>
          <w:color w:val="000000"/>
        </w:rPr>
        <w:t xml:space="preserve">” </w:t>
      </w:r>
      <w:r>
        <w:rPr>
          <w:rFonts w:ascii="Times New Roman;sans-serif" w:hAnsi="Times New Roman;sans-serif"/>
          <w:b w:val="false"/>
          <w:color w:val="000000"/>
          <w:sz w:val="22"/>
        </w:rPr>
        <w:t>means any Person that provides Bank Products to any Credit Party or Restricted Subsidiary to the extent that such Person is a Lender or an Affiliate of a Lender at the time such Bank Product was entered into or as of the Closing Date with respect to any Bank Product designated as such promptly after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 Product Provider Notice</w:t>
      </w:r>
      <w:r>
        <w:rPr>
          <w:color w:val="000000"/>
        </w:rPr>
        <w:t xml:space="preserve">” </w:t>
      </w:r>
      <w:r>
        <w:rPr>
          <w:rFonts w:ascii="Times New Roman;sans-serif" w:hAnsi="Times New Roman;sans-serif"/>
          <w:b w:val="false"/>
          <w:color w:val="000000"/>
          <w:sz w:val="22"/>
        </w:rPr>
        <w:t xml:space="preserve">means a notice substantially in the form of </w:t>
      </w:r>
      <w:r>
        <w:rPr>
          <w:rFonts w:ascii="Times New Roman;sans-serif" w:hAnsi="Times New Roman;sans-serif"/>
          <w:b/>
          <w:i/>
          <w:color w:val="000000"/>
          <w:sz w:val="22"/>
        </w:rPr>
        <w:t>Exhibit J</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Bankruptcy Code</w:t>
      </w:r>
      <w:r>
        <w:rPr>
          <w:color w:val="000000"/>
        </w:rPr>
        <w:t xml:space="preserve">” </w:t>
      </w:r>
      <w:r>
        <w:rPr>
          <w:rFonts w:ascii="Times New Roman;sans-serif" w:hAnsi="Times New Roman;sans-serif"/>
          <w:b w:val="false"/>
          <w:color w:val="000000"/>
          <w:sz w:val="22"/>
        </w:rPr>
        <w:t>means the Bankruptcy Code in Title 11 of the United States Code, as amended, modified, succeeded or replaced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Bankruptcy Event of Default</w:t>
      </w:r>
      <w:r>
        <w:rPr>
          <w:color w:val="000000"/>
        </w:rPr>
        <w:t xml:space="preserve">” </w:t>
      </w:r>
      <w:r>
        <w:rPr>
          <w:rFonts w:ascii="Times New Roman;sans-serif" w:hAnsi="Times New Roman;sans-serif"/>
          <w:b w:val="false"/>
          <w:color w:val="000000"/>
          <w:sz w:val="22"/>
        </w:rPr>
        <w:t xml:space="preserve">means any Event of Default specified in </w:t>
      </w:r>
      <w:r>
        <w:rPr>
          <w:rFonts w:ascii="Times New Roman;sans-serif" w:hAnsi="Times New Roman;sans-serif"/>
          <w:b w:val="false"/>
          <w:color w:val="000000"/>
          <w:sz w:val="22"/>
          <w:u w:val="single"/>
        </w:rPr>
        <w:t>Section 11.1(j)</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(k</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BAS</w:t>
      </w:r>
      <w:r>
        <w:rPr>
          <w:color w:val="000000"/>
        </w:rPr>
        <w:t xml:space="preserve">” </w:t>
      </w:r>
      <w:r>
        <w:rPr>
          <w:rFonts w:ascii="Times New Roman;sans-serif" w:hAnsi="Times New Roman;sans-serif"/>
          <w:b w:val="false"/>
          <w:color w:val="000000"/>
          <w:sz w:val="22"/>
        </w:rPr>
        <w:t>means BofA Securities, Inc.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 xml:space="preserve">means for any day a fluctuating rate </w:t>
      </w:r>
      <w:r>
        <w:rPr>
          <w:rFonts w:ascii="Times New Roman;sans-serif" w:hAnsi="Times New Roman;sans-serif"/>
          <w:b w:val="false"/>
          <w:strike/>
          <w:color w:val="FF0000"/>
          <w:sz w:val="22"/>
        </w:rPr>
        <w:t xml:space="preserve">of interest </w:t>
      </w:r>
      <w:r>
        <w:rPr>
          <w:rFonts w:ascii="Times New Roman;sans-serif" w:hAnsi="Times New Roman;sans-serif"/>
          <w:b w:val="false"/>
          <w:color w:val="000000"/>
          <w:sz w:val="22"/>
        </w:rPr>
        <w:t xml:space="preserve">per annum equal to the highest of (a) the Federal Funds Rate plus 0.50%, (b) the rate of interest in effect for such day as publicly announced from time to time by Bank of America as its “prime rate,” and (c) </w:t>
      </w:r>
      <w:r>
        <w:rPr>
          <w:rFonts w:ascii="Times New Roman;sans-serif" w:hAnsi="Times New Roman;sans-serif"/>
          <w:b w:val="false"/>
          <w:strike/>
          <w:color w:val="FF0000"/>
          <w:sz w:val="22"/>
        </w:rPr>
        <w:t>the Eurocurrency Rate</w:t>
      </w:r>
      <w:r>
        <w:rPr>
          <w:rFonts w:ascii="Times New Roman;sans-serif" w:hAnsi="Times New Roman;sans-serif"/>
          <w:b w:val="false"/>
          <w:color w:val="0000FF"/>
          <w:sz w:val="22"/>
          <w:u w:val="single"/>
        </w:rPr>
        <w:t>Term SOFR</w:t>
      </w:r>
      <w:r>
        <w:rPr>
          <w:color w:val="000000"/>
        </w:rPr>
        <w:t xml:space="preserve"> </w:t>
      </w:r>
      <w:r>
        <w:rPr>
          <w:rFonts w:ascii="Times New Roman;sans-serif" w:hAnsi="Times New Roman;sans-serif"/>
          <w:b w:val="false"/>
          <w:color w:val="000000"/>
          <w:sz w:val="22"/>
        </w:rPr>
        <w:t xml:space="preserve">plus 1.00%, subject to the interest rate floors set forth therein; provided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sans-serif" w:hAnsi="Times New Roman;sans-serif"/>
          <w:b w:val="false"/>
          <w:color w:val="000000"/>
          <w:sz w:val="22"/>
          <w:u w:val="single"/>
        </w:rPr>
        <w:t>Section </w:t>
      </w:r>
      <w:r>
        <w:rPr>
          <w:rFonts w:ascii="Times New Roman;sans-serif" w:hAnsi="Times New Roman;sans-serif"/>
          <w:b w:val="false"/>
          <w:strike/>
          <w:color w:val="FF0000"/>
          <w:sz w:val="22"/>
          <w:u w:val="single"/>
        </w:rPr>
        <w:t>4.10</w:t>
      </w:r>
      <w:r>
        <w:rPr>
          <w:strike/>
          <w:color w:val="FF0000"/>
        </w:rPr>
        <w:t xml:space="preserve"> </w:t>
      </w:r>
      <w:r>
        <w:rPr>
          <w:rFonts w:ascii="Times New Roman;sans-serif" w:hAnsi="Times New Roman;sans-serif"/>
          <w:b w:val="false"/>
          <w:strike/>
          <w:color w:val="FF0000"/>
          <w:sz w:val="22"/>
        </w:rPr>
        <w:t>hereof</w:t>
      </w:r>
      <w:r>
        <w:rPr>
          <w:rFonts w:ascii="Times New Roman;sans-serif" w:hAnsi="Times New Roman;sans-serif"/>
          <w:b w:val="false"/>
          <w:color w:val="0000FF"/>
          <w:sz w:val="22"/>
          <w:u w:val="single"/>
        </w:rPr>
        <w:t>4.8</w:t>
      </w:r>
      <w:r>
        <w:rPr>
          <w:rFonts w:ascii="Times New Roman;sans-serif" w:hAnsi="Times New Roman;sans-serif"/>
          <w:b w:val="false"/>
          <w:color w:val="000000"/>
          <w:sz w:val="22"/>
        </w:rPr>
        <w:t>, then the Base Rate shall be the greater of clauses (a) and (b) above and shall be determined without reference to clause (c) above.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Base Rate Loan</w:t>
      </w:r>
      <w:r>
        <w:rPr>
          <w:color w:val="000000"/>
        </w:rPr>
        <w:t xml:space="preserve">” </w:t>
      </w:r>
      <w:r>
        <w:rPr>
          <w:rFonts w:ascii="Times New Roman;sans-serif" w:hAnsi="Times New Roman;sans-serif"/>
          <w:b w:val="false"/>
          <w:color w:val="000000"/>
          <w:sz w:val="22"/>
        </w:rPr>
        <w:t>means any Loan bearing interest at a rate based upon the Base Rate. All Base Rate Loans are only available to the Company and Subsidiary Borrowers that are Domestic Subsidiaries and Loans denominated in Dollars.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a certification regarding beneficial ownership required by the Beneficial Ownership Regulation.</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212"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BHC Act Affiliate</w:t>
      </w:r>
      <w:r>
        <w:rPr>
          <w:color w:val="000000"/>
        </w:rPr>
        <w:t xml:space="preserve">” </w:t>
      </w:r>
      <w:r>
        <w:rPr>
          <w:rFonts w:ascii="Times New Roman;sans-serif" w:hAnsi="Times New Roman;sans-serif"/>
          <w:b w:val="false"/>
          <w:color w:val="000000"/>
          <w:sz w:val="22"/>
        </w:rPr>
        <w:t>of a party means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Blackbaud Payment Services Account</w:t>
      </w:r>
      <w:r>
        <w:rPr>
          <w:color w:val="000000"/>
        </w:rPr>
        <w:t xml:space="preserve">” </w:t>
      </w:r>
      <w:r>
        <w:rPr>
          <w:rFonts w:ascii="Times New Roman;sans-serif" w:hAnsi="Times New Roman;sans-serif"/>
          <w:b w:val="false"/>
          <w:color w:val="000000"/>
          <w:sz w:val="22"/>
        </w:rPr>
        <w:t>means any deposit account in the name of a Credit Party for the processing of donations, tuition payments or other payments made to client organizations of the Credit Parties.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Borrowers</w:t>
      </w:r>
      <w:r>
        <w:rPr>
          <w:color w:val="000000"/>
        </w:rPr>
        <w:t xml:space="preserve">” </w:t>
      </w:r>
      <w:r>
        <w:rPr>
          <w:rFonts w:ascii="Times New Roman;sans-serif" w:hAnsi="Times New Roman;sans-serif"/>
          <w:b w:val="false"/>
          <w:color w:val="000000"/>
          <w:sz w:val="22"/>
        </w:rPr>
        <w:t>have the meaning assigned to such terms in the introductory paragraph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Borrower Materials</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 xml:space="preserve">means any day other than a Saturday, Sunday or other day on which commercial banks are authorized to close under the Applicable Laws of, or are in fact closed in, the state where the Administrative Agent’s Office is located;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if such day relates to any interest rate settings as to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 denominated in </w:t>
      </w:r>
      <w:r>
        <w:rPr>
          <w:rFonts w:ascii="Times New Roman;sans-serif" w:hAnsi="Times New Roman;sans-serif"/>
          <w:b w:val="false"/>
          <w:strike/>
          <w:color w:val="FF0000"/>
          <w:sz w:val="22"/>
        </w:rPr>
        <w:t>Dollars</w:t>
      </w:r>
      <w:r>
        <w:rPr>
          <w:rFonts w:ascii="Times New Roman;sans-serif" w:hAnsi="Times New Roman;sans-serif"/>
          <w:b w:val="false"/>
          <w:color w:val="0000FF"/>
          <w:sz w:val="22"/>
          <w:u w:val="single"/>
        </w:rPr>
        <w:t>euro</w:t>
      </w:r>
      <w:r>
        <w:rPr>
          <w:rFonts w:ascii="Times New Roman;sans-serif" w:hAnsi="Times New Roman;sans-serif"/>
          <w:b w:val="false"/>
          <w:color w:val="000000"/>
          <w:sz w:val="22"/>
        </w:rPr>
        <w:t xml:space="preserve">, any fundings, disbursements, settlements and payments in </w:t>
      </w:r>
      <w:r>
        <w:rPr>
          <w:rFonts w:ascii="Times New Roman;sans-serif" w:hAnsi="Times New Roman;sans-serif"/>
          <w:b w:val="false"/>
          <w:strike/>
          <w:color w:val="FF0000"/>
          <w:sz w:val="22"/>
        </w:rPr>
        <w:t>Dollars</w:t>
      </w:r>
      <w:r>
        <w:rPr>
          <w:rFonts w:ascii="Times New Roman;sans-serif" w:hAnsi="Times New Roman;sans-serif"/>
          <w:b w:val="false"/>
          <w:color w:val="0000FF"/>
          <w:sz w:val="22"/>
          <w:u w:val="single"/>
        </w:rPr>
        <w:t>euro</w:t>
      </w:r>
      <w:r>
        <w:rPr>
          <w:color w:val="000000"/>
        </w:rPr>
        <w:t xml:space="preserve"> </w:t>
      </w:r>
      <w:r>
        <w:rPr>
          <w:rFonts w:ascii="Times New Roman;sans-serif" w:hAnsi="Times New Roman;sans-serif"/>
          <w:b w:val="false"/>
          <w:color w:val="000000"/>
          <w:sz w:val="22"/>
        </w:rPr>
        <w:t xml:space="preserve">in respect of any such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 or any other dealings in </w:t>
      </w:r>
      <w:r>
        <w:rPr>
          <w:rFonts w:ascii="Times New Roman;sans-serif" w:hAnsi="Times New Roman;sans-serif"/>
          <w:b w:val="false"/>
          <w:strike/>
          <w:color w:val="FF0000"/>
          <w:sz w:val="22"/>
        </w:rPr>
        <w:t>Dollars</w:t>
      </w:r>
      <w:r>
        <w:rPr>
          <w:rFonts w:ascii="Times New Roman;sans-serif" w:hAnsi="Times New Roman;sans-serif"/>
          <w:b w:val="false"/>
          <w:color w:val="0000FF"/>
          <w:sz w:val="22"/>
          <w:u w:val="single"/>
        </w:rPr>
        <w:t>euro</w:t>
      </w:r>
      <w:r>
        <w:rPr>
          <w:color w:val="000000"/>
        </w:rPr>
        <w:t xml:space="preserve"> </w:t>
      </w:r>
      <w:r>
        <w:rPr>
          <w:rFonts w:ascii="Times New Roman;sans-serif" w:hAnsi="Times New Roman;sans-serif"/>
          <w:b w:val="false"/>
          <w:color w:val="000000"/>
          <w:sz w:val="22"/>
        </w:rPr>
        <w:t xml:space="preserve">to be carried out pursuant to this Agreement in respect of any such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 means </w:t>
      </w:r>
      <w:r>
        <w:rPr>
          <w:rFonts w:ascii="Times New Roman;sans-serif" w:hAnsi="Times New Roman;sans-serif"/>
          <w:b w:val="false"/>
          <w:strike/>
          <w:color w:val="FF0000"/>
          <w:sz w:val="22"/>
        </w:rPr>
        <w:t>any such day</w:t>
      </w:r>
      <w:r>
        <w:rPr>
          <w:rFonts w:ascii="Times New Roman;sans-serif" w:hAnsi="Times New Roman;sans-serif"/>
          <w:b w:val="false"/>
          <w:color w:val="0000FF"/>
          <w:sz w:val="22"/>
          <w:u w:val="single"/>
        </w:rPr>
        <w:t>a Business Day</w:t>
      </w:r>
      <w:r>
        <w:rPr>
          <w:color w:val="000000"/>
        </w:rPr>
        <w:t xml:space="preserve"> </w:t>
      </w:r>
      <w:r>
        <w:rPr>
          <w:rFonts w:ascii="Times New Roman;sans-serif" w:hAnsi="Times New Roman;sans-serif"/>
          <w:b w:val="false"/>
          <w:color w:val="000000"/>
          <w:sz w:val="22"/>
        </w:rPr>
        <w:t xml:space="preserve">that is also a </w:t>
      </w:r>
      <w:r>
        <w:rPr>
          <w:rFonts w:ascii="Times New Roman;sans-serif" w:hAnsi="Times New Roman;sans-serif"/>
          <w:b w:val="false"/>
          <w:strike/>
          <w:color w:val="FF0000"/>
          <w:sz w:val="22"/>
        </w:rPr>
        <w:t>London Banking</w:t>
      </w:r>
      <w:r>
        <w:rPr>
          <w:rFonts w:ascii="Times New Roman;sans-serif" w:hAnsi="Times New Roman;sans-serif"/>
          <w:b w:val="false"/>
          <w:color w:val="0000FF"/>
          <w:sz w:val="22"/>
          <w:u w:val="single"/>
        </w:rPr>
        <w:t>TARGET</w:t>
      </w:r>
      <w:r>
        <w:rPr>
          <w:color w:val="000000"/>
        </w:rPr>
        <w:t xml:space="preserve"> </w:t>
      </w:r>
      <w:r>
        <w:rPr>
          <w:rFonts w:ascii="Times New Roman;sans-serif" w:hAnsi="Times New Roman;sans-serif"/>
          <w:b w:val="false"/>
          <w:color w:val="000000"/>
          <w:sz w:val="22"/>
        </w:rPr>
        <w:t>Day;</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(b)    </w:t>
      </w:r>
      <w:r>
        <w:rPr>
          <w:rFonts w:ascii="Times New Roman;sans-serif" w:hAnsi="Times New Roman;sans-serif"/>
          <w:b w:val="false"/>
          <w:color w:val="000000"/>
          <w:sz w:val="22"/>
        </w:rPr>
        <w:t xml:space="preserve">if such day relates to any interest rate settings as to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 denominated in </w:t>
      </w:r>
      <w:r>
        <w:rPr>
          <w:rFonts w:ascii="Times New Roman;sans-serif" w:hAnsi="Times New Roman;sans-serif"/>
          <w:b w:val="false"/>
          <w:strike/>
          <w:color w:val="FF0000"/>
          <w:sz w:val="22"/>
        </w:rPr>
        <w:t xml:space="preserve">euro, </w:t>
      </w:r>
      <w:r>
        <w:rPr>
          <w:rFonts w:ascii="Times New Roman;sans-serif" w:hAnsi="Times New Roman;sans-serif"/>
          <w:b w:val="false"/>
          <w:color w:val="0000FF"/>
          <w:sz w:val="22"/>
          <w:u w:val="single"/>
        </w:rPr>
        <w:t>Pounds Sterling, means a day other than a day banks are closed for general business in London because such day is a Saturday, Sunday or a legal holiday under the laws of the United Kingdom;</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(c)    </w:t>
      </w:r>
      <w:r>
        <w:rPr>
          <w:rFonts w:ascii="Times New Roman;sans-serif" w:hAnsi="Times New Roman;sans-serif"/>
          <w:b w:val="false"/>
          <w:color w:val="0000FF"/>
          <w:sz w:val="22"/>
          <w:u w:val="single"/>
        </w:rPr>
        <w:t xml:space="preserve">when used in connection with </w:t>
      </w:r>
      <w:r>
        <w:rPr>
          <w:rFonts w:ascii="Times New Roman;sans-serif" w:hAnsi="Times New Roman;sans-serif"/>
          <w:b w:val="false"/>
          <w:color w:val="000000"/>
          <w:sz w:val="22"/>
        </w:rPr>
        <w:t>any fundings, disbursements, settlements</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 xml:space="preserve">payments </w:t>
      </w:r>
      <w:r>
        <w:rPr>
          <w:rFonts w:ascii="Times New Roman;sans-serif" w:hAnsi="Times New Roman;sans-serif"/>
          <w:b w:val="false"/>
          <w:strike/>
          <w:color w:val="FF0000"/>
          <w:sz w:val="22"/>
        </w:rPr>
        <w:t>in euro in respect of any such Eurocurrency</w:t>
      </w:r>
      <w:r>
        <w:rPr>
          <w:rFonts w:ascii="Times New Roman;sans-serif" w:hAnsi="Times New Roman;sans-serif"/>
          <w:b w:val="false"/>
          <w:color w:val="0000FF"/>
          <w:sz w:val="22"/>
          <w:u w:val="single"/>
        </w:rPr>
        <w:t>and interest rate settings as to a Designated Currency Term</w:t>
      </w:r>
      <w:r>
        <w:rPr>
          <w:color w:val="000000"/>
        </w:rPr>
        <w:t xml:space="preserve"> </w:t>
      </w:r>
      <w:r>
        <w:rPr>
          <w:rFonts w:ascii="Times New Roman;sans-serif" w:hAnsi="Times New Roman;sans-serif"/>
          <w:b w:val="false"/>
          <w:color w:val="000000"/>
          <w:sz w:val="22"/>
        </w:rPr>
        <w:t>Rate Loan</w:t>
      </w:r>
      <w:r>
        <w:rPr>
          <w:color w:val="0000FF"/>
          <w:u w:val="single"/>
        </w:rPr>
        <w:t xml:space="preserve"> </w:t>
      </w:r>
      <w:r>
        <w:rPr>
          <w:rFonts w:ascii="Times New Roman;sans-serif" w:hAnsi="Times New Roman;sans-serif"/>
          <w:b w:val="false"/>
          <w:color w:val="0000FF"/>
          <w:sz w:val="22"/>
          <w:u w:val="single"/>
        </w:rPr>
        <w:t>denominated in Canadian Dollars</w:t>
      </w:r>
      <w:r>
        <w:rPr>
          <w:rFonts w:ascii="Times New Roman;sans-serif" w:hAnsi="Times New Roman;sans-serif"/>
          <w:b w:val="false"/>
          <w:color w:val="000000"/>
          <w:sz w:val="22"/>
        </w:rPr>
        <w:t xml:space="preserve">, or any other dealings in </w:t>
      </w:r>
      <w:r>
        <w:rPr>
          <w:rFonts w:ascii="Times New Roman;sans-serif" w:hAnsi="Times New Roman;sans-serif"/>
          <w:b w:val="false"/>
          <w:strike/>
          <w:color w:val="FF0000"/>
          <w:sz w:val="22"/>
        </w:rPr>
        <w:t>euro</w:t>
      </w:r>
      <w:r>
        <w:rPr>
          <w:rFonts w:ascii="Times New Roman;sans-serif" w:hAnsi="Times New Roman;sans-serif"/>
          <w:b w:val="false"/>
          <w:color w:val="0000FF"/>
          <w:sz w:val="22"/>
          <w:u w:val="single"/>
        </w:rPr>
        <w:t>Canadian Dollars</w:t>
      </w:r>
      <w:r>
        <w:rPr>
          <w:color w:val="000000"/>
        </w:rPr>
        <w:t xml:space="preserve"> </w:t>
      </w:r>
      <w:r>
        <w:rPr>
          <w:rFonts w:ascii="Times New Roman;sans-serif" w:hAnsi="Times New Roman;sans-serif"/>
          <w:b w:val="false"/>
          <w:color w:val="000000"/>
          <w:sz w:val="22"/>
        </w:rPr>
        <w:t xml:space="preserve">to be carried out pursuant to this Agreement </w:t>
      </w:r>
      <w:r>
        <w:rPr>
          <w:rFonts w:ascii="Times New Roman;sans-serif" w:hAnsi="Times New Roman;sans-serif"/>
          <w:b w:val="false"/>
          <w:strike/>
          <w:color w:val="FF0000"/>
          <w:sz w:val="22"/>
        </w:rPr>
        <w:t>in respect of any such Eurocurrency Rate Loan, means a Business Day that is also a TARGET Day;</w:t>
      </w:r>
      <w:r>
        <w:rPr>
          <w:rFonts w:ascii="Times New Roman;sans-serif" w:hAnsi="Times New Roman;sans-serif"/>
          <w:b w:val="false"/>
          <w:color w:val="0000FF"/>
          <w:sz w:val="22"/>
          <w:u w:val="single"/>
        </w:rPr>
        <w:t>or any of the other Loan Documents, means any such day other than a day on which banking institutions in Toronto, Ontario are authorized by Applicable Law to close;</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(d)    </w:t>
      </w:r>
      <w:r>
        <w:rPr>
          <w:rFonts w:ascii="Times New Roman;sans-serif" w:hAnsi="Times New Roman;sans-serif"/>
          <w:b w:val="false"/>
          <w:strike/>
          <w:color w:val="FF0000"/>
          <w:sz w:val="22"/>
        </w:rPr>
        <w:t xml:space="preserve">(c) </w:t>
      </w:r>
      <w:r>
        <w:rPr>
          <w:rFonts w:ascii="Times New Roman;sans-serif" w:hAnsi="Times New Roman;sans-serif"/>
          <w:b w:val="false"/>
          <w:color w:val="000000"/>
          <w:sz w:val="22"/>
        </w:rPr>
        <w:t xml:space="preserve">if such day relates to any interest rate settings as to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 denominated in a currency other than </w:t>
      </w:r>
      <w:r>
        <w:rPr>
          <w:rFonts w:ascii="Times New Roman;sans-serif" w:hAnsi="Times New Roman;sans-serif"/>
          <w:b w:val="false"/>
          <w:color w:val="0000FF"/>
          <w:sz w:val="22"/>
          <w:u w:val="single"/>
        </w:rPr>
        <w:t xml:space="preserve">euro, Canadian </w:t>
      </w:r>
      <w:r>
        <w:rPr>
          <w:rFonts w:ascii="Times New Roman;sans-serif" w:hAnsi="Times New Roman;sans-serif"/>
          <w:b w:val="false"/>
          <w:color w:val="000000"/>
          <w:sz w:val="22"/>
        </w:rPr>
        <w:t xml:space="preserve">Dollars or </w:t>
      </w:r>
      <w:r>
        <w:rPr>
          <w:rFonts w:ascii="Times New Roman;sans-serif" w:hAnsi="Times New Roman;sans-serif"/>
          <w:b w:val="false"/>
          <w:strike/>
          <w:color w:val="FF0000"/>
          <w:sz w:val="22"/>
        </w:rPr>
        <w:t>euro</w:t>
      </w:r>
      <w:r>
        <w:rPr>
          <w:rFonts w:ascii="Times New Roman;sans-serif" w:hAnsi="Times New Roman;sans-serif"/>
          <w:b w:val="false"/>
          <w:color w:val="0000FF"/>
          <w:sz w:val="22"/>
          <w:u w:val="single"/>
        </w:rPr>
        <w:t>Pounds Sterling</w:t>
      </w:r>
      <w:r>
        <w:rPr>
          <w:rFonts w:ascii="Times New Roman;sans-serif" w:hAnsi="Times New Roman;sans-serif"/>
          <w:b w:val="false"/>
          <w:color w:val="000000"/>
          <w:sz w:val="22"/>
        </w:rPr>
        <w:t xml:space="preserve">, means any such day on which dealings in deposits in the relevant currency are conducted by and between banks in the </w:t>
      </w:r>
      <w:r>
        <w:rPr>
          <w:rFonts w:ascii="Times New Roman;sans-serif" w:hAnsi="Times New Roman;sans-serif"/>
          <w:b w:val="false"/>
          <w:strike/>
          <w:color w:val="FF0000"/>
          <w:sz w:val="22"/>
        </w:rPr>
        <w:t xml:space="preserve">London or other </w:t>
      </w:r>
      <w:r>
        <w:rPr>
          <w:rFonts w:ascii="Times New Roman;sans-serif" w:hAnsi="Times New Roman;sans-serif"/>
          <w:b w:val="false"/>
          <w:color w:val="000000"/>
          <w:sz w:val="22"/>
        </w:rPr>
        <w:t>applicable offshore interbank market for such currency; and</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(e)    </w:t>
      </w:r>
      <w:r>
        <w:rPr>
          <w:rFonts w:ascii="Times New Roman;sans-serif" w:hAnsi="Times New Roman;sans-serif"/>
          <w:b w:val="false"/>
          <w:strike/>
          <w:color w:val="FF0000"/>
          <w:sz w:val="22"/>
        </w:rPr>
        <w:t xml:space="preserve">(d) </w:t>
      </w:r>
      <w:r>
        <w:rPr>
          <w:rFonts w:ascii="Times New Roman;sans-serif" w:hAnsi="Times New Roman;sans-serif"/>
          <w:b w:val="false"/>
          <w:color w:val="000000"/>
          <w:sz w:val="22"/>
        </w:rPr>
        <w:t xml:space="preserve">if such day relates to any fundings, disbursements, settlements and payments in a currency other than </w:t>
      </w:r>
      <w:r>
        <w:rPr>
          <w:rFonts w:ascii="Times New Roman;sans-serif" w:hAnsi="Times New Roman;sans-serif"/>
          <w:b w:val="false"/>
          <w:color w:val="0000FF"/>
          <w:sz w:val="22"/>
          <w:u w:val="single"/>
        </w:rPr>
        <w:t xml:space="preserve">euro, Canadian </w:t>
      </w:r>
      <w:r>
        <w:rPr>
          <w:rFonts w:ascii="Times New Roman;sans-serif" w:hAnsi="Times New Roman;sans-serif"/>
          <w:b w:val="false"/>
          <w:color w:val="000000"/>
          <w:sz w:val="22"/>
        </w:rPr>
        <w:t xml:space="preserve">Dollars or </w:t>
      </w:r>
      <w:r>
        <w:rPr>
          <w:rFonts w:ascii="Times New Roman;sans-serif" w:hAnsi="Times New Roman;sans-serif"/>
          <w:b w:val="false"/>
          <w:strike/>
          <w:color w:val="FF0000"/>
          <w:sz w:val="22"/>
        </w:rPr>
        <w:t>euro</w:t>
      </w:r>
      <w:r>
        <w:rPr>
          <w:rFonts w:ascii="Times New Roman;sans-serif" w:hAnsi="Times New Roman;sans-serif"/>
          <w:b w:val="false"/>
          <w:color w:val="0000FF"/>
          <w:sz w:val="22"/>
          <w:u w:val="single"/>
        </w:rPr>
        <w:t>Pounds Sterling</w:t>
      </w:r>
      <w:r>
        <w:rPr>
          <w:color w:val="000000"/>
        </w:rPr>
        <w:t xml:space="preserve"> </w:t>
      </w:r>
      <w:r>
        <w:rPr>
          <w:rFonts w:ascii="Times New Roman;sans-serif" w:hAnsi="Times New Roman;sans-serif"/>
          <w:b w:val="false"/>
          <w:color w:val="000000"/>
          <w:sz w:val="22"/>
        </w:rPr>
        <w:t xml:space="preserve">in respect of a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21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 denominated in a currency other than </w:t>
      </w:r>
      <w:r>
        <w:rPr>
          <w:rFonts w:ascii="Times New Roman;sans-serif" w:hAnsi="Times New Roman;sans-serif"/>
          <w:b w:val="false"/>
          <w:strike/>
          <w:color w:val="FF0000"/>
          <w:sz w:val="22"/>
        </w:rPr>
        <w:t xml:space="preserve">Dollars or </w:t>
      </w:r>
      <w:r>
        <w:rPr>
          <w:rFonts w:ascii="Times New Roman;sans-serif" w:hAnsi="Times New Roman;sans-serif"/>
          <w:b w:val="false"/>
          <w:color w:val="000000"/>
          <w:sz w:val="22"/>
        </w:rPr>
        <w:t xml:space="preserve">euro, or any other dealings in any currency other than </w:t>
      </w:r>
      <w:r>
        <w:rPr>
          <w:rFonts w:ascii="Times New Roman;sans-serif" w:hAnsi="Times New Roman;sans-serif"/>
          <w:b w:val="false"/>
          <w:strike/>
          <w:color w:val="FF0000"/>
          <w:sz w:val="22"/>
        </w:rPr>
        <w:t xml:space="preserve">Dollars or </w:t>
      </w:r>
      <w:r>
        <w:rPr>
          <w:rFonts w:ascii="Times New Roman;sans-serif" w:hAnsi="Times New Roman;sans-serif"/>
          <w:b w:val="false"/>
          <w:color w:val="000000"/>
          <w:sz w:val="22"/>
        </w:rPr>
        <w:t xml:space="preserve">euro to be carried out pursuant to this Agreement in respect of any such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Rate Loan (other than any interest rate settings), means any such day on which banks are open for foreign exchange business in the principal financial center of the country of such 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Calculation Date</w:t>
      </w:r>
      <w:r>
        <w:rPr>
          <w:color w:val="000000"/>
        </w:rPr>
        <w:t xml:space="preserve">” </w:t>
      </w:r>
      <w:r>
        <w:rPr>
          <w:rFonts w:ascii="Times New Roman;sans-serif" w:hAnsi="Times New Roman;sans-serif"/>
          <w:b w:val="false"/>
          <w:color w:val="000000"/>
          <w:sz w:val="22"/>
        </w:rPr>
        <w:t>has the meaning assigned thereto in the definition of Applicable Margin.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Canadian Dollar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CAD</w:t>
      </w:r>
      <w:r>
        <w:rPr>
          <w:color w:val="000000"/>
        </w:rPr>
        <w:t xml:space="preserve">” </w:t>
      </w:r>
      <w:r>
        <w:rPr>
          <w:rFonts w:ascii="Times New Roman;sans-serif" w:hAnsi="Times New Roman;sans-serif"/>
          <w:b w:val="false"/>
          <w:color w:val="000000"/>
          <w:sz w:val="22"/>
        </w:rPr>
        <w:t>mean the lawful currency of Canada.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Capital Lease</w:t>
      </w:r>
      <w:r>
        <w:rPr>
          <w:color w:val="000000"/>
        </w:rPr>
        <w:t xml:space="preserve">” </w:t>
      </w:r>
      <w:r>
        <w:rPr>
          <w:rFonts w:ascii="Times New Roman;sans-serif" w:hAnsi="Times New Roman;sans-serif"/>
          <w:b w:val="false"/>
          <w:color w:val="000000"/>
          <w:sz w:val="22"/>
        </w:rPr>
        <w:t xml:space="preserve">means any lease of any property by the Company or any of its Restricted Subsidiaries, as lessee, that should, in accordance with GAAP, be classified and accounted for as a capital lease on a Consolidated balance sheet of the Company and its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purposes of calculating Indebtedness hereunder (including for purposes of calculating the Net Leverage Ratio), the term “</w:t>
      </w:r>
      <w:r>
        <w:rPr>
          <w:rFonts w:ascii="Times New Roman;sans-serif" w:hAnsi="Times New Roman;sans-serif"/>
          <w:b w:val="false"/>
          <w:color w:val="000000"/>
          <w:sz w:val="22"/>
          <w:u w:val="single"/>
        </w:rPr>
        <w:t>Capital Lease</w:t>
      </w:r>
      <w:r>
        <w:rPr>
          <w:color w:val="000000"/>
        </w:rPr>
        <w:t xml:space="preserve">” </w:t>
      </w:r>
      <w:r>
        <w:rPr>
          <w:rFonts w:ascii="Times New Roman;sans-serif" w:hAnsi="Times New Roman;sans-serif"/>
          <w:b w:val="false"/>
          <w:color w:val="000000"/>
          <w:sz w:val="22"/>
        </w:rPr>
        <w:t>shall not include any Capital Lease that was classified as an Operating Lease under GAAP as in effect on December 31, 2015 or would have been classified as an Operating Lease had such agreement been in effect on December 31, 2015.</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Capital Stock</w:t>
      </w:r>
      <w:r>
        <w:rPr>
          <w:color w:val="000000"/>
        </w:rPr>
        <w:t xml:space="preserve">” </w:t>
      </w:r>
      <w:r>
        <w:rPr>
          <w:rFonts w:ascii="Times New Roman;sans-serif" w:hAnsi="Times New Roman;sans-serif"/>
          <w:b w:val="false"/>
          <w:color w:val="000000"/>
          <w:sz w:val="22"/>
        </w:rPr>
        <w:t>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other interest or participation that confers on a Person the right to receive a share of the profits and losses of, or distributions of assets of, the issuing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means to pledge and deposit with or deliver to the Administrative Agent, for the benefit of the Administrative Agent, the Issuing Lenders, the Swingline Lender and the Lenders, as collateral for L/C Obligations, obligations in respect of Swingline Loans, or obligations of the Lenders to fund participations in respect of any thereof (as the context may require), cash or deposit account balances or, if the Issuing Lenders or Swingline Lender benefiting from such collateral shall agree in their sole discretion, other credit support, in each case pursuant to documentation in form and substance reasonably satisfactory to (a) the Administrative Agent and (b) the Issuing Lenders or the Swingline Lender (as applicable). “Cash Collateral” shall have a meaning correlative to the foregoing and shall include the proceeds of such cash collateral and other credit support.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Equivalents</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Management Services</w:t>
      </w:r>
      <w:r>
        <w:rPr>
          <w:color w:val="000000"/>
        </w:rPr>
        <w:t xml:space="preserve">” </w:t>
      </w:r>
      <w:r>
        <w:rPr>
          <w:rFonts w:ascii="Times New Roman;sans-serif" w:hAnsi="Times New Roman;sans-serif"/>
          <w:b w:val="false"/>
          <w:color w:val="000000"/>
          <w:sz w:val="22"/>
        </w:rPr>
        <w:t>means any services provided from time to time to the Company or any Restricted Subsidiary in connection with operating, collections, payroll, trust, or other depository or disbursement accounts, including automatic clearinghouse, controlled disbursement, depository, electronic funds transfer, information reporting, lockbox, stop payment, overdraft and/or wire transfer services and all other treasury and cash management services.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on Hand</w:t>
      </w:r>
      <w:r>
        <w:rPr>
          <w:color w:val="000000"/>
        </w:rPr>
        <w:t xml:space="preserve">” </w:t>
      </w:r>
      <w:r>
        <w:rPr>
          <w:rFonts w:ascii="Times New Roman;sans-serif" w:hAnsi="Times New Roman;sans-serif"/>
          <w:b w:val="false"/>
          <w:color w:val="000000"/>
          <w:sz w:val="22"/>
        </w:rPr>
        <w:t xml:space="preserve">means as of any date of determination, the aggregate amount of unrestricted cash and Cash Equivalents of the Company and its Restricted Subsidiaries as set forth in the most recent Consolidated balance sheet of the Company and its Restricted Subsidiaries delivered to the Administrative Agent in accordance with </w:t>
      </w:r>
      <w:r>
        <w:rPr>
          <w:rFonts w:ascii="Times New Roman;sans-serif" w:hAnsi="Times New Roman;sans-serif"/>
          <w:b w:val="false"/>
          <w:color w:val="000000"/>
          <w:sz w:val="22"/>
          <w:u w:val="single"/>
        </w:rPr>
        <w:t>Section 7.1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Change in Control</w:t>
      </w:r>
      <w:r>
        <w:rPr>
          <w:color w:val="000000"/>
        </w:rPr>
        <w:t xml:space="preserve">” </w:t>
      </w:r>
      <w:r>
        <w:rPr>
          <w:rFonts w:ascii="Times New Roman;sans-serif" w:hAnsi="Times New Roman;sans-serif"/>
          <w:b w:val="false"/>
          <w:color w:val="000000"/>
          <w:sz w:val="22"/>
        </w:rPr>
        <w:t xml:space="preserve">means (a) any event or series of events in which any person or group of persons (within the meaning of Section 13(d) of the Securities Exchange Act of 1934, as amended) shall obtain ownership or control in one or more series of transactions of more than thirty-five percent (35%) of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214"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Capital Stock or thirty-five percent (35%) of the voting power of the Company entitled to vote in the election of members of the board of directors of the Company, (b) there shall have occurred under any indenture or other instrument evidencing any Indebtedness in excess of $40,000,000 any “change in control” (as defined in such indenture or other evidence of Indebtedness) requiring the Company to repurchase, redeem or repay all or any part of the Indebtedness or Capital Stock provided for therein or (c) the Company shall cease to own and control, directly or indirectly, 100% of each Subsidiary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 xml:space="preserve">means </w:t>
      </w:r>
      <w:r>
        <w:rPr>
          <w:rFonts w:ascii="Times New Roman;sans-serif" w:hAnsi="Times New Roman;sans-serif"/>
          <w:b w:val="false"/>
          <w:strike/>
          <w:color w:val="FF0000"/>
          <w:sz w:val="22"/>
        </w:rPr>
        <w:t xml:space="preserve">the date of this Agreement or such later Business Day upon which each condition described in </w:t>
      </w:r>
      <w:r>
        <w:rPr>
          <w:rFonts w:ascii="Times New Roman;sans-serif" w:hAnsi="Times New Roman;sans-serif"/>
          <w:b w:val="false"/>
          <w:strike/>
          <w:color w:val="FF0000"/>
          <w:sz w:val="22"/>
          <w:u w:val="single"/>
        </w:rPr>
        <w:t>Section 5.1</w:t>
      </w:r>
      <w:r>
        <w:rPr>
          <w:strike/>
          <w:color w:val="FF0000"/>
        </w:rPr>
        <w:t xml:space="preserve"> </w:t>
      </w:r>
      <w:r>
        <w:rPr>
          <w:rFonts w:ascii="Times New Roman;sans-serif" w:hAnsi="Times New Roman;sans-serif"/>
          <w:b w:val="false"/>
          <w:strike/>
          <w:color w:val="FF0000"/>
          <w:sz w:val="22"/>
        </w:rPr>
        <w:t>shall be satisfied or waived in all respects in a manner acceptable to the Administrative Agent, in its sole discretion.</w:t>
      </w:r>
      <w:r>
        <w:rPr>
          <w:rFonts w:ascii="Times New Roman;sans-serif" w:hAnsi="Times New Roman;sans-serif"/>
          <w:b w:val="false"/>
          <w:color w:val="0000FF"/>
          <w:sz w:val="22"/>
          <w:u w:val="single"/>
        </w:rPr>
        <w:t>October 30, 2020.</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CME” means CME Group Benchmark Administration Limited.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 as amended or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means the collateral security for the Obligations pledged or granted pursuant to the Security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means, as to any Lender, such Lender’s Dollar Tranche Revolving Credit Commitment, Designated Currency Tranche Revolving Credit Commitment, Swingline Commitment, Term Loan Commitment and/or Incremental Term Loan Commitment, as applicable.</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Commitment Fee</w:t>
      </w:r>
      <w:r>
        <w:rPr>
          <w:color w:val="008000"/>
          <w:u w:val="single"/>
        </w:rPr>
        <w:t xml:space="preserve">” </w:t>
      </w:r>
      <w:r>
        <w:rPr>
          <w:rFonts w:ascii="Times New Roman;sans-serif" w:hAnsi="Times New Roman;sans-serif"/>
          <w:b w:val="false"/>
          <w:color w:val="008000"/>
          <w:sz w:val="22"/>
          <w:u w:val="single"/>
        </w:rPr>
        <w:t>has the meaning assigned to such term in Section </w:t>
      </w:r>
      <w:r>
        <w:rPr>
          <w:rFonts w:ascii="Times New Roman;sans-serif" w:hAnsi="Times New Roman;sans-serif"/>
          <w:b w:val="false"/>
          <w:color w:val="0000FF"/>
          <w:sz w:val="22"/>
          <w:u w:val="single"/>
        </w:rPr>
        <w:t>4.3(a).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Commitment Percentage</w:t>
      </w:r>
      <w:r>
        <w:rPr>
          <w:color w:val="000000"/>
        </w:rPr>
        <w:t xml:space="preserve">” </w:t>
      </w:r>
      <w:r>
        <w:rPr>
          <w:rFonts w:ascii="Times New Roman;sans-serif" w:hAnsi="Times New Roman;sans-serif"/>
          <w:b w:val="false"/>
          <w:color w:val="000000"/>
          <w:sz w:val="22"/>
        </w:rPr>
        <w:t>means, as to any Lender at any time, such Lender’s Dollar Tranche Revolving Credit Commitment Percentage, Designated Currency Tranche Revolving Credit Commitment Percentage, Term Loan Commitment Percentage, or Incremental Term Loan Percentage,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Commodity Exchange Act</w:t>
      </w:r>
      <w:r>
        <w:rPr>
          <w:color w:val="000000"/>
        </w:rPr>
        <w:t xml:space="preserve">” </w:t>
      </w:r>
      <w:r>
        <w:rPr>
          <w:rFonts w:ascii="Times New Roman;sans-serif" w:hAnsi="Times New Roman;sans-serif"/>
          <w:b w:val="false"/>
          <w:color w:val="000000"/>
          <w:sz w:val="22"/>
        </w:rPr>
        <w:t>shall mean the Commodity Exchange Act (7 U.S.C. §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Communication</w:t>
      </w:r>
      <w:r>
        <w:rPr>
          <w:color w:val="000000"/>
        </w:rPr>
        <w:t xml:space="preserve">” </w:t>
      </w:r>
      <w:r>
        <w:rPr>
          <w:rFonts w:ascii="Times New Roman;sans-serif" w:hAnsi="Times New Roman;sans-serif"/>
          <w:b w:val="false"/>
          <w:color w:val="000000"/>
          <w:sz w:val="22"/>
        </w:rPr>
        <w:t>means this Agreement, any Loan Document and any document, any amendment, approval, consent, information, notice, certificate, request, statement, disclosure or authorization related to any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has the meaning assigned thereto in the introductory paragraph hereto.</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21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Computation Date</w:t>
      </w:r>
      <w:r>
        <w:rPr>
          <w:color w:val="000000"/>
        </w:rPr>
        <w:t xml:space="preserve">” </w:t>
      </w:r>
      <w:r>
        <w:rPr>
          <w:rFonts w:ascii="Times New Roman;sans-serif" w:hAnsi="Times New Roman;sans-serif"/>
          <w:b w:val="false"/>
          <w:color w:val="000000"/>
          <w:sz w:val="22"/>
        </w:rPr>
        <w:t xml:space="preserve">means (a) with respect to any Loan, each of the following: (i) each date of an Extension of Credit of a </w:t>
      </w:r>
      <w:r>
        <w:rPr>
          <w:rFonts w:ascii="Times New Roman;sans-serif" w:hAnsi="Times New Roman;sans-serif"/>
          <w:b w:val="false"/>
          <w:strike/>
          <w:color w:val="FF0000"/>
          <w:sz w:val="22"/>
        </w:rPr>
        <w:t>Eurocurrency Rate Loan denominated in a Foreign Currency, (ii)</w:t>
      </w:r>
      <w:r>
        <w:rPr>
          <w:rFonts w:ascii="Times New Roman;sans-serif" w:hAnsi="Times New Roman;sans-serif"/>
          <w:b w:val="false"/>
          <w:color w:val="0000FF"/>
          <w:sz w:val="22"/>
          <w:u w:val="single"/>
        </w:rPr>
        <w:t>Designated Currency Rate Loan, (ii) with respect to a Designated Currency Daily Rate Loan, each Interest Payment Date, (iii)</w:t>
      </w:r>
      <w:r>
        <w:rPr>
          <w:color w:val="000000"/>
        </w:rPr>
        <w:t xml:space="preserve"> </w:t>
      </w:r>
      <w:r>
        <w:rPr>
          <w:rFonts w:ascii="Times New Roman;sans-serif" w:hAnsi="Times New Roman;sans-serif"/>
          <w:b w:val="false"/>
          <w:color w:val="000000"/>
          <w:sz w:val="22"/>
        </w:rPr>
        <w:t xml:space="preserve">each date of a continuation of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 xml:space="preserve">Rate Loan </w:t>
      </w:r>
      <w:r>
        <w:rPr>
          <w:rFonts w:ascii="Times New Roman;sans-serif" w:hAnsi="Times New Roman;sans-serif"/>
          <w:b w:val="false"/>
          <w:strike/>
          <w:color w:val="FF0000"/>
          <w:sz w:val="22"/>
        </w:rPr>
        <w:t xml:space="preserve">denominated in a Foreign Currency </w:t>
      </w:r>
      <w:r>
        <w:rPr>
          <w:rFonts w:ascii="Times New Roman;sans-serif" w:hAnsi="Times New Roman;sans-serif"/>
          <w:b w:val="false"/>
          <w:color w:val="000000"/>
          <w:sz w:val="22"/>
        </w:rPr>
        <w:t xml:space="preserve">pursuant to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and (</w:t>
      </w:r>
      <w:r>
        <w:rPr>
          <w:rFonts w:ascii="Times New Roman;sans-serif" w:hAnsi="Times New Roman;sans-serif"/>
          <w:b w:val="false"/>
          <w:strike/>
          <w:color w:val="FF0000"/>
          <w:sz w:val="22"/>
        </w:rPr>
        <w:t>iii</w:t>
      </w:r>
      <w:r>
        <w:rPr>
          <w:rFonts w:ascii="Times New Roman;sans-serif" w:hAnsi="Times New Roman;sans-serif"/>
          <w:b w:val="false"/>
          <w:color w:val="0000FF"/>
          <w:sz w:val="22"/>
          <w:u w:val="single"/>
        </w:rPr>
        <w:t>iv</w:t>
      </w:r>
      <w:r>
        <w:rPr>
          <w:rFonts w:ascii="Times New Roman;sans-serif" w:hAnsi="Times New Roman;sans-serif"/>
          <w:b w:val="false"/>
          <w:color w:val="000000"/>
          <w:sz w:val="22"/>
        </w:rPr>
        <w:t xml:space="preserve">) such additional dates as the Administrative Agent shall determine or the Required Lenders shall require; and (b) with respect to any Letter of Credit, each of the following: (i) each date of issuance, amendment and/or extension of a Letter of Credit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(ii) each date of any payment by any Issuing Lender under any Letter of Credit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(iii) in the case of all Existing Letters of Credit denominated in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Currencies, the Closing Date, and (iv) such additional dates as the Administrative Agent or any Issuing Lender shall determine or the Required Lenders shall require.</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8000"/>
          <w:sz w:val="22"/>
          <w:u w:val="single"/>
        </w:rPr>
        <w:t xml:space="preserve">Conforming Changes” means, with respect to </w:t>
      </w:r>
      <w:r>
        <w:rPr>
          <w:rFonts w:ascii="Times New Roman;sans-serif" w:hAnsi="Times New Roman;sans-serif"/>
          <w:b w:val="false"/>
          <w:color w:val="0000FF"/>
          <w:sz w:val="22"/>
          <w:u w:val="single"/>
        </w:rPr>
        <w:t xml:space="preserve">the use, administration of or any conventions associated with SOFR, Term SOFR, Daily SOFR, SONIA, EURIBOR, BBSY, CORRA, Term CORRA, BKBM or </w:t>
      </w:r>
      <w:r>
        <w:rPr>
          <w:rFonts w:ascii="Times New Roman;sans-serif" w:hAnsi="Times New Roman;sans-serif"/>
          <w:b w:val="false"/>
          <w:color w:val="008000"/>
          <w:sz w:val="22"/>
          <w:u w:val="single"/>
        </w:rPr>
        <w:t xml:space="preserve">any proposed Successor Rate for an </w:t>
      </w:r>
      <w:r>
        <w:rPr>
          <w:rFonts w:ascii="Times New Roman;sans-serif" w:hAnsi="Times New Roman;sans-serif"/>
          <w:b w:val="false"/>
          <w:color w:val="0000FF"/>
          <w:sz w:val="22"/>
          <w:u w:val="single"/>
        </w:rPr>
        <w:t xml:space="preserve">Agreed Currency, as applicable, </w:t>
      </w:r>
      <w:r>
        <w:rPr>
          <w:rFonts w:ascii="Times New Roman;sans-serif" w:hAnsi="Times New Roman;sans-serif"/>
          <w:b w:val="false"/>
          <w:color w:val="008000"/>
          <w:sz w:val="22"/>
          <w:u w:val="single"/>
        </w:rPr>
        <w:t xml:space="preserve">any conforming changes to the </w:t>
      </w:r>
      <w:r>
        <w:rPr>
          <w:rFonts w:ascii="Times New Roman;sans-serif" w:hAnsi="Times New Roman;sans-serif"/>
          <w:b w:val="false"/>
          <w:color w:val="0000FF"/>
          <w:sz w:val="22"/>
          <w:u w:val="single"/>
        </w:rPr>
        <w:t>definitions of “Base Rate”, “SOFR”, “Term SOFR”, “Daily SOFR”, “SONIA”, “EURIBOR”, “BBSY”, “CORRA”, “Term CORRA”, “BKBM” and “Interest Period”</w:t>
      </w:r>
      <w:r>
        <w:rPr>
          <w:rFonts w:ascii="Times New Roman;sans-serif" w:hAnsi="Times New Roman;sans-serif"/>
          <w:b w:val="false"/>
          <w:color w:val="008000"/>
          <w:sz w:val="22"/>
          <w:u w:val="single"/>
        </w:rPr>
        <w:t xml:space="preserve">, timing and frequency of determining rates and making payments of interest and other technical, administrative or operational matters (including, for the avoidance of doubt, the </w:t>
      </w:r>
      <w:r>
        <w:rPr>
          <w:rFonts w:ascii="Times New Roman;sans-serif" w:hAnsi="Times New Roman;sans-serif"/>
          <w:b w:val="false"/>
          <w:color w:val="0000FF"/>
          <w:sz w:val="22"/>
          <w:u w:val="single"/>
        </w:rPr>
        <w:t>definitions of “Business Day” and “U.S. Government Securities Business Day”</w:t>
      </w:r>
      <w:r>
        <w:rPr>
          <w:rFonts w:ascii="Times New Roman;sans-serif" w:hAnsi="Times New Roman;sans-serif"/>
          <w:b w:val="false"/>
          <w:color w:val="008000"/>
          <w:sz w:val="22"/>
          <w:u w:val="single"/>
        </w:rPr>
        <w:t xml:space="preserve">, timing of borrowing requests or prepayment, conversion or continuation notices and length of lookback periods </w:t>
      </w:r>
      <w:r>
        <w:rPr>
          <w:rFonts w:ascii="Times New Roman;sans-serif" w:hAnsi="Times New Roman;sans-serif"/>
          <w:b w:val="false"/>
          <w:color w:val="0000FF"/>
          <w:sz w:val="22"/>
          <w:u w:val="single"/>
        </w:rPr>
        <w:t>and the day basis for calculating interest for an agreed currency listed on Schedule 4.2</w:t>
      </w:r>
      <w:r>
        <w:rPr>
          <w:rFonts w:ascii="Times New Roman;sans-serif" w:hAnsi="Times New Roman;sans-serif"/>
          <w:b w:val="false"/>
          <w:color w:val="008000"/>
          <w:sz w:val="22"/>
          <w:u w:val="single"/>
        </w:rPr>
        <w:t xml:space="preserve">) as may be appropriate, in the discretion of the Administrative Agent, to reflect the adoption and implementation of such </w:t>
      </w:r>
      <w:r>
        <w:rPr>
          <w:rFonts w:ascii="Times New Roman;sans-serif" w:hAnsi="Times New Roman;sans-serif"/>
          <w:b w:val="false"/>
          <w:color w:val="0000FF"/>
          <w:sz w:val="22"/>
          <w:u w:val="single"/>
        </w:rPr>
        <w:t xml:space="preserve">applicable rate(s) </w:t>
      </w:r>
      <w:r>
        <w:rPr>
          <w:rFonts w:ascii="Times New Roman;sans-serif" w:hAnsi="Times New Roman;sans-serif"/>
          <w:b w:val="false"/>
          <w:color w:val="008000"/>
          <w:sz w:val="22"/>
          <w:u w:val="single"/>
        </w:rPr>
        <w:t xml:space="preserve">and to permit the administration thereof by the Administrative Agent in a manner substantially consistent with market practice for such </w:t>
      </w:r>
      <w:r>
        <w:rPr>
          <w:rFonts w:ascii="Times New Roman;sans-serif" w:hAnsi="Times New Roman;sans-serif"/>
          <w:b w:val="false"/>
          <w:color w:val="0000FF"/>
          <w:sz w:val="22"/>
          <w:u w:val="single"/>
        </w:rPr>
        <w:t xml:space="preserve">Agreed </w:t>
      </w:r>
      <w:r>
        <w:rPr>
          <w:rFonts w:ascii="Times New Roman;sans-serif" w:hAnsi="Times New Roman;sans-serif"/>
          <w:b w:val="false"/>
          <w:color w:val="008000"/>
          <w:sz w:val="22"/>
          <w:u w:val="single"/>
        </w:rPr>
        <w:t xml:space="preserve">Currency (or, if the Administrative Agent determines that adoption of any portion of such market practice is not administratively feasible or that no market practice for the administration of such </w:t>
      </w:r>
      <w:r>
        <w:rPr>
          <w:rFonts w:ascii="Times New Roman;sans-serif" w:hAnsi="Times New Roman;sans-serif"/>
          <w:b w:val="false"/>
          <w:color w:val="0000FF"/>
          <w:sz w:val="22"/>
          <w:u w:val="single"/>
        </w:rPr>
        <w:t xml:space="preserve">rate for such Agreed </w:t>
      </w:r>
      <w:r>
        <w:rPr>
          <w:rFonts w:ascii="Times New Roman;sans-serif" w:hAnsi="Times New Roman;sans-serif"/>
          <w:b w:val="false"/>
          <w:color w:val="008000"/>
          <w:sz w:val="22"/>
          <w:u w:val="single"/>
        </w:rPr>
        <w:t>Currency exists, in such other manner of administration as the Administrative Agent determines is reasonably necessary in connection with the administration of this Agreement and any other Loan Document).</w:t>
      </w:r>
    </w:p>
    <w:p>
      <w:pPr>
        <w:pStyle w:val="TextBody"/>
        <w:bidi w:val="0"/>
        <w:spacing w:lineRule="auto" w:line="297" w:before="0" w:after="0"/>
        <w:ind w:left="0" w:right="0" w:firstLine="648"/>
        <w:jc w:val="both"/>
        <w:rPr/>
      </w:pPr>
      <w:r>
        <w:rPr>
          <w:color w:val="000000"/>
        </w:rPr>
        <w:t>“</w:t>
      </w:r>
      <w:r>
        <w:rPr>
          <w:rFonts w:ascii="Times New Roman;sans-serif" w:hAnsi="Times New Roman;sans-serif"/>
          <w:b w:val="false"/>
          <w:color w:val="000000"/>
          <w:sz w:val="22"/>
          <w:u w:val="single"/>
        </w:rPr>
        <w:t>Connection Income Taxes</w:t>
      </w:r>
      <w:r>
        <w:rPr>
          <w:color w:val="000000"/>
        </w:rPr>
        <w:t xml:space="preserve">” </w:t>
      </w:r>
      <w:r>
        <w:rPr>
          <w:rFonts w:ascii="Times New Roman;sans-serif" w:hAnsi="Times New Roman;sans-serif"/>
          <w:b w:val="false"/>
          <w:color w:val="000000"/>
          <w:sz w:val="22"/>
        </w:rPr>
        <w:t>means Other Connection Taxes that are imposed on or measured by net income (however denominated) or that are franchise Taxes or branch profits Taxes.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w:t>
      </w:r>
      <w:r>
        <w:rPr>
          <w:color w:val="000000"/>
        </w:rPr>
        <w:t xml:space="preserve">” </w:t>
      </w:r>
      <w:r>
        <w:rPr>
          <w:rFonts w:ascii="Times New Roman;sans-serif" w:hAnsi="Times New Roman;sans-serif"/>
          <w:b w:val="false"/>
          <w:color w:val="000000"/>
          <w:sz w:val="22"/>
        </w:rPr>
        <w:t>means, when used with reference to financial statements or financial statement items of the Company and its Restricted Subsidiaries, such statements or items on a consolidated basis in accordance with applicable principles of consolidation under GAAP.</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CORRA” means the Canadian Overnight Repo Rate Average administered and published by the Bank of Canada (or any successor administrator).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Covered Party</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13.26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Credit Facility</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Credit Facilities</w:t>
      </w:r>
      <w:r>
        <w:rPr>
          <w:color w:val="000000"/>
        </w:rPr>
        <w:t xml:space="preserve">” </w:t>
      </w:r>
      <w:r>
        <w:rPr>
          <w:rFonts w:ascii="Times New Roman;sans-serif" w:hAnsi="Times New Roman;sans-serif"/>
          <w:b w:val="false"/>
          <w:color w:val="000000"/>
          <w:sz w:val="22"/>
        </w:rPr>
        <w:t>means, collectively, the Dollar Tranche Revolving Credit Facility, the Designated Currency Tranche Revolving Credit Facility, the Term Loan Credit Facility, the Swingline Facility, the L/C Facility and the Incremental Term Loan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Credit Parties</w:t>
      </w:r>
      <w:r>
        <w:rPr>
          <w:color w:val="000000"/>
        </w:rPr>
        <w:t xml:space="preserve">” </w:t>
      </w:r>
      <w:r>
        <w:rPr>
          <w:rFonts w:ascii="Times New Roman;sans-serif" w:hAnsi="Times New Roman;sans-serif"/>
          <w:b w:val="false"/>
          <w:color w:val="000000"/>
          <w:sz w:val="22"/>
        </w:rPr>
        <w:t>means, collectively, the Borrowers and the Guarantors.</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21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Daily SOFR” means the rate per annum equal to SOFR determined for any day pursuant to the definition thereof plus the SOFR Adjustment. Any change in Daily SOFR shall be effective from and including the date of such change without further notice. If the rate as so determined would be less than zero, such rate shall be deemed to be zero for purposes of this Agreement.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Daily SOFR Loan” means a Loan that bears interest at a rate based on Daily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Debtor Relief Laws</w:t>
      </w:r>
      <w:r>
        <w:rPr>
          <w:color w:val="000000"/>
        </w:rPr>
        <w:t xml:space="preserve">” </w:t>
      </w:r>
      <w:r>
        <w:rPr>
          <w:rFonts w:ascii="Times New Roman;sans-serif" w:hAnsi="Times New Roman;sans-serif"/>
          <w:b w:val="false"/>
          <w:color w:val="000000"/>
          <w:sz w:val="22"/>
        </w:rPr>
        <w:t>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 xml:space="preserve">means any of the events specified in </w:t>
      </w:r>
      <w:r>
        <w:rPr>
          <w:rFonts w:ascii="Times New Roman;sans-serif" w:hAnsi="Times New Roman;sans-serif"/>
          <w:b w:val="false"/>
          <w:color w:val="000000"/>
          <w:sz w:val="22"/>
          <w:u w:val="single"/>
        </w:rPr>
        <w:t>Section 11.1</w:t>
      </w:r>
      <w:r>
        <w:rPr>
          <w:color w:val="000000"/>
        </w:rPr>
        <w:t xml:space="preserve"> </w:t>
      </w:r>
      <w:r>
        <w:rPr>
          <w:rFonts w:ascii="Times New Roman;sans-serif" w:hAnsi="Times New Roman;sans-serif"/>
          <w:b w:val="false"/>
          <w:color w:val="000000"/>
          <w:sz w:val="22"/>
        </w:rPr>
        <w:t>which with the passage of time, the giving of notice or any other condition, would constitute an Event of Default.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 Rate</w:t>
      </w:r>
      <w:r>
        <w:rPr>
          <w:color w:val="000000"/>
        </w:rPr>
        <w:t xml:space="preserve">” </w:t>
      </w:r>
      <w:r>
        <w:rPr>
          <w:rFonts w:ascii="Times New Roman;sans-serif" w:hAnsi="Times New Roman;sans-serif"/>
          <w:b w:val="false"/>
          <w:color w:val="000000"/>
          <w:sz w:val="22"/>
        </w:rPr>
        <w:t xml:space="preserve">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Margin for Revolving Credit Loans that are Base Rate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two percent (2%), in each case, to the fullest extent permitted by Applicable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 Right</w:t>
      </w:r>
      <w:r>
        <w:rPr>
          <w:color w:val="000000"/>
        </w:rPr>
        <w:t xml:space="preserve">” </w:t>
      </w:r>
      <w:r>
        <w:rPr>
          <w:rFonts w:ascii="Times New Roman;sans-serif" w:hAnsi="Times New Roman;sans-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subject to </w:t>
      </w:r>
      <w:r>
        <w:rPr>
          <w:rFonts w:ascii="Times New Roman;sans-serif" w:hAnsi="Times New Roman;sans-serif"/>
          <w:b w:val="false"/>
          <w:color w:val="000000"/>
          <w:sz w:val="22"/>
          <w:u w:val="single"/>
        </w:rPr>
        <w:t>Section 4.14(b)</w:t>
      </w:r>
      <w:r>
        <w:rPr>
          <w:rFonts w:ascii="Times New Roman;sans-serif" w:hAnsi="Times New Roman;sans-serif"/>
          <w:b w:val="false"/>
          <w:color w:val="000000"/>
          <w:sz w:val="22"/>
        </w:rPr>
        <w:t>, any Lender that (a) has failed to (i) fund all or any portion of its Loans within two (2)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 Issuing Lender, the Swingline Lender or any other Lender any other amount required to be paid by it hereunder (including in respect of its participation in Letters of Credit or Swingline Loans) within two (2) Business Days of the date when due, (b) has notified the Company, the Administrative Agent, an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Company, to confirm in writing to the Administrative Agent and the Company that it will comply with its prospective funding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w:t>
      </w:r>
      <w:r>
        <w:rPr>
          <w:rFonts w:ascii="Times New Roman;sans-serif" w:hAnsi="Times New Roman;sans-serif"/>
          <w:b w:val="false"/>
          <w:strike/>
          <w:color w:val="FF0000"/>
          <w:sz w:val="22"/>
        </w:rPr>
        <w:t>Bail-In</w:t>
      </w:r>
      <w:r>
        <w:rPr>
          <w:rFonts w:ascii="Times New Roman;sans-serif" w:hAnsi="Times New Roman;sans-serif"/>
          <w:b w:val="false"/>
          <w:color w:val="0000FF"/>
          <w:sz w:val="22"/>
          <w:u w:val="single"/>
        </w:rPr>
        <w:t>Bail-In</w:t>
      </w:r>
      <w:r>
        <w:rPr>
          <w:color w:val="000000"/>
        </w:rPr>
        <w:t xml:space="preserve"> </w:t>
      </w:r>
      <w:r>
        <w:rPr>
          <w:rFonts w:ascii="Times New Roman;sans-serif" w:hAnsi="Times New Roman;sans-serif"/>
          <w:b w:val="false"/>
          <w:color w:val="000000"/>
          <w:sz w:val="22"/>
        </w:rPr>
        <w:t xml:space="preserve">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21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Lender (or such Governmental Authority) to reject, repudiate, disavow or disaffirm any contracts or agreements made with such Lender. Any determination by the Administrative Agent that a Lender is a Defaulting Lender under any one or more of clauses (a) through (d) above, and the effective date of such status, shall be conclusive and binding absent manifest error, and such Lender shall be deemed to be a Defaulting Lender (subject to </w:t>
      </w:r>
      <w:r>
        <w:rPr>
          <w:rFonts w:ascii="Times New Roman;sans-serif" w:hAnsi="Times New Roman;sans-serif"/>
          <w:b w:val="false"/>
          <w:color w:val="000000"/>
          <w:sz w:val="22"/>
          <w:u w:val="single"/>
        </w:rPr>
        <w:t>Section 4.14(b)</w:t>
      </w:r>
      <w:r>
        <w:rPr>
          <w:rFonts w:ascii="Times New Roman;sans-serif" w:hAnsi="Times New Roman;sans-serif"/>
          <w:b w:val="false"/>
          <w:color w:val="000000"/>
          <w:sz w:val="22"/>
        </w:rPr>
        <w:t>) as of the date established therefor by the Administrative Agent in a written notice of such determination, which shall be delivered by the Administrative Agent to the Company, each Issuing Lender, the Swingline Lender and each other Lender promptly following such determination.</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Designated Currency” means each of the following currencies: </w:t>
      </w:r>
      <w:r>
        <w:rPr>
          <w:rFonts w:ascii="Times New Roman;sans-serif" w:hAnsi="Times New Roman;sans-serif"/>
          <w:b w:val="false"/>
          <w:color w:val="008000"/>
          <w:sz w:val="22"/>
          <w:u w:val="single"/>
        </w:rPr>
        <w:t xml:space="preserve">(i) euro, (ii) Pounds Sterling, (iii) Australian Dollars, (iv) New Zealand Dollars and (v) Canadian Dollars, together with each other currency (other than Dollars) that is approved in accordance with Section 1.9; provided that each </w:t>
      </w:r>
      <w:r>
        <w:rPr>
          <w:rFonts w:ascii="Times New Roman;sans-serif" w:hAnsi="Times New Roman;sans-serif"/>
          <w:b w:val="false"/>
          <w:color w:val="0000FF"/>
          <w:sz w:val="22"/>
          <w:u w:val="single"/>
        </w:rPr>
        <w:t xml:space="preserve">Designated Currency is lawful, </w:t>
      </w:r>
      <w:r>
        <w:rPr>
          <w:rFonts w:ascii="Times New Roman;sans-serif" w:hAnsi="Times New Roman;sans-serif"/>
          <w:b w:val="false"/>
          <w:color w:val="008000"/>
          <w:sz w:val="22"/>
          <w:u w:val="single"/>
        </w:rPr>
        <w:t xml:space="preserve">readily available, freely transferable and convertible into Dollars in the international interbank market available to the Lenders </w:t>
      </w:r>
      <w:r>
        <w:rPr>
          <w:rFonts w:ascii="Times New Roman;sans-serif" w:hAnsi="Times New Roman;sans-serif"/>
          <w:b w:val="false"/>
          <w:color w:val="0000FF"/>
          <w:sz w:val="22"/>
          <w:u w:val="single"/>
        </w:rPr>
        <w:t xml:space="preserve">or the applicable Issuing Lender, as applicable, </w:t>
      </w:r>
      <w:r>
        <w:rPr>
          <w:rFonts w:ascii="Times New Roman;sans-serif" w:hAnsi="Times New Roman;sans-serif"/>
          <w:b w:val="false"/>
          <w:color w:val="008000"/>
          <w:sz w:val="22"/>
          <w:u w:val="single"/>
        </w:rPr>
        <w:t xml:space="preserve">in such market and as to which a Dollar Amount may be readily calculated. If, after the designation by the Lenders </w:t>
      </w:r>
      <w:r>
        <w:rPr>
          <w:rFonts w:ascii="Times New Roman;sans-serif" w:hAnsi="Times New Roman;sans-serif"/>
          <w:b w:val="false"/>
          <w:color w:val="0000FF"/>
          <w:sz w:val="22"/>
          <w:u w:val="single"/>
        </w:rPr>
        <w:t xml:space="preserve">or the applicable Issuing Lender, as applicable, </w:t>
      </w:r>
      <w:r>
        <w:rPr>
          <w:rFonts w:ascii="Times New Roman;sans-serif" w:hAnsi="Times New Roman;sans-serif"/>
          <w:b w:val="false"/>
          <w:color w:val="008000"/>
          <w:sz w:val="22"/>
          <w:u w:val="single"/>
        </w:rPr>
        <w:t xml:space="preserve">of any currency as a </w:t>
      </w:r>
      <w:r>
        <w:rPr>
          <w:rFonts w:ascii="Times New Roman;sans-serif" w:hAnsi="Times New Roman;sans-serif"/>
          <w:b w:val="false"/>
          <w:color w:val="0000FF"/>
          <w:sz w:val="22"/>
          <w:u w:val="single"/>
        </w:rPr>
        <w:t>Designated Currency (or if, with respect to any currency that constitutes a Designated Currency on the Third Amendment Effective Date, after the Third Amendment Effective Date), (</w:t>
      </w:r>
      <w:r>
        <w:rPr>
          <w:rFonts w:ascii="Times New Roman;sans-serif" w:hAnsi="Times New Roman;sans-serif"/>
          <w:b w:val="false"/>
          <w:color w:val="008000"/>
          <w:sz w:val="22"/>
          <w:u w:val="single"/>
        </w:rPr>
        <w:t xml:space="preserve">1)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 </w:t>
      </w:r>
      <w:r>
        <w:rPr>
          <w:rFonts w:ascii="Times New Roman;sans-serif" w:hAnsi="Times New Roman;sans-serif"/>
          <w:b w:val="false"/>
          <w:color w:val="0000FF"/>
          <w:sz w:val="22"/>
          <w:u w:val="single"/>
        </w:rPr>
        <w:t xml:space="preserve">Designated </w:t>
      </w:r>
      <w:r>
        <w:rPr>
          <w:rFonts w:ascii="Times New Roman;sans-serif" w:hAnsi="Times New Roman;sans-serif"/>
          <w:b w:val="false"/>
          <w:color w:val="008000"/>
          <w:sz w:val="22"/>
          <w:u w:val="single"/>
        </w:rPr>
        <w:t xml:space="preserve">Currency) or the applicable Issuing Lender (in the case of any Letter of Credit to be denominated in a </w:t>
      </w:r>
      <w:r>
        <w:rPr>
          <w:rFonts w:ascii="Times New Roman;sans-serif" w:hAnsi="Times New Roman;sans-serif"/>
          <w:b w:val="false"/>
          <w:color w:val="0000FF"/>
          <w:sz w:val="22"/>
          <w:u w:val="single"/>
        </w:rPr>
        <w:t>Designated Currency</w:t>
      </w:r>
      <w:r>
        <w:rPr>
          <w:rFonts w:ascii="Times New Roman;sans-serif" w:hAnsi="Times New Roman;sans-serif"/>
          <w:b w:val="false"/>
          <w:color w:val="008000"/>
          <w:sz w:val="22"/>
          <w:u w:val="single"/>
        </w:rPr>
        <w:t xml:space="preserve">), (a) such currency no longer being readily available, freely transferable and convertible into Dollars, (b) a Dollar Amount is no longer readily calculable with respect to such currency, (c) providing such currency is impracticable for the Lenders or </w:t>
      </w:r>
      <w:r>
        <w:rPr>
          <w:rFonts w:ascii="Times New Roman;sans-serif" w:hAnsi="Times New Roman;sans-serif"/>
          <w:b w:val="false"/>
          <w:color w:val="0000FF"/>
          <w:sz w:val="22"/>
          <w:u w:val="single"/>
        </w:rPr>
        <w:t xml:space="preserve">the applicable Issuing Lender, as applicable, or </w:t>
      </w:r>
      <w:r>
        <w:rPr>
          <w:rFonts w:ascii="Times New Roman;sans-serif" w:hAnsi="Times New Roman;sans-serif"/>
          <w:b w:val="false"/>
          <w:color w:val="008000"/>
          <w:sz w:val="22"/>
          <w:u w:val="single"/>
        </w:rPr>
        <w:t xml:space="preserve">(d) no longer a currency in which the Required Lenders are willing to make such Extensions of Credit (each of </w:t>
      </w:r>
      <w:r>
        <w:rPr>
          <w:rFonts w:ascii="Times New Roman;sans-serif" w:hAnsi="Times New Roman;sans-serif"/>
          <w:b w:val="false"/>
          <w:color w:val="0000FF"/>
          <w:sz w:val="22"/>
          <w:u w:val="single"/>
        </w:rPr>
        <w:t>clauses </w:t>
      </w:r>
      <w:r>
        <w:rPr>
          <w:rFonts w:ascii="Times New Roman;sans-serif" w:hAnsi="Times New Roman;sans-serif"/>
          <w:b w:val="false"/>
          <w:color w:val="008000"/>
          <w:sz w:val="22"/>
          <w:u w:val="single"/>
        </w:rPr>
        <w:t xml:space="preserve">(a), (b), (c), and (d) a “Disqualifying Event”) and (2) it is the general practice of the Administrative Agent or the applicable Issuing Lender to cease making Loans or issuing Letters of Credit in such currency to borrowers similarly situated in similar circumstances under comparable provisions of other credit agreements, then the Administrative Agent shall promptly notify the Lenders and the Company, and such country’s currency shall no longer be a </w:t>
      </w:r>
      <w:r>
        <w:rPr>
          <w:rFonts w:ascii="Times New Roman;sans-serif" w:hAnsi="Times New Roman;sans-serif"/>
          <w:b w:val="false"/>
          <w:color w:val="0000FF"/>
          <w:sz w:val="22"/>
          <w:u w:val="single"/>
        </w:rPr>
        <w:t xml:space="preserve">Designated </w:t>
      </w:r>
      <w:r>
        <w:rPr>
          <w:rFonts w:ascii="Times New Roman;sans-serif" w:hAnsi="Times New Roman;sans-serif"/>
          <w:b w:val="false"/>
          <w:color w:val="008000"/>
          <w:sz w:val="22"/>
          <w:u w:val="single"/>
        </w:rPr>
        <w:t>Currency until such time as the Disqualifying Event(s) no longer exist</w:t>
      </w:r>
      <w:r>
        <w:rPr>
          <w:rFonts w:ascii="Times New Roman;sans-serif" w:hAnsi="Times New Roman;sans-serif"/>
          <w:b w:val="false"/>
          <w:color w:val="0000FF"/>
          <w:sz w:val="22"/>
          <w:u w:val="single"/>
        </w:rPr>
        <w:t>(s)</w:t>
      </w:r>
      <w:r>
        <w:rPr>
          <w:rFonts w:ascii="Times New Roman;sans-serif" w:hAnsi="Times New Roman;sans-serif"/>
          <w:b w:val="false"/>
          <w:color w:val="008000"/>
          <w:sz w:val="22"/>
          <w:u w:val="single"/>
        </w:rPr>
        <w:t xml:space="preserve">. Within five (5) Business Days after receipt of such notice from the Administrative Agent, the Borrowers shall repay all Loans in such currency to which the Disqualifying Event applies or convert such Loans into the Dollar Amount of Loans in Dollars </w:t>
      </w:r>
      <w:r>
        <w:rPr>
          <w:rFonts w:ascii="Times New Roman;sans-serif" w:hAnsi="Times New Roman;sans-serif"/>
          <w:b w:val="false"/>
          <w:color w:val="0000FF"/>
          <w:sz w:val="22"/>
          <w:u w:val="single"/>
        </w:rPr>
        <w:t>(provided, that, such conversion of Loans into Dollars shall not require satisfaction of the conditions set forth in Section 5.2(a) and (b), and the Loan Notice provided in connection with any such conversion of Loans into Dollars shall not be deemed to be a representation and warranty by such Borrower that the conditions specified in Sections 5.2(a) and (b) have been satisfied on and as of the date of such conversion).</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Designated Currency Daily Rate” means, for any day, </w:t>
      </w:r>
      <w:r>
        <w:rPr>
          <w:rFonts w:ascii="Times New Roman;sans-serif" w:hAnsi="Times New Roman;sans-serif"/>
          <w:b w:val="false"/>
          <w:color w:val="008000"/>
          <w:sz w:val="22"/>
          <w:u w:val="single"/>
        </w:rPr>
        <w:t>with respect to any Extension of Credit</w:t>
      </w:r>
      <w:r>
        <w:rPr>
          <w:rFonts w:ascii="Times New Roman;sans-serif" w:hAnsi="Times New Roman;sans-serif"/>
          <w:b w:val="false"/>
          <w:color w:val="0000FF"/>
          <w:sz w:val="22"/>
          <w:u w:val="single"/>
        </w:rPr>
        <w:t>:</w:t>
      </w:r>
    </w:p>
    <w:p>
      <w:pPr>
        <w:pStyle w:val="TextBody"/>
        <w:bidi w:val="0"/>
        <w:spacing w:lineRule="auto" w:line="288" w:before="0" w:after="24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(a)    denominated in Pounds Sterling, the rate per annum equal to SONIA determined pursuant to the definition thereof plus the SONIA Adjustment; and</w:t>
      </w:r>
    </w:p>
    <w:p>
      <w:pPr>
        <w:pStyle w:val="TextBody"/>
        <w:bidi w:val="0"/>
        <w:spacing w:lineRule="auto" w:line="288" w:before="0" w:after="240"/>
        <w:jc w:val="both"/>
        <w:rPr/>
      </w:pPr>
      <w:r>
        <w:rPr>
          <w:rFonts w:ascii="Times New Roman;sans-serif" w:hAnsi="Times New Roman;sans-serif"/>
          <w:b w:val="false"/>
          <w:color w:val="0000FF"/>
          <w:sz w:val="22"/>
          <w:u w:val="single"/>
        </w:rPr>
        <w:t xml:space="preserve">(b)    denominated in any other Designated Currency (to the extent such Loans denominated in such currency will bear interest at a daily rate), the daily </w:t>
      </w:r>
      <w:r>
        <w:rPr>
          <w:rFonts w:ascii="Times New Roman;sans-serif" w:hAnsi="Times New Roman;sans-serif"/>
          <w:b w:val="false"/>
          <w:color w:val="008000"/>
          <w:sz w:val="22"/>
          <w:u w:val="single"/>
        </w:rPr>
        <w:t xml:space="preserve">rate per annum as designated with respect to such </w:t>
      </w:r>
      <w:r>
        <w:rPr>
          <w:rFonts w:ascii="Times New Roman;sans-serif" w:hAnsi="Times New Roman;sans-serif"/>
          <w:b w:val="false"/>
          <w:color w:val="0000FF"/>
          <w:sz w:val="22"/>
          <w:u w:val="single"/>
        </w:rPr>
        <w:t xml:space="preserve">Designated </w:t>
      </w:r>
      <w:r>
        <w:rPr>
          <w:rFonts w:ascii="Times New Roman;sans-serif" w:hAnsi="Times New Roman;sans-serif"/>
          <w:b w:val="false"/>
          <w:color w:val="008000"/>
          <w:sz w:val="22"/>
          <w:u w:val="single"/>
        </w:rPr>
        <w:t xml:space="preserve">Currency at the time such </w:t>
      </w:r>
      <w:r>
        <w:rPr>
          <w:rFonts w:ascii="Times New Roman;sans-serif" w:hAnsi="Times New Roman;sans-serif"/>
          <w:b w:val="false"/>
          <w:color w:val="0000FF"/>
          <w:sz w:val="22"/>
          <w:u w:val="single"/>
        </w:rPr>
        <w:t xml:space="preserve">Designated </w:t>
      </w:r>
      <w:r>
        <w:rPr>
          <w:rFonts w:ascii="Times New Roman;sans-serif" w:hAnsi="Times New Roman;sans-serif"/>
          <w:b w:val="false"/>
          <w:color w:val="008000"/>
          <w:sz w:val="22"/>
          <w:u w:val="single"/>
        </w:rPr>
        <w:t xml:space="preserve">Currency is approved by the Administrative Agent and the relevant Lenders pursuant to Section 1.9(a) </w:t>
      </w:r>
      <w:r>
        <w:rPr>
          <w:rFonts w:ascii="Times New Roman;sans-serif" w:hAnsi="Times New Roman;sans-serif"/>
          <w:b w:val="false"/>
          <w:color w:val="0000FF"/>
          <w:sz w:val="22"/>
          <w:u w:val="single"/>
        </w:rPr>
        <w:t xml:space="preserve">plus the adjustment (if any) </w:t>
      </w:r>
      <w:r>
        <w:rPr>
          <w:rFonts w:ascii="Times New Roman;sans-serif" w:hAnsi="Times New Roman;sans-serif"/>
          <w:b w:val="false"/>
          <w:color w:val="008000"/>
          <w:sz w:val="22"/>
          <w:u w:val="single"/>
        </w:rPr>
        <w:t xml:space="preserve">determined by the Administrative Agent </w:t>
      </w:r>
      <w:r>
        <w:rPr>
          <w:rFonts w:ascii="Times New Roman;sans-serif" w:hAnsi="Times New Roman;sans-serif"/>
          <w:b w:val="false"/>
          <w:color w:val="0000FF"/>
          <w:sz w:val="22"/>
          <w:u w:val="single"/>
        </w:rPr>
        <w:t>and the relevant Lenders pursuant to Section 1.9(a);</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21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provided, that, if any Designated Currency Daily Rate shall be less than zero, such rate shall be deemed zero for purposes of this Agreement. Any change in a Designated Currency Daily Rate shall be effective from and including the date of such change without further notice.</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Designated Currency Daily Rate Loan” means a Loan that bears interest at a rate based on the definition of “Designated Currency Daily Rate.” All Designated Currency Daily Rate Loans must be denominated in a Designated Currency.</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Designated Currency Rate Loan” means a Designated Currency Daily Rate Loan or a Designated Currency Term Rate Loan, as applicable.</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Designated Currency Term Rate” means, </w:t>
      </w:r>
      <w:r>
        <w:rPr>
          <w:rFonts w:ascii="Times New Roman;sans-serif" w:hAnsi="Times New Roman;sans-serif"/>
          <w:b w:val="false"/>
          <w:color w:val="008000"/>
          <w:sz w:val="22"/>
          <w:u w:val="single"/>
        </w:rPr>
        <w:t>for any Interest Period, with respect to any Extension of Credit:</w:t>
      </w:r>
    </w:p>
    <w:p>
      <w:pPr>
        <w:pStyle w:val="TextBody"/>
        <w:bidi w:val="0"/>
        <w:spacing w:lineRule="auto" w:line="288" w:before="0" w:after="240"/>
        <w:ind w:left="0" w:right="0" w:firstLine="720"/>
        <w:jc w:val="both"/>
        <w:rPr/>
      </w:pPr>
      <w:r>
        <w:rPr>
          <w:rFonts w:ascii="Times New Roman;sans-serif" w:hAnsi="Times New Roman;sans-serif"/>
          <w:b w:val="false"/>
          <w:color w:val="008000"/>
          <w:sz w:val="22"/>
          <w:u w:val="single"/>
        </w:rPr>
        <w:t>(a)    </w:t>
      </w:r>
      <w:r>
        <w:rPr>
          <w:rFonts w:ascii="Times New Roman;sans-serif" w:hAnsi="Times New Roman;sans-serif"/>
          <w:b w:val="false"/>
          <w:color w:val="0000FF"/>
          <w:sz w:val="22"/>
          <w:u w:val="single"/>
        </w:rPr>
        <w:t>denominated in euros, the rate per annum equal to the Euro Interbank Offered Rate (“EURIBOR”),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pStyle w:val="TextBody"/>
        <w:bidi w:val="0"/>
        <w:spacing w:lineRule="auto" w:line="288" w:before="0" w:after="240"/>
        <w:ind w:left="0" w:right="0" w:firstLine="720"/>
        <w:jc w:val="both"/>
        <w:rPr/>
      </w:pPr>
      <w:r>
        <w:rPr>
          <w:rFonts w:ascii="Times New Roman;sans-serif" w:hAnsi="Times New Roman;sans-serif"/>
          <w:b w:val="false"/>
          <w:color w:val="008000"/>
          <w:sz w:val="22"/>
          <w:u w:val="single"/>
        </w:rPr>
        <w:t xml:space="preserve">(b)    denominated in Canadian Dollars, the rate per annum equal to the </w:t>
      </w:r>
      <w:r>
        <w:rPr>
          <w:rFonts w:ascii="Times New Roman;sans-serif" w:hAnsi="Times New Roman;sans-serif"/>
          <w:b w:val="false"/>
          <w:color w:val="0000FF"/>
          <w:sz w:val="22"/>
          <w:u w:val="single"/>
        </w:rPr>
        <w:t xml:space="preserve">forward-looking term rate based on CORRA (“Term CORRA”), </w:t>
      </w:r>
      <w:r>
        <w:rPr>
          <w:rFonts w:ascii="Times New Roman;sans-serif" w:hAnsi="Times New Roman;sans-serif"/>
          <w:b w:val="false"/>
          <w:color w:val="008000"/>
          <w:sz w:val="22"/>
          <w:u w:val="single"/>
        </w:rPr>
        <w:t xml:space="preserve">as published on the applicable </w:t>
      </w:r>
      <w:r>
        <w:rPr>
          <w:rFonts w:ascii="Times New Roman;sans-serif" w:hAnsi="Times New Roman;sans-serif"/>
          <w:b w:val="false"/>
          <w:color w:val="0000FF"/>
          <w:sz w:val="22"/>
          <w:u w:val="single"/>
        </w:rPr>
        <w:t xml:space="preserve">Reuters </w:t>
      </w:r>
      <w:r>
        <w:rPr>
          <w:rFonts w:ascii="Times New Roman;sans-serif" w:hAnsi="Times New Roman;sans-serif"/>
          <w:b w:val="false"/>
          <w:color w:val="008000"/>
          <w:sz w:val="22"/>
          <w:u w:val="single"/>
        </w:rPr>
        <w:t>screen page (or such other commercially available source providing such quotations as may be designated by the Administrative Agent from time to time) (in such case, the “</w:t>
      </w:r>
      <w:r>
        <w:rPr>
          <w:rFonts w:ascii="Times New Roman;sans-serif" w:hAnsi="Times New Roman;sans-serif"/>
          <w:b w:val="false"/>
          <w:color w:val="0000FF"/>
          <w:sz w:val="22"/>
          <w:u w:val="single"/>
        </w:rPr>
        <w:t xml:space="preserve">Term CORRA Rate”) that is two (2) Business Days prior to </w:t>
      </w:r>
      <w:r>
        <w:rPr>
          <w:rFonts w:ascii="Times New Roman;sans-serif" w:hAnsi="Times New Roman;sans-serif"/>
          <w:b w:val="false"/>
          <w:color w:val="008000"/>
          <w:sz w:val="22"/>
          <w:u w:val="single"/>
        </w:rPr>
        <w:t xml:space="preserve">the Rate Determination Date with a term equivalent to such Interest Period </w:t>
      </w:r>
      <w:r>
        <w:rPr>
          <w:rFonts w:ascii="Times New Roman;sans-serif" w:hAnsi="Times New Roman;sans-serif"/>
          <w:b w:val="false"/>
          <w:color w:val="0000FF"/>
          <w:sz w:val="22"/>
          <w:u w:val="single"/>
        </w:rPr>
        <w:t>plus the Term CORRA Adjustment for such Interest Period;</w:t>
      </w:r>
    </w:p>
    <w:p>
      <w:pPr>
        <w:pStyle w:val="TextBody"/>
        <w:bidi w:val="0"/>
        <w:spacing w:lineRule="auto" w:line="288" w:before="0" w:after="240"/>
        <w:ind w:left="0" w:right="0" w:firstLine="720"/>
        <w:jc w:val="both"/>
        <w:rPr/>
      </w:pPr>
      <w:r>
        <w:rPr>
          <w:rFonts w:ascii="Times New Roman;sans-serif" w:hAnsi="Times New Roman;sans-serif"/>
          <w:b w:val="false"/>
          <w:color w:val="008000"/>
          <w:sz w:val="22"/>
          <w:u w:val="single"/>
        </w:rPr>
        <w:t xml:space="preserve">(c)    denominated in Australian Dollars, the rate per annum equal to the Bank Bill Swap Reference Bid Rate (“BBSY”), as published on the applicable </w:t>
      </w:r>
      <w:r>
        <w:rPr>
          <w:rFonts w:ascii="Times New Roman;sans-serif" w:hAnsi="Times New Roman;sans-serif"/>
          <w:b w:val="false"/>
          <w:color w:val="0000FF"/>
          <w:sz w:val="22"/>
          <w:u w:val="single"/>
        </w:rPr>
        <w:t>Reuters screen page (or such other commercially available source providing such quotations as may be designated by the Administrative Agent from time to time) on the Rate Determination Date with a term equivalent to such Interest Period;</w:t>
      </w:r>
    </w:p>
    <w:p>
      <w:pPr>
        <w:pStyle w:val="TextBody"/>
        <w:bidi w:val="0"/>
        <w:spacing w:lineRule="auto" w:line="288" w:before="0" w:after="240"/>
        <w:ind w:left="0" w:right="0" w:firstLine="720"/>
        <w:jc w:val="both"/>
        <w:rPr/>
      </w:pPr>
      <w:r>
        <w:rPr>
          <w:rFonts w:ascii="Times New Roman;sans-serif" w:hAnsi="Times New Roman;sans-serif"/>
          <w:b w:val="false"/>
          <w:color w:val="008000"/>
          <w:sz w:val="22"/>
          <w:u w:val="single"/>
        </w:rPr>
        <w:t>(d)    </w:t>
      </w:r>
      <w:r>
        <w:rPr>
          <w:rFonts w:ascii="Times New Roman;sans-serif" w:hAnsi="Times New Roman;sans-serif"/>
          <w:b w:val="false"/>
          <w:color w:val="0000FF"/>
          <w:sz w:val="22"/>
          <w:u w:val="single"/>
        </w:rPr>
        <w:t>denominated in New Zealand dollars, the rate per annum equal to the Bank Bill Reference Bid Rate (“BKBM”), as published on the applicable Reuters screen page (or such other commercially available source providing such quotations as may be designated by the Administrative Agent from time to time) on the Rate Determination Date with a term equivalent to such Interest Period; and</w:t>
      </w:r>
    </w:p>
    <w:p>
      <w:pPr>
        <w:pStyle w:val="TextBody"/>
        <w:bidi w:val="0"/>
        <w:spacing w:lineRule="auto" w:line="288" w:before="0" w:after="240"/>
        <w:ind w:left="0" w:right="0" w:firstLine="720"/>
        <w:jc w:val="both"/>
        <w:rPr/>
      </w:pPr>
      <w:r>
        <w:rPr>
          <w:rFonts w:ascii="Times New Roman;sans-serif" w:hAnsi="Times New Roman;sans-serif"/>
          <w:b w:val="false"/>
          <w:color w:val="008000"/>
          <w:sz w:val="22"/>
          <w:u w:val="single"/>
        </w:rPr>
        <w:t>(e)    </w:t>
      </w:r>
      <w:r>
        <w:rPr>
          <w:rFonts w:ascii="Times New Roman;sans-serif" w:hAnsi="Times New Roman;sans-serif"/>
          <w:b w:val="false"/>
          <w:color w:val="0000FF"/>
          <w:sz w:val="22"/>
          <w:u w:val="single"/>
        </w:rPr>
        <w:t xml:space="preserve">denominated in any other Designated Currency (to the extent such Loans denominated in such currency will bear interest at a term rate), the term rate per annum as designated with respect to such Designated Currency at the time such Designated Currency </w:t>
      </w:r>
      <w:r>
        <w:rPr>
          <w:rFonts w:ascii="Times New Roman;sans-serif" w:hAnsi="Times New Roman;sans-serif"/>
          <w:b w:val="false"/>
          <w:color w:val="008000"/>
          <w:sz w:val="22"/>
          <w:u w:val="single"/>
        </w:rPr>
        <w:t xml:space="preserve">is approved by the Administrative Agent </w:t>
      </w:r>
      <w:r>
        <w:rPr>
          <w:rFonts w:ascii="Times New Roman;sans-serif" w:hAnsi="Times New Roman;sans-serif"/>
          <w:b w:val="false"/>
          <w:color w:val="0000FF"/>
          <w:sz w:val="22"/>
          <w:u w:val="single"/>
        </w:rPr>
        <w:t>and the relevant Lenders pursuant to Section 1.9(a) plus the adjustment (if any) determined by the Administrative Agent and the relevant Lenders pursuant to Section 1.9(a);</w:t>
      </w:r>
    </w:p>
    <w:p>
      <w:pPr>
        <w:pStyle w:val="TextBody"/>
        <w:bidi w:val="0"/>
        <w:spacing w:lineRule="auto" w:line="288" w:before="0" w:after="240"/>
        <w:jc w:val="both"/>
        <w:rPr/>
      </w:pPr>
      <w:r>
        <w:rPr>
          <w:rFonts w:ascii="Times New Roman;sans-serif" w:hAnsi="Times New Roman;sans-serif"/>
          <w:b w:val="false"/>
          <w:color w:val="0000FF"/>
          <w:sz w:val="22"/>
          <w:u w:val="single"/>
        </w:rPr>
        <w:t xml:space="preserve">provided, that, if any Designated Currency Term </w:t>
      </w:r>
      <w:r>
        <w:rPr>
          <w:rFonts w:ascii="Times New Roman;sans-serif" w:hAnsi="Times New Roman;sans-serif"/>
          <w:b w:val="false"/>
          <w:color w:val="008000"/>
          <w:sz w:val="22"/>
          <w:u w:val="single"/>
        </w:rPr>
        <w:t>Rate shall be less than zero, such rate shall be deemed zero for purposes of this Agreement.</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Designated Currency Term Rate Loan” means a Loan </w:t>
      </w:r>
      <w:r>
        <w:rPr>
          <w:rFonts w:ascii="Times New Roman;sans-serif" w:hAnsi="Times New Roman;sans-serif"/>
          <w:b w:val="false"/>
          <w:color w:val="008000"/>
          <w:sz w:val="22"/>
          <w:u w:val="single"/>
        </w:rPr>
        <w:t xml:space="preserve">that bears interest at a rate based on </w:t>
      </w:r>
      <w:r>
        <w:rPr>
          <w:rFonts w:ascii="Times New Roman;sans-serif" w:hAnsi="Times New Roman;sans-serif"/>
          <w:b w:val="false"/>
          <w:color w:val="0000FF"/>
          <w:sz w:val="22"/>
          <w:u w:val="single"/>
        </w:rPr>
        <w:t>the definition of “Designated Currency Term Rate.” All Designated Currency Term Rate Loans must be denominated in a Designated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219"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Currency Tranche</w:t>
      </w:r>
      <w:r>
        <w:rPr>
          <w:color w:val="000000"/>
        </w:rPr>
        <w:t xml:space="preserve">” </w:t>
      </w:r>
      <w:r>
        <w:rPr>
          <w:rFonts w:ascii="Times New Roman;sans-serif" w:hAnsi="Times New Roman;sans-serif"/>
          <w:b w:val="false"/>
          <w:color w:val="000000"/>
          <w:sz w:val="22"/>
        </w:rPr>
        <w:t>means the Designated Currency Tranche Revolving Credit Commitment and the Designated Currency Tranche Revolving Credit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Currency Tranche Revolving Credit Commitment</w:t>
      </w:r>
      <w:r>
        <w:rPr>
          <w:color w:val="000000"/>
        </w:rPr>
        <w:t xml:space="preserve">” </w:t>
      </w:r>
      <w:r>
        <w:rPr>
          <w:rFonts w:ascii="Times New Roman;sans-serif" w:hAnsi="Times New Roman;sans-serif"/>
          <w:b w:val="false"/>
          <w:color w:val="000000"/>
          <w:sz w:val="22"/>
        </w:rPr>
        <w:t xml:space="preserve">means (a) as to any Designated Currency Tranche Revolving Credit Lender, the obligation of such Designated Currency Tranche Revolving Credit Lender to make Designated Currency Tranche Revolving Credit Loans for the account of the Borrowers hereunder, in an aggregate principal amount at any time outstanding not to exceed the amount set forth opposite such Designated Currency Tranche Revolving Credit Lender’s name on </w:t>
      </w:r>
      <w:r>
        <w:rPr>
          <w:rFonts w:ascii="Times New Roman;sans-serif" w:hAnsi="Times New Roman;sans-serif"/>
          <w:b w:val="false"/>
          <w:color w:val="000000"/>
          <w:sz w:val="22"/>
          <w:u w:val="single"/>
        </w:rPr>
        <w:t>Schedule 1.1(b)</w:t>
      </w:r>
      <w:r>
        <w:rPr>
          <w:rFonts w:ascii="Times New Roman;sans-serif" w:hAnsi="Times New Roman;sans-serif"/>
          <w:b w:val="false"/>
          <w:color w:val="000000"/>
          <w:sz w:val="22"/>
        </w:rPr>
        <w:t>, as such Designated Currency Tranche Revolving Credit Commitment may be increased, reduced or modified at any time or from time to time pursuant to the terms hereof and (b) as to all Designated Currency Tranche Revolving Credit Lenders, the aggregate commitment of all Designated Currency Tranche Revolving Credit Lenders to make Designated Currency Tranche Revolving Credit Loans, as such amount may be increased, reduced or modified at any time or from time to time pursuant to the terms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Currency Tranche Revolving Credit Commitment Percentage</w:t>
      </w:r>
      <w:r>
        <w:rPr>
          <w:color w:val="000000"/>
        </w:rPr>
        <w:t xml:space="preserve">” </w:t>
      </w:r>
      <w:r>
        <w:rPr>
          <w:rFonts w:ascii="Times New Roman;sans-serif" w:hAnsi="Times New Roman;sans-serif"/>
          <w:b w:val="false"/>
          <w:color w:val="000000"/>
          <w:sz w:val="22"/>
        </w:rPr>
        <w:t>means, as to any Designated Currency Tranche Revolving Credit Lender at any time, the ratio of (a) the amount of the Designated Currency Tranche Revolving Credit Commitment of such Designated Currency Tranche Revolving Credit Lender to (b) the Designated Currency Tranche Revolving Credit Commitments of all Designated Currency Tranche Revolving Credit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Currency Tranche Revolving Credit Facility</w:t>
      </w:r>
      <w:r>
        <w:rPr>
          <w:color w:val="000000"/>
        </w:rPr>
        <w:t xml:space="preserve">” </w:t>
      </w:r>
      <w:r>
        <w:rPr>
          <w:rFonts w:ascii="Times New Roman;sans-serif" w:hAnsi="Times New Roman;sans-serif"/>
          <w:b w:val="false"/>
          <w:color w:val="000000"/>
          <w:sz w:val="22"/>
        </w:rPr>
        <w:t xml:space="preserve">means the revolving credit facility established pursuant to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but excluding the Swingline Facility, the Dollar Tranche Revolving Credit Facility and any Incremental Term Loan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Currency Tranche Revolving Credit Lender</w:t>
      </w:r>
      <w:r>
        <w:rPr>
          <w:color w:val="000000"/>
        </w:rPr>
        <w:t xml:space="preserve">” </w:t>
      </w:r>
      <w:r>
        <w:rPr>
          <w:rFonts w:ascii="Times New Roman;sans-serif" w:hAnsi="Times New Roman;sans-serif"/>
          <w:b w:val="false"/>
          <w:color w:val="000000"/>
          <w:sz w:val="22"/>
        </w:rPr>
        <w:t>means any Lender with a Designated Currency Tranche Revolving Credit Commitment.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Currency Tranche Revolving Credit Loans</w:t>
      </w:r>
      <w:r>
        <w:rPr>
          <w:color w:val="000000"/>
        </w:rPr>
        <w:t xml:space="preserve">” </w:t>
      </w:r>
      <w:r>
        <w:rPr>
          <w:rFonts w:ascii="Times New Roman;sans-serif" w:hAnsi="Times New Roman;sans-serif"/>
          <w:b w:val="false"/>
          <w:color w:val="000000"/>
          <w:sz w:val="22"/>
        </w:rPr>
        <w:t xml:space="preserve">means any revolving loan made to any Borrower pursuant to </w:t>
      </w:r>
      <w:r>
        <w:rPr>
          <w:rFonts w:ascii="Times New Roman;sans-serif" w:hAnsi="Times New Roman;sans-serif"/>
          <w:b w:val="false"/>
          <w:color w:val="000000"/>
          <w:sz w:val="22"/>
          <w:u w:val="single"/>
        </w:rPr>
        <w:t>Section 2.1(b)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2.8</w:t>
      </w:r>
      <w:r>
        <w:rPr>
          <w:color w:val="000000"/>
        </w:rPr>
        <w:t xml:space="preserve"> </w:t>
      </w:r>
      <w:r>
        <w:rPr>
          <w:rFonts w:ascii="Times New Roman;sans-serif" w:hAnsi="Times New Roman;sans-serif"/>
          <w:b w:val="false"/>
          <w:color w:val="000000"/>
          <w:sz w:val="22"/>
        </w:rPr>
        <w:t>(and designated as contemplated thereunder), and all such revolving loans collectively as the context requires.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Currency Tranche Revolving Credit Note</w:t>
      </w:r>
      <w:r>
        <w:rPr>
          <w:color w:val="000000"/>
        </w:rPr>
        <w:t xml:space="preserve">” </w:t>
      </w:r>
      <w:r>
        <w:rPr>
          <w:rFonts w:ascii="Times New Roman;sans-serif" w:hAnsi="Times New Roman;sans-serif"/>
          <w:b w:val="false"/>
          <w:color w:val="000000"/>
          <w:sz w:val="22"/>
        </w:rPr>
        <w:t xml:space="preserve">means a promissory note made by a Borrower in favor of a Designated Currency Tranche Revolving Credit Lender evidencing the Designated Currency Tranche Revolving Credit Loans made by such Designated Currency Tranche Revolving Credit Lender, substantially in the form of </w:t>
      </w:r>
      <w:r>
        <w:rPr>
          <w:rFonts w:ascii="Times New Roman;sans-serif" w:hAnsi="Times New Roman;sans-serif"/>
          <w:b/>
          <w:i/>
          <w:color w:val="000000"/>
          <w:sz w:val="22"/>
        </w:rPr>
        <w:t xml:space="preserve">Exhibit A-4 </w:t>
      </w:r>
      <w:r>
        <w:rPr>
          <w:rFonts w:ascii="Times New Roman;sans-serif" w:hAnsi="Times New Roman;sans-serif"/>
          <w:b w:val="false"/>
          <w:color w:val="000000"/>
          <w:sz w:val="22"/>
        </w:rPr>
        <w:t>hereto, and any amendments, supplements and modifications thereto, any substitutes therefor, and any replacements, restatements, renewals or extension thereof, in whole or in part.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Jurisdiction</w:t>
      </w:r>
      <w:r>
        <w:rPr>
          <w:color w:val="000000"/>
        </w:rPr>
        <w:t xml:space="preserve">” </w:t>
      </w:r>
      <w:r>
        <w:rPr>
          <w:rFonts w:ascii="Times New Roman;sans-serif" w:hAnsi="Times New Roman;sans-serif"/>
          <w:b w:val="false"/>
          <w:color w:val="000000"/>
          <w:sz w:val="22"/>
        </w:rPr>
        <w:t xml:space="preserve">means any country or territory to the extent that such country or territory is itself the subject of any </w:t>
      </w:r>
      <w:r>
        <w:rPr>
          <w:rFonts w:ascii="Times New Roman;sans-serif" w:hAnsi="Times New Roman;sans-serif"/>
          <w:b w:val="false"/>
          <w:strike/>
          <w:color w:val="FF0000"/>
          <w:sz w:val="22"/>
        </w:rPr>
        <w:t>Sanction.</w:t>
      </w:r>
      <w:r>
        <w:rPr>
          <w:rFonts w:ascii="Times New Roman;sans-serif" w:hAnsi="Times New Roman;sans-serif"/>
          <w:b w:val="false"/>
          <w:color w:val="0000FF"/>
          <w:sz w:val="22"/>
          <w:u w:val="single"/>
        </w:rPr>
        <w:t>comprehensive Sanction (as of the Third Amendment Effective Date, Cuba, Iran, North Korea, Syria, the so-called Donetsk People’s Republic, so-called Luhansk People’s Republic, and Crimea, Kherson and Zaporizhzhia regions of Ukraine).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Disqualified Capital Stock</w:t>
      </w:r>
      <w:r>
        <w:rPr>
          <w:color w:val="000000"/>
        </w:rPr>
        <w:t xml:space="preserve">” </w:t>
      </w:r>
      <w:r>
        <w:rPr>
          <w:rFonts w:ascii="Times New Roman;sans-serif" w:hAnsi="Times New Roman;sans-serif"/>
          <w:b w:val="false"/>
          <w:color w:val="000000"/>
          <w:sz w:val="22"/>
        </w:rPr>
        <w:t xml:space="preserve">means any Capital Stock that, by its terms (or by the terms of any security or other Capital Stock into which it is convertible or for which it is exchangeable) or upon the happening of any event or condition, (a) matures or is mandatorily redeemable (other than solely for Qualified Capital Stock),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(other than Bank Product Debt) that are accrued and payable and the termination of the Commitments), (b) is redeemable at the option of the holder thereof (other than solely for Qualified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220"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Stock) (except as a result of a change of control or asset sale so long as any rights of the holders thereof upon the occurrence of a change of control or asset sale event shall be subject to the prior repayment in full of the Loans and all other Obligations (other than Bank Product Debt) that are accrued and payable and the termination of the Commitments), in whole or in part, (c) provides for the scheduled payment of dividends in cash or (d) is or becomes convertible into or exchangeable for Indebtedness or any other Capital Stock that would constitute Disqualified Capital Stock, in each case, prior to the Maturity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such Capital Stock is issued pursuant to a plan for the benefit of the Company or its Restricted Subsidiaries or by any such plan to such employees, such Capital Stock shall not constitute Disqualified Capital Stock solely because it may be required to be repurchased by the Company or its Restricted Subsidiaries in order to satisfy applicable statutory or regulatory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Disqualified Institution</w:t>
      </w:r>
      <w:r>
        <w:rPr>
          <w:color w:val="000000"/>
        </w:rPr>
        <w:t xml:space="preserve">” </w:t>
      </w:r>
      <w:r>
        <w:rPr>
          <w:rFonts w:ascii="Times New Roman;sans-serif" w:hAnsi="Times New Roman;sans-serif"/>
          <w:b w:val="false"/>
          <w:color w:val="000000"/>
          <w:sz w:val="22"/>
        </w:rPr>
        <w:t xml:space="preserve">means (a) competitors of the Company or its Subsidiaries that are in the same or a similar line of business as the Company and its Subsidiaries (it being understood that a bank or financial institution providing payment processing services shall not be considered a competitor) and are identified by legal name in writing to the Administrative Agent on or prior to the Closing Date, as such list may be updated in writing from time to time by the Company, (b) any other entity identified by legal name in writing to the Administrative Agent on or prior to the Closing Date, as such list may be updated in writing from time to time by the Company </w:t>
      </w:r>
      <w:r>
        <w:rPr>
          <w:rFonts w:ascii="Times New Roman;sans-serif" w:hAnsi="Times New Roman;sans-serif"/>
          <w:b w:val="false"/>
          <w:color w:val="0000FF"/>
          <w:sz w:val="22"/>
          <w:u w:val="single"/>
        </w:rPr>
        <w:t xml:space="preserve">upon one (1) day’s notice to the Administrative Agent </w:t>
      </w:r>
      <w:r>
        <w:rPr>
          <w:rFonts w:ascii="Times New Roman;sans-serif" w:hAnsi="Times New Roman;sans-serif"/>
          <w:b w:val="false"/>
          <w:color w:val="000000"/>
          <w:sz w:val="22"/>
        </w:rPr>
        <w:t>(such list and all updates and supplements thereto, together with the list and all updates and supplements thereto referenced in the preceding clause (a), collectively, the “</w:t>
      </w:r>
      <w:r>
        <w:rPr>
          <w:rFonts w:ascii="Times New Roman;sans-serif" w:hAnsi="Times New Roman;sans-serif"/>
          <w:b w:val="false"/>
          <w:color w:val="000000"/>
          <w:sz w:val="22"/>
          <w:u w:val="single"/>
        </w:rPr>
        <w:t>DQ List</w:t>
      </w:r>
      <w:r>
        <w:rPr>
          <w:color w:val="000000"/>
        </w:rPr>
        <w:t>”</w:t>
      </w:r>
      <w:r>
        <w:rPr>
          <w:rFonts w:ascii="Times New Roman;sans-serif" w:hAnsi="Times New Roman;sans-serif"/>
          <w:b w:val="false"/>
          <w:color w:val="000000"/>
          <w:sz w:val="22"/>
        </w:rPr>
        <w:t xml:space="preserve">) and (c) any Affiliates thereof to the extent clearly identifiable as such on the basis that such Affiliate’s names include the name of the specified Disqualified Institution;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“Disqualified Institutions” shall exclude any Person that the Company has designated as no longer being a “Disqualified Institution” by written notice delivered to the Administrative Agent and the Lenders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 Amount</w:t>
      </w:r>
      <w:r>
        <w:rPr>
          <w:color w:val="000000"/>
        </w:rPr>
        <w:t xml:space="preserve">” </w:t>
      </w:r>
      <w:r>
        <w:rPr>
          <w:rFonts w:ascii="Times New Roman;sans-serif" w:hAnsi="Times New Roman;sans-serif"/>
          <w:b w:val="false"/>
          <w:color w:val="000000"/>
          <w:sz w:val="22"/>
        </w:rPr>
        <w:t xml:space="preserve">means, at any time, (a) with respect to any amount denominated in Dollars, such amount, and (b) with respect to any amount denominated in any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the equivalent amount thereof in Dollars as determined by the Administrative Agent or the applicable Issuing Lender, as the case may be, at such time on the basis of the Exchange Rate (determined in respect of the most recent Computation Date) for the purchase of Dollars with such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Dollar LIBOR Successor Rate</w:t>
      </w:r>
      <w:r>
        <w:rPr>
          <w:strike/>
          <w:color w:val="008000"/>
        </w:rPr>
        <w:t xml:space="preserve">” </w:t>
      </w:r>
      <w:r>
        <w:rPr>
          <w:rFonts w:ascii="Times New Roman;sans-serif" w:hAnsi="Times New Roman;sans-serif"/>
          <w:b w:val="false"/>
          <w:strike/>
          <w:color w:val="008000"/>
          <w:sz w:val="22"/>
        </w:rPr>
        <w:t xml:space="preserve">has the meaning assigned to such term in </w:t>
      </w:r>
      <w:r>
        <w:rPr>
          <w:rFonts w:ascii="Times New Roman;sans-serif" w:hAnsi="Times New Roman;sans-serif"/>
          <w:b w:val="false"/>
          <w:strike/>
          <w:color w:val="008000"/>
          <w:sz w:val="22"/>
          <w:u w:val="single"/>
        </w:rPr>
        <w:t xml:space="preserve">Section </w:t>
      </w:r>
      <w:r>
        <w:rPr>
          <w:rFonts w:ascii="Times New Roman;sans-serif" w:hAnsi="Times New Roman;sans-serif"/>
          <w:b w:val="false"/>
          <w:strike/>
          <w:color w:val="FF0000"/>
          <w:sz w:val="22"/>
          <w:u w:val="single"/>
        </w:rPr>
        <w:t>4.8(c)</w:t>
      </w:r>
      <w:r>
        <w:rPr>
          <w:rFonts w:ascii="Times New Roman;sans-serif" w:hAnsi="Times New Roman;sans-serif"/>
          <w:b w:val="false"/>
          <w:strike/>
          <w:color w:val="FF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 Tranche</w:t>
      </w:r>
      <w:r>
        <w:rPr>
          <w:color w:val="000000"/>
        </w:rPr>
        <w:t xml:space="preserve">” </w:t>
      </w:r>
      <w:r>
        <w:rPr>
          <w:rFonts w:ascii="Times New Roman;sans-serif" w:hAnsi="Times New Roman;sans-serif"/>
          <w:b w:val="false"/>
          <w:color w:val="000000"/>
          <w:sz w:val="22"/>
        </w:rPr>
        <w:t>means the Dollar Tranche Revolving Credit Commitment, the Dollar Tranche Revolving Credit Loans, the L/C Obligations and the Swingline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 Tranche Revolving Credit Commitment</w:t>
      </w:r>
      <w:r>
        <w:rPr>
          <w:color w:val="000000"/>
        </w:rPr>
        <w:t xml:space="preserve">” </w:t>
      </w:r>
      <w:r>
        <w:rPr>
          <w:rFonts w:ascii="Times New Roman;sans-serif" w:hAnsi="Times New Roman;sans-serif"/>
          <w:b w:val="false"/>
          <w:color w:val="000000"/>
          <w:sz w:val="22"/>
        </w:rPr>
        <w:t xml:space="preserve">means (a) as to any Dollar Tranche Revolving Credit Lender, the obligation of such Dollar Tranche Revolving Credit Lender to (i) make Dollar Tranche Revolving Credit Loans for the account of the Borrowers hereunder, (ii) purchase participations in L/C Obligations, and (iii) refund Swingline Loans, in an aggregate principal amount at any time outstanding not to exceed the amount set forth opposite such Dollar Tranche Revolving Credit Lender’s name on </w:t>
      </w:r>
      <w:r>
        <w:rPr>
          <w:rFonts w:ascii="Times New Roman;sans-serif" w:hAnsi="Times New Roman;sans-serif"/>
          <w:b w:val="false"/>
          <w:color w:val="000000"/>
          <w:sz w:val="22"/>
          <w:u w:val="single"/>
        </w:rPr>
        <w:t>Schedule 1.1(b)</w:t>
      </w:r>
      <w:r>
        <w:rPr>
          <w:rFonts w:ascii="Times New Roman;sans-serif" w:hAnsi="Times New Roman;sans-serif"/>
          <w:b w:val="false"/>
          <w:color w:val="000000"/>
          <w:sz w:val="22"/>
        </w:rPr>
        <w:t>, as such Dollar Tranche Revolving Credit Commitment may be increased, reduced or modified at any time or from time to time pursuant to the terms hereof and (b) as to all Dollar Tranche Revolving Credit Lenders, the aggregate commitment of all Dollar Tranche Revolving Credit Lenders to (i) make Dollar Tranche Revolving Credit Loans, (ii) purchase participations in L/C Obligations, and (iii) refund Swingline Loans, as such amount may be increased, reduced or modified at any time or from time to time pursuant to the terms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 Tranche Revolving Credit Commitment Percentage</w:t>
      </w:r>
      <w:r>
        <w:rPr>
          <w:color w:val="000000"/>
        </w:rPr>
        <w:t xml:space="preserve">” </w:t>
      </w:r>
      <w:r>
        <w:rPr>
          <w:rFonts w:ascii="Times New Roman;sans-serif" w:hAnsi="Times New Roman;sans-serif"/>
          <w:b w:val="false"/>
          <w:color w:val="000000"/>
          <w:sz w:val="22"/>
        </w:rPr>
        <w:t>means, as to any Dollar Tranche Revolving Credit Lender at any time, the ratio of (a) the amount of the Dollar Tranche Revolving</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221"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Credit Commitment of such Dollar Tranche Revolving Credit Lender to (b) the Dollar Tranche Revolving Credit Commitments of all Dollar Tranche Revolving Credit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 Tranche Revolving Credit Facility</w:t>
      </w:r>
      <w:r>
        <w:rPr>
          <w:color w:val="000000"/>
        </w:rPr>
        <w:t xml:space="preserve">” </w:t>
      </w:r>
      <w:r>
        <w:rPr>
          <w:rFonts w:ascii="Times New Roman;sans-serif" w:hAnsi="Times New Roman;sans-serif"/>
          <w:b w:val="false"/>
          <w:color w:val="000000"/>
          <w:sz w:val="22"/>
        </w:rPr>
        <w:t xml:space="preserve">means the revolving credit facility established pursuant to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but excluding the Swingline Facility, the Designated Currency Tranche Revolving Credit Facility</w:t>
      </w:r>
      <w:r>
        <w:rPr>
          <w:rFonts w:ascii="Times New Roman;sans-serif" w:hAnsi="Times New Roman;sans-serif"/>
          <w:b w:val="false"/>
          <w:color w:val="0000FF"/>
          <w:sz w:val="22"/>
          <w:u w:val="single"/>
        </w:rPr>
        <w:t>, Term Loan Facility</w:t>
      </w:r>
      <w:r>
        <w:rPr>
          <w:color w:val="000000"/>
        </w:rPr>
        <w:t xml:space="preserve"> </w:t>
      </w:r>
      <w:r>
        <w:rPr>
          <w:rFonts w:ascii="Times New Roman;sans-serif" w:hAnsi="Times New Roman;sans-serif"/>
          <w:b w:val="false"/>
          <w:color w:val="000000"/>
          <w:sz w:val="22"/>
        </w:rPr>
        <w:t>and any Incremental Term Loan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 Tranche Revolving Credit Lender</w:t>
      </w:r>
      <w:r>
        <w:rPr>
          <w:color w:val="000000"/>
        </w:rPr>
        <w:t xml:space="preserve">” </w:t>
      </w:r>
      <w:r>
        <w:rPr>
          <w:rFonts w:ascii="Times New Roman;sans-serif" w:hAnsi="Times New Roman;sans-serif"/>
          <w:b w:val="false"/>
          <w:color w:val="000000"/>
          <w:sz w:val="22"/>
        </w:rPr>
        <w:t>means any Lender with a Dollar Tranche Revolving Credit Commitment.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 Tranche Revolving Credit Loans</w:t>
      </w:r>
      <w:r>
        <w:rPr>
          <w:color w:val="000000"/>
        </w:rPr>
        <w:t xml:space="preserve">” </w:t>
      </w:r>
      <w:r>
        <w:rPr>
          <w:rFonts w:ascii="Times New Roman;sans-serif" w:hAnsi="Times New Roman;sans-serif"/>
          <w:b w:val="false"/>
          <w:color w:val="000000"/>
          <w:sz w:val="22"/>
        </w:rPr>
        <w:t xml:space="preserve">means any revolving loan made to any Borrower pursuant to </w:t>
      </w:r>
      <w:r>
        <w:rPr>
          <w:rFonts w:ascii="Times New Roman;sans-serif" w:hAnsi="Times New Roman;sans-serif"/>
          <w:b w:val="false"/>
          <w:color w:val="000000"/>
          <w:sz w:val="22"/>
          <w:u w:val="single"/>
        </w:rPr>
        <w:t>Section 2.1(a)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2.8</w:t>
      </w:r>
      <w:r>
        <w:rPr>
          <w:color w:val="000000"/>
        </w:rPr>
        <w:t xml:space="preserve"> </w:t>
      </w:r>
      <w:r>
        <w:rPr>
          <w:rFonts w:ascii="Times New Roman;sans-serif" w:hAnsi="Times New Roman;sans-serif"/>
          <w:b w:val="false"/>
          <w:color w:val="000000"/>
          <w:sz w:val="22"/>
        </w:rPr>
        <w:t>(and designated as contemplated thereunder), and all such revolving loans collectively as the context requires.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 Tranche Revolving Credit Note</w:t>
      </w:r>
      <w:r>
        <w:rPr>
          <w:color w:val="000000"/>
        </w:rPr>
        <w:t xml:space="preserve">” </w:t>
      </w:r>
      <w:r>
        <w:rPr>
          <w:rFonts w:ascii="Times New Roman;sans-serif" w:hAnsi="Times New Roman;sans-serif"/>
          <w:b w:val="false"/>
          <w:color w:val="000000"/>
          <w:sz w:val="22"/>
        </w:rPr>
        <w:t xml:space="preserve">means a promissory note made by a Borrower in favor of a Dollar Tranche Revolving Credit Lender evidencing the Dollar Tranche Revolving Credit Loans made by such Dollar Tranche Revolving Credit Lender, substantially in the form of </w:t>
      </w:r>
      <w:r>
        <w:rPr>
          <w:rFonts w:ascii="Times New Roman;sans-serif" w:hAnsi="Times New Roman;sans-serif"/>
          <w:b/>
          <w:i/>
          <w:color w:val="000000"/>
          <w:sz w:val="22"/>
        </w:rPr>
        <w:t xml:space="preserve">Exhibit A-1 </w:t>
      </w:r>
      <w:r>
        <w:rPr>
          <w:rFonts w:ascii="Times New Roman;sans-serif" w:hAnsi="Times New Roman;sans-serif"/>
          <w:b w:val="false"/>
          <w:color w:val="000000"/>
          <w:sz w:val="22"/>
        </w:rPr>
        <w:t>hereto, and any amendments, supplements and modifications thereto, any substitutes therefor, and any replacements, restatements, renewals or extension thereof, in whole or in part.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means, unless otherwise qualified, dollars in lawful currency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Domestic Credit Party</w:t>
      </w:r>
      <w:r>
        <w:rPr>
          <w:color w:val="000000"/>
        </w:rPr>
        <w:t xml:space="preserve">” </w:t>
      </w:r>
      <w:r>
        <w:rPr>
          <w:rFonts w:ascii="Times New Roman;sans-serif" w:hAnsi="Times New Roman;sans-serif"/>
          <w:b w:val="false"/>
          <w:color w:val="000000"/>
          <w:sz w:val="22"/>
        </w:rPr>
        <w:t>means any Credit Party that is a U.S.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that is a U.S. Person other than an Excluded Domestic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DQ List</w:t>
      </w:r>
      <w:r>
        <w:rPr>
          <w:color w:val="000000"/>
        </w:rPr>
        <w:t xml:space="preserve">” </w:t>
      </w:r>
      <w:r>
        <w:rPr>
          <w:rFonts w:ascii="Times New Roman;sans-serif" w:hAnsi="Times New Roman;sans-serif"/>
          <w:b w:val="false"/>
          <w:color w:val="000000"/>
          <w:sz w:val="22"/>
        </w:rPr>
        <w:t>has the meaning assigned to such term in the definition of Disqualified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EBITDA</w:t>
      </w:r>
      <w:r>
        <w:rPr>
          <w:color w:val="000000"/>
        </w:rPr>
        <w:t xml:space="preserve">” </w:t>
      </w:r>
      <w:r>
        <w:rPr>
          <w:rFonts w:ascii="Times New Roman;sans-serif" w:hAnsi="Times New Roman;sans-serif"/>
          <w:b w:val="false"/>
          <w:color w:val="000000"/>
          <w:sz w:val="22"/>
        </w:rPr>
        <w:t xml:space="preserve">means, for any period, the sum of the following determined on a Consolidated basis, without duplication, for the Company and its Restricted Subsidiaries in accordance with GAAP: (a) Net Income for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sum of the following to the extent deducted in determining Net Income for such period: (i) income and franchise taxes, (ii) Interest Expense, (iii) amortization, depreciation and all other non-cash charges, expenses or losses (including non-cash stock compensation charges and expenses and including fair market value adjustments on acquired deferred revenue) otherwise deducted in determining the Net Income for such period (excluding reserves for future cash charges), (iv) any extraordinary losses, (v) Transaction Costs, (vi) Pro Forma Adjustments;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Pro Forma Adjustments added back to EBITDA shall not exceed ten percent (10%) of EBITDA (determined prior to giving effect to the add back in this clause (vi)), (vii) </w:t>
      </w:r>
      <w:r>
        <w:rPr>
          <w:rFonts w:ascii="Times New Roman;sans-serif" w:hAnsi="Times New Roman;sans-serif"/>
          <w:b w:val="false"/>
          <w:color w:val="0000FF"/>
          <w:sz w:val="22"/>
          <w:u w:val="single"/>
        </w:rPr>
        <w:t xml:space="preserve">after the Third Amendment Effective Date, </w:t>
      </w:r>
      <w:r>
        <w:rPr>
          <w:rFonts w:ascii="Times New Roman;sans-serif" w:hAnsi="Times New Roman;sans-serif"/>
          <w:b w:val="false"/>
          <w:color w:val="000000"/>
          <w:sz w:val="22"/>
        </w:rPr>
        <w:t xml:space="preserve">up to $25,000,000 of </w:t>
      </w:r>
      <w:r>
        <w:rPr>
          <w:rFonts w:ascii="Times New Roman;sans-serif" w:hAnsi="Times New Roman;sans-serif"/>
          <w:b w:val="false"/>
          <w:strike/>
          <w:color w:val="FF0000"/>
          <w:sz w:val="22"/>
        </w:rPr>
        <w:t>non-recurring</w:t>
      </w:r>
      <w:r>
        <w:rPr>
          <w:rFonts w:ascii="Times New Roman;sans-serif" w:hAnsi="Times New Roman;sans-serif"/>
          <w:b w:val="false"/>
          <w:color w:val="0000FF"/>
          <w:sz w:val="22"/>
          <w:u w:val="single"/>
        </w:rPr>
        <w:t>non-recurring</w:t>
      </w:r>
      <w:r>
        <w:rPr>
          <w:color w:val="000000"/>
        </w:rPr>
        <w:t xml:space="preserve"> </w:t>
      </w:r>
      <w:r>
        <w:rPr>
          <w:rFonts w:ascii="Times New Roman;sans-serif" w:hAnsi="Times New Roman;sans-serif"/>
          <w:b w:val="false"/>
          <w:color w:val="000000"/>
          <w:sz w:val="22"/>
        </w:rPr>
        <w:t xml:space="preserve">costs and expenses incurred in connection with the </w:t>
      </w:r>
      <w:r>
        <w:rPr>
          <w:rFonts w:ascii="Times New Roman;sans-serif" w:hAnsi="Times New Roman;sans-serif"/>
          <w:b w:val="false"/>
          <w:strike/>
          <w:color w:val="FF0000"/>
          <w:sz w:val="22"/>
        </w:rPr>
        <w:t xml:space="preserve">restructuring of leases to lower ongoing lease and rent expense as reported in the Officer’s Compliance Certificate delivered pursuant to </w:t>
      </w:r>
      <w:r>
        <w:rPr>
          <w:rFonts w:ascii="Times New Roman;sans-serif" w:hAnsi="Times New Roman;sans-serif"/>
          <w:b w:val="false"/>
          <w:strike/>
          <w:color w:val="FF0000"/>
          <w:sz w:val="22"/>
          <w:u w:val="single"/>
        </w:rPr>
        <w:t>Section 7.2</w:t>
      </w:r>
      <w:r>
        <w:rPr>
          <w:strike/>
          <w:color w:val="FF0000"/>
        </w:rPr>
        <w:t xml:space="preserve"> </w:t>
      </w:r>
      <w:r>
        <w:rPr>
          <w:rFonts w:ascii="Times New Roman;sans-serif" w:hAnsi="Times New Roman;sans-serif"/>
          <w:b w:val="false"/>
          <w:strike/>
          <w:color w:val="FF0000"/>
          <w:sz w:val="22"/>
        </w:rPr>
        <w:t xml:space="preserve">for such fiscal quarter of the Company; </w:t>
      </w: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 xml:space="preserve">that such costs and expenses (x) may only be added back in the calculation of EBITDA once and (y) are incurred on or before March 31, 2021 and (viii) up to $50,000,000 of non-recurring legal expenses paid in cash and associated with the </w:t>
      </w:r>
      <w:r>
        <w:rPr>
          <w:rFonts w:ascii="Times New Roman;sans-serif" w:hAnsi="Times New Roman;sans-serif"/>
          <w:b w:val="false"/>
          <w:color w:val="000000"/>
          <w:sz w:val="22"/>
        </w:rPr>
        <w:t xml:space="preserve">data breach and related ransomware attack occurring in 2020,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(c) interest income </w:t>
      </w:r>
      <w:r>
        <w:rPr>
          <w:rFonts w:ascii="Times New Roman;sans-serif" w:hAnsi="Times New Roman;sans-serif"/>
          <w:b w:val="false"/>
          <w:color w:val="0000FF"/>
          <w:sz w:val="22"/>
          <w:u w:val="single"/>
        </w:rPr>
        <w:t xml:space="preserve">earned on corporate funds </w:t>
      </w:r>
      <w:r>
        <w:rPr>
          <w:rFonts w:ascii="Times New Roman;sans-serif" w:hAnsi="Times New Roman;sans-serif"/>
          <w:b w:val="false"/>
          <w:color w:val="000000"/>
          <w:sz w:val="22"/>
        </w:rPr>
        <w:t>and any extraordinary gains</w:t>
      </w:r>
      <w:r>
        <w:rPr>
          <w:rFonts w:ascii="Times New Roman;sans-serif" w:hAnsi="Times New Roman;sans-serif"/>
          <w:b w:val="false"/>
          <w:strike/>
          <w:color w:val="FF0000"/>
          <w:sz w:val="22"/>
        </w:rPr>
        <w:t>.</w:t>
      </w:r>
      <w:r>
        <w:rPr>
          <w:color w:val="0000FF"/>
          <w:u w:val="single"/>
        </w:rPr>
        <w:t xml:space="preserve"> </w:t>
      </w:r>
      <w:r>
        <w:rPr>
          <w:rFonts w:ascii="Times New Roman;sans-serif" w:hAnsi="Times New Roman;sans-serif"/>
          <w:b w:val="false"/>
          <w:color w:val="0000FF"/>
          <w:sz w:val="22"/>
          <w:u w:val="single"/>
        </w:rPr>
        <w:t xml:space="preserve">(for the avoidance of doubt, the term corporate funds does not include customer cash on payment platforms). Notwithstanding the foregoing, for purposes of determining Transaction Costs and Pro Forma Adjustments, all such amounts </w:t>
      </w:r>
      <w:r>
        <w:rPr>
          <w:rFonts w:ascii="Times New Roman;sans-serif" w:hAnsi="Times New Roman;sans-serif"/>
          <w:b w:val="false"/>
          <w:color w:val="008000"/>
          <w:sz w:val="22"/>
          <w:u w:val="single"/>
        </w:rPr>
        <w:t xml:space="preserve">shall be included, if at all, in any determination of EBITDA during the four consecutive quarter period following the applicable </w:t>
      </w:r>
      <w:r>
        <w:rPr>
          <w:rFonts w:ascii="Times New Roman;sans-serif" w:hAnsi="Times New Roman;sans-serif"/>
          <w:b w:val="false"/>
          <w:color w:val="0000FF"/>
          <w:sz w:val="22"/>
          <w:u w:val="single"/>
        </w:rPr>
        <w:t xml:space="preserve">transaction </w:t>
      </w:r>
      <w:r>
        <w:rPr>
          <w:rFonts w:ascii="Times New Roman;sans-serif" w:hAnsi="Times New Roman;sans-serif"/>
          <w:b w:val="false"/>
          <w:color w:val="008000"/>
          <w:sz w:val="22"/>
          <w:u w:val="single"/>
        </w:rPr>
        <w:t xml:space="preserve">(including, without limitation, the quarter in which such </w:t>
      </w:r>
      <w:r>
        <w:rPr>
          <w:rFonts w:ascii="Times New Roman;sans-serif" w:hAnsi="Times New Roman;sans-serif"/>
          <w:b w:val="false"/>
          <w:color w:val="0000FF"/>
          <w:sz w:val="22"/>
          <w:u w:val="single"/>
        </w:rPr>
        <w:t xml:space="preserve">transaction occurs) (it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222"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being agreed and understood that if such transaction occurs during the last month of a fiscal quarter, such amounts shall be included in the full twelve month period following such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Electronic Copy</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13.24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Assignee</w:t>
      </w:r>
      <w:r>
        <w:rPr>
          <w:color w:val="000000"/>
        </w:rPr>
        <w:t xml:space="preserve">” </w:t>
      </w:r>
      <w:r>
        <w:rPr>
          <w:rFonts w:ascii="Times New Roman;sans-serif" w:hAnsi="Times New Roman;sans-serif"/>
          <w:b w:val="false"/>
          <w:color w:val="000000"/>
          <w:sz w:val="22"/>
        </w:rPr>
        <w:t xml:space="preserve">means any Person that meets the requirements to be an assignee under </w:t>
      </w:r>
      <w:r>
        <w:rPr>
          <w:rFonts w:ascii="Times New Roman;sans-serif" w:hAnsi="Times New Roman;sans-serif"/>
          <w:b w:val="false"/>
          <w:color w:val="000000"/>
          <w:sz w:val="22"/>
          <w:u w:val="single"/>
        </w:rPr>
        <w:t>Section 13.9</w:t>
      </w:r>
      <w:r>
        <w:rPr>
          <w:color w:val="000000"/>
        </w:rPr>
        <w:t xml:space="preserve"> </w:t>
      </w:r>
      <w:r>
        <w:rPr>
          <w:rFonts w:ascii="Times New Roman;sans-serif" w:hAnsi="Times New Roman;sans-serif"/>
          <w:b w:val="false"/>
          <w:color w:val="000000"/>
          <w:sz w:val="22"/>
        </w:rPr>
        <w:t xml:space="preserve">(subject to such consents, if any, as may be required under </w:t>
      </w:r>
      <w:r>
        <w:rPr>
          <w:rFonts w:ascii="Times New Roman;sans-serif" w:hAnsi="Times New Roman;sans-serif"/>
          <w:b w:val="false"/>
          <w:color w:val="000000"/>
          <w:sz w:val="22"/>
          <w:u w:val="single"/>
        </w:rPr>
        <w:t>Section 13.9(b)(iii)</w:t>
      </w:r>
      <w:r>
        <w:rPr>
          <w:rFonts w:ascii="Times New Roman;sans-serif" w:hAnsi="Times New Roman;sans-serif"/>
          <w:b w:val="false"/>
          <w:color w:val="000000"/>
          <w:sz w:val="22"/>
        </w:rPr>
        <w:t xml:space="preserve">). For the avoidance of doubt, any Disqualified Institution is subject to </w:t>
      </w:r>
      <w:r>
        <w:rPr>
          <w:rFonts w:ascii="Times New Roman;sans-serif" w:hAnsi="Times New Roman;sans-serif"/>
          <w:b w:val="false"/>
          <w:color w:val="000000"/>
          <w:sz w:val="22"/>
          <w:u w:val="single"/>
        </w:rPr>
        <w:t>Section 13.9(g)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Employee Benefit Plan</w:t>
      </w:r>
      <w:r>
        <w:rPr>
          <w:color w:val="000000"/>
        </w:rPr>
        <w:t xml:space="preserve">” </w:t>
      </w:r>
      <w:r>
        <w:rPr>
          <w:rFonts w:ascii="Times New Roman;sans-serif" w:hAnsi="Times New Roman;sans-serif"/>
          <w:b w:val="false"/>
          <w:color w:val="000000"/>
          <w:sz w:val="22"/>
        </w:rPr>
        <w:t>means any employee benefit plan within the meaning of Section 3(3) of ERISA (other than a Multiemployer Plan) which (a) is maintained, sponsored or contributed to by the Company or any ERISA Affiliate or (b) has at any time within the preceding six (6) years been maintained, sponsored or contributed to by the Company or any current or former ERISA Affiliate.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Claims</w:t>
      </w:r>
      <w:r>
        <w:rPr>
          <w:color w:val="000000"/>
        </w:rPr>
        <w:t xml:space="preserve">” </w:t>
      </w:r>
      <w:r>
        <w:rPr>
          <w:rFonts w:ascii="Times New Roman;sans-serif" w:hAnsi="Times New Roman;sans-serif"/>
          <w:b w:val="false"/>
          <w:color w:val="000000"/>
          <w:sz w:val="22"/>
        </w:rPr>
        <w:t>means any and all administrative, regulatory or judicial actions, suits, demands, demand letters, claims, liens, notices of noncompliance or violation, investigations (other than internal reports prepared by any Person in the ordinary course of business and not in response to any third party action or request of any kind) or proceedings relating in any way to any actual or alleged violation of or liability under any Environmental Law or relating to any permit issued, or any approval given, under any such Environmental Law, including, without limitation, any and all claims by Governmental Authorities for enforcement, cleanup, removal, response, remedial or other actions or damages, contribution, indemnification cost recovery, compensation or injunctive relief resulting from releases of Hazardous Materials or arising from alleged injury or threat of injury to human health or the environment.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any and all federal, foreign, state, provincial and local laws, statutes, ordinances, codes, rules, standards and regulations, permits, licenses, and orders of courts or Governmental Authorities, relating to the protection of human health (with respect to exposure to Hazardous Materials) or the environment, including, but not limited to, requirements pertaining to the manufacture, processing, distribution, use, treatment, storage, disposal, transportation, handling, reporting, licensing, permitting, investigation or remediation of Hazardous Materials.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Equivalent Amount</w:t>
      </w:r>
      <w:r>
        <w:rPr>
          <w:color w:val="000000"/>
        </w:rPr>
        <w:t xml:space="preserve">” </w:t>
      </w:r>
      <w:r>
        <w:rPr>
          <w:rFonts w:ascii="Times New Roman;sans-serif" w:hAnsi="Times New Roman;sans-serif"/>
          <w:b w:val="false"/>
          <w:color w:val="000000"/>
          <w:sz w:val="22"/>
        </w:rPr>
        <w:t xml:space="preserve">means, at any time, with respect to any amount denominated in Dollars, the equivalent amount thereof in the applicable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as determined by the Administrative Agent or the applicable Issuing Lender, as the case may be, at such time on the basis of the Exchange Rate (determined in respect of the most recent Computation Date) for the purchase of such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with Dollars.</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223"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and the rules and regulations thereunder, each as amended or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Person who together with any Credit Party is treated as a single employer within the meaning of Section 414(b), (c), (m) or (o) of the Code or Section 4001(b) of ERISA.</w:t>
      </w:r>
    </w:p>
    <w:p>
      <w:pPr>
        <w:pStyle w:val="TextBody"/>
        <w:bidi w:val="0"/>
        <w:spacing w:lineRule="auto" w:line="288" w:before="0" w:after="240"/>
        <w:jc w:val="both"/>
        <w:rPr>
          <w:color w:val="0000FF"/>
          <w:u w:val="single"/>
        </w:rPr>
      </w:pPr>
      <w:r>
        <w:rPr>
          <w:color w:val="0000FF"/>
          <w:u w:val="single"/>
        </w:rPr>
        <w:t>“</w:t>
      </w:r>
      <w:r>
        <w:rPr>
          <w:rFonts w:ascii="Times New Roman;sans-serif" w:hAnsi="Times New Roman;sans-serif"/>
          <w:b w:val="false"/>
          <w:color w:val="0000FF"/>
          <w:sz w:val="22"/>
          <w:u w:val="single"/>
        </w:rPr>
        <w:t>ESG” has the meaning specified in Section 2.11(a).</w:t>
      </w:r>
    </w:p>
    <w:p>
      <w:pPr>
        <w:pStyle w:val="TextBody"/>
        <w:bidi w:val="0"/>
        <w:spacing w:lineRule="auto" w:line="288" w:before="0" w:after="240"/>
        <w:jc w:val="both"/>
        <w:rPr>
          <w:color w:val="0000FF"/>
          <w:u w:val="single"/>
        </w:rPr>
      </w:pPr>
      <w:r>
        <w:rPr>
          <w:color w:val="0000FF"/>
          <w:u w:val="single"/>
        </w:rPr>
        <w:t>“</w:t>
      </w:r>
      <w:r>
        <w:rPr>
          <w:rFonts w:ascii="Times New Roman;sans-serif" w:hAnsi="Times New Roman;sans-serif"/>
          <w:b w:val="false"/>
          <w:color w:val="0000FF"/>
          <w:sz w:val="22"/>
          <w:u w:val="single"/>
        </w:rPr>
        <w:t>ESG Amendment” has the meaning specified in Section 2.11(a).</w:t>
      </w:r>
    </w:p>
    <w:p>
      <w:pPr>
        <w:pStyle w:val="TextBody"/>
        <w:bidi w:val="0"/>
        <w:spacing w:lineRule="auto" w:line="288" w:before="0" w:after="240"/>
        <w:jc w:val="both"/>
        <w:rPr>
          <w:color w:val="0000FF"/>
          <w:u w:val="single"/>
        </w:rPr>
      </w:pPr>
      <w:r>
        <w:rPr>
          <w:color w:val="0000FF"/>
          <w:u w:val="single"/>
        </w:rPr>
        <w:t>“</w:t>
      </w:r>
      <w:r>
        <w:rPr>
          <w:rFonts w:ascii="Times New Roman;sans-serif" w:hAnsi="Times New Roman;sans-serif"/>
          <w:b w:val="false"/>
          <w:color w:val="0000FF"/>
          <w:sz w:val="22"/>
          <w:u w:val="single"/>
        </w:rPr>
        <w:t>ESG Pricing Provisions” has the meaning specified in Section 2.11(a).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EU</w:t>
      </w:r>
      <w:r>
        <w:rPr>
          <w:color w:val="000000"/>
        </w:rPr>
        <w:t xml:space="preserve">” </w:t>
      </w:r>
      <w:r>
        <w:rPr>
          <w:rFonts w:ascii="Times New Roman;sans-serif" w:hAnsi="Times New Roman;sans-serif"/>
          <w:b w:val="false"/>
          <w:color w:val="000000"/>
          <w:sz w:val="22"/>
        </w:rPr>
        <w:t>means the European Union.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 xml:space="preserve">EU </w:t>
      </w:r>
      <w:r>
        <w:rPr>
          <w:rFonts w:ascii="Times New Roman;sans-serif" w:hAnsi="Times New Roman;sans-serif"/>
          <w:b w:val="false"/>
          <w:strike/>
          <w:color w:val="FF0000"/>
          <w:sz w:val="22"/>
          <w:u w:val="single"/>
        </w:rPr>
        <w:t>Bail-In</w:t>
      </w:r>
      <w:r>
        <w:rPr>
          <w:rFonts w:ascii="Times New Roman;sans-serif" w:hAnsi="Times New Roman;sans-serif"/>
          <w:b w:val="false"/>
          <w:color w:val="0000FF"/>
          <w:sz w:val="22"/>
          <w:u w:val="single"/>
        </w:rPr>
        <w:t>Bail-In</w:t>
      </w:r>
      <w:r>
        <w:rPr>
          <w:color w:val="000000"/>
          <w:u w:val="single"/>
        </w:rPr>
        <w:t xml:space="preserve"> </w:t>
      </w:r>
      <w:r>
        <w:rPr>
          <w:rFonts w:ascii="Times New Roman;sans-serif" w:hAnsi="Times New Roman;sans-serif"/>
          <w:b w:val="false"/>
          <w:color w:val="000000"/>
          <w:sz w:val="22"/>
          <w:u w:val="single"/>
        </w:rPr>
        <w:t>Legislation Schedule</w:t>
      </w:r>
      <w:r>
        <w:rPr>
          <w:color w:val="000000"/>
        </w:rPr>
        <w:t xml:space="preserve">” </w:t>
      </w:r>
      <w:r>
        <w:rPr>
          <w:rFonts w:ascii="Times New Roman;sans-serif" w:hAnsi="Times New Roman;sans-serif"/>
          <w:b w:val="false"/>
          <w:color w:val="000000"/>
          <w:sz w:val="22"/>
        </w:rPr>
        <w:t xml:space="preserve">means the EU </w:t>
      </w:r>
      <w:r>
        <w:rPr>
          <w:rFonts w:ascii="Times New Roman;sans-serif" w:hAnsi="Times New Roman;sans-serif"/>
          <w:b w:val="false"/>
          <w:strike/>
          <w:color w:val="FF0000"/>
          <w:sz w:val="22"/>
        </w:rPr>
        <w:t>Bail-In</w:t>
      </w:r>
      <w:r>
        <w:rPr>
          <w:rFonts w:ascii="Times New Roman;sans-serif" w:hAnsi="Times New Roman;sans-serif"/>
          <w:b w:val="false"/>
          <w:color w:val="0000FF"/>
          <w:sz w:val="22"/>
          <w:u w:val="single"/>
        </w:rPr>
        <w:t>Bail-In</w:t>
      </w:r>
      <w:r>
        <w:rPr>
          <w:color w:val="000000"/>
        </w:rPr>
        <w:t xml:space="preserve"> </w:t>
      </w:r>
      <w:r>
        <w:rPr>
          <w:rFonts w:ascii="Times New Roman;sans-serif" w:hAnsi="Times New Roman;sans-serif"/>
          <w:b w:val="false"/>
          <w:color w:val="000000"/>
          <w:sz w:val="22"/>
        </w:rPr>
        <w:t>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euro</w:t>
      </w:r>
      <w:r>
        <w:rPr>
          <w:color w:val="000000"/>
        </w:rPr>
        <w:t xml:space="preserve">” </w:t>
      </w:r>
      <w:r>
        <w:rPr>
          <w:rFonts w:ascii="Times New Roman;sans-serif" w:hAnsi="Times New Roman;sans-serif"/>
          <w:b w:val="false"/>
          <w:color w:val="000000"/>
          <w:sz w:val="22"/>
        </w:rPr>
        <w:t>and/or “</w:t>
      </w:r>
      <w:r>
        <w:rPr>
          <w:rFonts w:ascii="Times New Roman;sans-serif" w:hAnsi="Times New Roman;sans-serif"/>
          <w:b w:val="false"/>
          <w:color w:val="000000"/>
          <w:sz w:val="22"/>
          <w:u w:val="single"/>
        </w:rPr>
        <w:t>EUR</w:t>
      </w:r>
      <w:r>
        <w:rPr>
          <w:color w:val="000000"/>
        </w:rPr>
        <w:t xml:space="preserve">” </w:t>
      </w:r>
      <w:r>
        <w:rPr>
          <w:rFonts w:ascii="Times New Roman;sans-serif" w:hAnsi="Times New Roman;sans-serif"/>
          <w:b w:val="false"/>
          <w:color w:val="000000"/>
          <w:sz w:val="22"/>
        </w:rPr>
        <w:t>means the single currency of the participating member states of the EU.</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Eurocurrency Rate</w:t>
      </w:r>
      <w:r>
        <w:rPr>
          <w:strike/>
          <w:color w:val="FF0000"/>
        </w:rPr>
        <w:t xml:space="preserve">” </w:t>
      </w:r>
      <w:r>
        <w:rPr>
          <w:rFonts w:ascii="Times New Roman;sans-serif" w:hAnsi="Times New Roman;sans-serif"/>
          <w:b w:val="false"/>
          <w:strike/>
          <w:color w:val="FF0000"/>
          <w:sz w:val="22"/>
        </w:rPr>
        <w:t>means:</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(a)</w:t>
      </w:r>
      <w:r>
        <w:rPr>
          <w:rFonts w:ascii="Times New Roman;sans-serif" w:hAnsi="Times New Roman;sans-serif"/>
          <w:b w:val="false"/>
          <w:strike/>
          <w:color w:val="008000"/>
          <w:sz w:val="22"/>
        </w:rPr>
        <w:t>for any Interest Period, with respect to any Extension of Credit:</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(i)</w:t>
      </w:r>
      <w:r>
        <w:rPr>
          <w:color w:val="000000"/>
        </w:rPr>
        <w:t>    </w:t>
      </w:r>
      <w:r>
        <w:rPr>
          <w:rFonts w:ascii="Times New Roman;sans-serif" w:hAnsi="Times New Roman;sans-serif"/>
          <w:b w:val="false"/>
          <w:strike/>
          <w:color w:val="FF0000"/>
          <w:sz w:val="22"/>
        </w:rPr>
        <w:t>denominated in a LIBOR Quoted Currency, the rate per annum equal to the London Interbank Offered Rate as administered by ICE Benchmark Administration (or any other Person that takes over the administration of such rate for Dollars for a period equal in length to such Interest Period) (“</w:t>
      </w:r>
      <w:r>
        <w:rPr>
          <w:rFonts w:ascii="Times New Roman;sans-serif" w:hAnsi="Times New Roman;sans-serif"/>
          <w:b w:val="false"/>
          <w:strike/>
          <w:color w:val="FF0000"/>
          <w:sz w:val="22"/>
          <w:u w:val="single"/>
        </w:rPr>
        <w:t>LIBOR</w:t>
      </w:r>
      <w:r>
        <w:rPr>
          <w:strike/>
          <w:color w:val="FF0000"/>
        </w:rPr>
        <w:t>”</w:t>
      </w:r>
      <w:r>
        <w:rPr>
          <w:rFonts w:ascii="Times New Roman;sans-serif" w:hAnsi="Times New Roman;sans-serif"/>
          <w:b w:val="false"/>
          <w:strike/>
          <w:color w:val="FF0000"/>
          <w:sz w:val="22"/>
        </w:rPr>
        <w:t xml:space="preserve">), as published on the applicable Bloomberg </w:t>
      </w:r>
      <w:r>
        <w:rPr>
          <w:rFonts w:ascii="Times New Roman;sans-serif" w:hAnsi="Times New Roman;sans-serif"/>
          <w:b w:val="false"/>
          <w:strike/>
          <w:color w:val="008000"/>
          <w:sz w:val="22"/>
        </w:rPr>
        <w:t xml:space="preserve">screen page (or such other commercially available source providing such quotations as may be designated by the Administrative Agent from time to time) </w:t>
      </w:r>
      <w:r>
        <w:rPr>
          <w:rFonts w:ascii="Times New Roman;sans-serif" w:hAnsi="Times New Roman;sans-serif"/>
          <w:b w:val="false"/>
          <w:strike/>
          <w:color w:val="FF0000"/>
          <w:sz w:val="22"/>
        </w:rPr>
        <w:t>(in such case, the “</w:t>
      </w:r>
      <w:r>
        <w:rPr>
          <w:rFonts w:ascii="Times New Roman;sans-serif" w:hAnsi="Times New Roman;sans-serif"/>
          <w:b w:val="false"/>
          <w:strike/>
          <w:color w:val="FF0000"/>
          <w:sz w:val="22"/>
          <w:u w:val="single"/>
        </w:rPr>
        <w:t>LIBOR Rate</w:t>
      </w:r>
      <w:r>
        <w:rPr>
          <w:strike/>
          <w:color w:val="FF0000"/>
        </w:rPr>
        <w:t>”</w:t>
      </w:r>
      <w:r>
        <w:rPr>
          <w:rFonts w:ascii="Times New Roman;sans-serif" w:hAnsi="Times New Roman;sans-serif"/>
          <w:b w:val="false"/>
          <w:strike/>
          <w:color w:val="FF0000"/>
          <w:sz w:val="22"/>
        </w:rPr>
        <w:t>) at or about 11:00 a.m. (London time) on the Rate Determination Date, for deposits in the relevant currency, with a term equivalent to such Interest Period;</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(ii)</w:t>
      </w:r>
      <w:r>
        <w:rPr>
          <w:color w:val="000000"/>
        </w:rPr>
        <w:t>    </w:t>
      </w:r>
      <w:r>
        <w:rPr>
          <w:rFonts w:ascii="Times New Roman;sans-serif" w:hAnsi="Times New Roman;sans-serif"/>
          <w:b w:val="false"/>
          <w:strike/>
          <w:color w:val="FF0000"/>
          <w:sz w:val="22"/>
        </w:rPr>
        <w:t>denominated in euros, the rate per annum equal to the Euro Interbank Offered Rate (“</w:t>
      </w:r>
      <w:r>
        <w:rPr>
          <w:rFonts w:ascii="Times New Roman;sans-serif" w:hAnsi="Times New Roman;sans-serif"/>
          <w:b w:val="false"/>
          <w:strike/>
          <w:color w:val="FF0000"/>
          <w:sz w:val="22"/>
          <w:u w:val="single"/>
        </w:rPr>
        <w:t>EURIBOR</w:t>
      </w:r>
      <w:r>
        <w:rPr>
          <w:strike/>
          <w:color w:val="FF0000"/>
        </w:rPr>
        <w:t>”</w:t>
      </w:r>
      <w:r>
        <w:rPr>
          <w:rFonts w:ascii="Times New Roman;sans-serif" w:hAnsi="Times New Roman;sans-serif"/>
          <w:b w:val="false"/>
          <w:strike/>
          <w:color w:val="FF0000"/>
          <w:sz w:val="22"/>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Times New Roman;sans-serif" w:hAnsi="Times New Roman;sans-serif"/>
          <w:b w:val="false"/>
          <w:strike/>
          <w:color w:val="FF0000"/>
          <w:sz w:val="22"/>
          <w:u w:val="single"/>
        </w:rPr>
        <w:t>EURIBOR Rate</w:t>
      </w:r>
      <w:r>
        <w:rPr>
          <w:strike/>
          <w:color w:val="FF0000"/>
        </w:rPr>
        <w:t>”</w:t>
      </w:r>
      <w:r>
        <w:rPr>
          <w:rFonts w:ascii="Times New Roman;sans-serif" w:hAnsi="Times New Roman;sans-serif"/>
          <w:b w:val="false"/>
          <w:strike/>
          <w:color w:val="FF0000"/>
          <w:sz w:val="22"/>
        </w:rPr>
        <w:t xml:space="preserve">) at or about 11:00a.m. (Brussels, Belgium time) on the Rate Determination Date with a term equivalent to such Interest Period; </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(iii)</w:t>
      </w:r>
      <w:r>
        <w:rPr>
          <w:color w:val="000000"/>
        </w:rPr>
        <w:t>    </w:t>
      </w:r>
      <w:r>
        <w:rPr>
          <w:rFonts w:ascii="Times New Roman;sans-serif" w:hAnsi="Times New Roman;sans-serif"/>
          <w:b w:val="false"/>
          <w:strike/>
          <w:color w:val="008000"/>
          <w:sz w:val="22"/>
        </w:rPr>
        <w:t>denominated in Australian Dollars, the rate per annum equal to the Bank Bill Swap Reference Bid Rate (“</w:t>
      </w:r>
      <w:r>
        <w:rPr>
          <w:rFonts w:ascii="Times New Roman;sans-serif" w:hAnsi="Times New Roman;sans-serif"/>
          <w:b w:val="false"/>
          <w:strike/>
          <w:color w:val="008000"/>
          <w:sz w:val="22"/>
          <w:u w:val="single"/>
        </w:rPr>
        <w:t>BBSY</w:t>
      </w:r>
      <w:r>
        <w:rPr>
          <w:strike/>
          <w:color w:val="008000"/>
        </w:rPr>
        <w:t>”</w:t>
      </w:r>
      <w:r>
        <w:rPr>
          <w:rFonts w:ascii="Times New Roman;sans-serif" w:hAnsi="Times New Roman;sans-serif"/>
          <w:b w:val="false"/>
          <w:strike/>
          <w:color w:val="008000"/>
          <w:sz w:val="22"/>
        </w:rPr>
        <w:t xml:space="preserve">), </w:t>
      </w:r>
      <w:r>
        <w:rPr>
          <w:rFonts w:ascii="Times New Roman;sans-serif" w:hAnsi="Times New Roman;sans-serif"/>
          <w:b w:val="false"/>
          <w:strike/>
          <w:color w:val="FF0000"/>
          <w:sz w:val="22"/>
        </w:rPr>
        <w:t xml:space="preserve">or a comparable or successor rate which rate is approved by the Administrative Agent, </w:t>
      </w:r>
      <w:r>
        <w:rPr>
          <w:rFonts w:ascii="Times New Roman;sans-serif" w:hAnsi="Times New Roman;sans-serif"/>
          <w:b w:val="false"/>
          <w:strike/>
          <w:color w:val="008000"/>
          <w:sz w:val="22"/>
        </w:rPr>
        <w:t xml:space="preserve">as published on the applicable </w:t>
      </w:r>
      <w:r>
        <w:rPr>
          <w:rFonts w:ascii="Times New Roman;sans-serif" w:hAnsi="Times New Roman;sans-serif"/>
          <w:b w:val="false"/>
          <w:strike/>
          <w:color w:val="FF0000"/>
          <w:sz w:val="22"/>
        </w:rPr>
        <w:t xml:space="preserve">Bloomberg </w:t>
      </w:r>
      <w:r>
        <w:rPr>
          <w:rFonts w:ascii="Times New Roman;sans-serif" w:hAnsi="Times New Roman;sans-serif"/>
          <w:b w:val="false"/>
          <w:strike/>
          <w:color w:val="008000"/>
          <w:sz w:val="22"/>
        </w:rPr>
        <w:t xml:space="preserve">screen page (or such other commercially available source providing such quotations as may be designated by the Administrative Agent from time to time) </w:t>
      </w:r>
      <w:r>
        <w:rPr>
          <w:rFonts w:ascii="Times New Roman;sans-serif" w:hAnsi="Times New Roman;sans-serif"/>
          <w:b w:val="false"/>
          <w:strike/>
          <w:color w:val="FF0000"/>
          <w:sz w:val="22"/>
        </w:rPr>
        <w:t>at or about 10:30 a.m. (Melbourne, Australia time) on the Rate Determination Date with a term equivalent to such Interest Period;</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(iv)</w:t>
      </w:r>
      <w:r>
        <w:rPr>
          <w:color w:val="000000"/>
        </w:rPr>
        <w:t>    </w:t>
      </w:r>
      <w:r>
        <w:rPr>
          <w:rFonts w:ascii="Times New Roman;sans-serif" w:hAnsi="Times New Roman;sans-serif"/>
          <w:b w:val="false"/>
          <w:strike/>
          <w:color w:val="FF0000"/>
          <w:sz w:val="22"/>
        </w:rPr>
        <w:t>denominated in New Zealand Dollars, the rate per annum equal to the Bank Bill Reference Bid Rate (“</w:t>
      </w:r>
      <w:r>
        <w:rPr>
          <w:rFonts w:ascii="Times New Roman;sans-serif" w:hAnsi="Times New Roman;sans-serif"/>
          <w:b w:val="false"/>
          <w:strike/>
          <w:color w:val="FF0000"/>
          <w:sz w:val="22"/>
          <w:u w:val="single"/>
        </w:rPr>
        <w:t>BKBM</w:t>
      </w:r>
      <w:r>
        <w:rPr>
          <w:strike/>
          <w:color w:val="FF0000"/>
        </w:rPr>
        <w:t>”</w:t>
      </w:r>
      <w:r>
        <w:rPr>
          <w:rFonts w:ascii="Times New Roman;sans-serif" w:hAnsi="Times New Roman;sans-serif"/>
          <w:b w:val="false"/>
          <w:strike/>
          <w:color w:val="FF0000"/>
          <w:sz w:val="22"/>
        </w:rPr>
        <w:t xml:space="preserve">), or a comparable or successor rate which rate is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224"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approved by the Administrative Agent, as published on the applicable Bloomberg screen page (or such other commercially available source providing such quotations as may be designated by the Administrative Agent from time to time) at or about 10:45 a.m. (Auckland, New Zealand time) on the Rate Determination Date with a term equivalent to such Interest Period;</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(v)</w:t>
      </w:r>
      <w:r>
        <w:rPr>
          <w:color w:val="000000"/>
        </w:rPr>
        <w:t>    </w:t>
      </w:r>
      <w:r>
        <w:rPr>
          <w:rFonts w:ascii="Times New Roman;sans-serif" w:hAnsi="Times New Roman;sans-serif"/>
          <w:b w:val="false"/>
          <w:strike/>
          <w:color w:val="008000"/>
          <w:sz w:val="22"/>
        </w:rPr>
        <w:t xml:space="preserve">denominated in Canadian Dollars, the rate per annum equal to the </w:t>
      </w:r>
      <w:r>
        <w:rPr>
          <w:rFonts w:ascii="Times New Roman;sans-serif" w:hAnsi="Times New Roman;sans-serif"/>
          <w:b w:val="false"/>
          <w:strike/>
          <w:color w:val="FF0000"/>
          <w:sz w:val="22"/>
        </w:rPr>
        <w:t>Canadian Dollar Offered Rate (“</w:t>
      </w:r>
      <w:r>
        <w:rPr>
          <w:rFonts w:ascii="Times New Roman;sans-serif" w:hAnsi="Times New Roman;sans-serif"/>
          <w:b w:val="false"/>
          <w:strike/>
          <w:color w:val="FF0000"/>
          <w:sz w:val="22"/>
          <w:u w:val="single"/>
        </w:rPr>
        <w:t>CDOR</w:t>
      </w:r>
      <w:r>
        <w:rPr>
          <w:strike/>
          <w:color w:val="FF0000"/>
        </w:rPr>
        <w:t>”</w:t>
      </w:r>
      <w:r>
        <w:rPr>
          <w:rFonts w:ascii="Times New Roman;sans-serif" w:hAnsi="Times New Roman;sans-serif"/>
          <w:b w:val="false"/>
          <w:strike/>
          <w:color w:val="FF0000"/>
          <w:sz w:val="22"/>
        </w:rPr>
        <w:t xml:space="preserve">), or a comparable or successor rate which rate </w:t>
      </w:r>
      <w:r>
        <w:rPr>
          <w:rFonts w:ascii="Times New Roman;sans-serif" w:hAnsi="Times New Roman;sans-serif"/>
          <w:b w:val="false"/>
          <w:strike/>
          <w:color w:val="008000"/>
          <w:sz w:val="22"/>
        </w:rPr>
        <w:t>is approved by the Administrative Agent</w:t>
      </w:r>
      <w:r>
        <w:rPr>
          <w:rFonts w:ascii="Times New Roman;sans-serif" w:hAnsi="Times New Roman;sans-serif"/>
          <w:b w:val="false"/>
          <w:strike/>
          <w:color w:val="FF0000"/>
          <w:sz w:val="22"/>
        </w:rPr>
        <w:t xml:space="preserve">, </w:t>
      </w:r>
      <w:r>
        <w:rPr>
          <w:rFonts w:ascii="Times New Roman;sans-serif" w:hAnsi="Times New Roman;sans-serif"/>
          <w:b w:val="false"/>
          <w:strike/>
          <w:color w:val="008000"/>
          <w:sz w:val="22"/>
        </w:rPr>
        <w:t xml:space="preserve">as published on the applicable </w:t>
      </w:r>
      <w:r>
        <w:rPr>
          <w:rFonts w:ascii="Times New Roman;sans-serif" w:hAnsi="Times New Roman;sans-serif"/>
          <w:b w:val="false"/>
          <w:strike/>
          <w:color w:val="FF0000"/>
          <w:sz w:val="22"/>
        </w:rPr>
        <w:t xml:space="preserve">Bloomberg </w:t>
      </w:r>
      <w:r>
        <w:rPr>
          <w:rFonts w:ascii="Times New Roman;sans-serif" w:hAnsi="Times New Roman;sans-serif"/>
          <w:b w:val="false"/>
          <w:strike/>
          <w:color w:val="008000"/>
          <w:sz w:val="22"/>
        </w:rPr>
        <w:t>screen page (or such other commercially available source providing such quotations as may be designated by the Administrative Agent from time to time) (in such case, the “</w:t>
      </w:r>
      <w:r>
        <w:rPr>
          <w:rFonts w:ascii="Times New Roman;sans-serif" w:hAnsi="Times New Roman;sans-serif"/>
          <w:b w:val="false"/>
          <w:strike/>
          <w:color w:val="FF0000"/>
          <w:sz w:val="22"/>
          <w:u w:val="single"/>
        </w:rPr>
        <w:t>CDOR Rate</w:t>
      </w:r>
      <w:r>
        <w:rPr>
          <w:strike/>
          <w:color w:val="FF0000"/>
        </w:rPr>
        <w:t>”</w:t>
      </w:r>
      <w:r>
        <w:rPr>
          <w:rFonts w:ascii="Times New Roman;sans-serif" w:hAnsi="Times New Roman;sans-serif"/>
          <w:b w:val="false"/>
          <w:strike/>
          <w:color w:val="FF0000"/>
          <w:sz w:val="22"/>
        </w:rPr>
        <w:t xml:space="preserve">) at or about 10:00 a.m. (Toronto, Ontario time) on </w:t>
      </w:r>
      <w:r>
        <w:rPr>
          <w:rFonts w:ascii="Times New Roman;sans-serif" w:hAnsi="Times New Roman;sans-serif"/>
          <w:b w:val="false"/>
          <w:strike/>
          <w:color w:val="008000"/>
          <w:sz w:val="22"/>
        </w:rPr>
        <w:t>the Rate Determination Date with a term equivalent to such Interest Period</w:t>
      </w:r>
      <w:r>
        <w:rPr>
          <w:rFonts w:ascii="Times New Roman;sans-serif" w:hAnsi="Times New Roman;sans-serif"/>
          <w:b w:val="false"/>
          <w:strike/>
          <w:color w:val="FF0000"/>
          <w:sz w:val="22"/>
        </w:rPr>
        <w:t>;</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(vi)</w:t>
      </w:r>
      <w:r>
        <w:rPr>
          <w:color w:val="000000"/>
        </w:rPr>
        <w:t>    </w:t>
      </w:r>
      <w:r>
        <w:rPr>
          <w:rFonts w:ascii="Times New Roman;sans-serif" w:hAnsi="Times New Roman;sans-serif"/>
          <w:b w:val="false"/>
          <w:strike/>
          <w:color w:val="008000"/>
          <w:sz w:val="22"/>
        </w:rPr>
        <w:t xml:space="preserve">with respect to any Extension of Credit </w:t>
      </w:r>
      <w:r>
        <w:rPr>
          <w:rFonts w:ascii="Times New Roman;sans-serif" w:hAnsi="Times New Roman;sans-serif"/>
          <w:b w:val="false"/>
          <w:strike/>
          <w:color w:val="FF0000"/>
          <w:sz w:val="22"/>
        </w:rPr>
        <w:t xml:space="preserve">denominated in any other Non-LIBOR Quoted Currency, the </w:t>
      </w:r>
      <w:r>
        <w:rPr>
          <w:rFonts w:ascii="Times New Roman;sans-serif" w:hAnsi="Times New Roman;sans-serif"/>
          <w:b w:val="false"/>
          <w:strike/>
          <w:color w:val="008000"/>
          <w:sz w:val="22"/>
        </w:rPr>
        <w:t xml:space="preserve">rate per annum as designated with respect to such </w:t>
      </w:r>
      <w:r>
        <w:rPr>
          <w:rFonts w:ascii="Times New Roman;sans-serif" w:hAnsi="Times New Roman;sans-serif"/>
          <w:b w:val="false"/>
          <w:strike/>
          <w:color w:val="FF0000"/>
          <w:sz w:val="22"/>
        </w:rPr>
        <w:t xml:space="preserve">Foreign </w:t>
      </w:r>
      <w:r>
        <w:rPr>
          <w:rFonts w:ascii="Times New Roman;sans-serif" w:hAnsi="Times New Roman;sans-serif"/>
          <w:b w:val="false"/>
          <w:strike/>
          <w:color w:val="008000"/>
          <w:sz w:val="22"/>
        </w:rPr>
        <w:t xml:space="preserve">Currency at the time such </w:t>
      </w:r>
      <w:r>
        <w:rPr>
          <w:rFonts w:ascii="Times New Roman;sans-serif" w:hAnsi="Times New Roman;sans-serif"/>
          <w:b w:val="false"/>
          <w:strike/>
          <w:color w:val="FF0000"/>
          <w:sz w:val="22"/>
        </w:rPr>
        <w:t xml:space="preserve">Foreign </w:t>
      </w:r>
      <w:r>
        <w:rPr>
          <w:rFonts w:ascii="Times New Roman;sans-serif" w:hAnsi="Times New Roman;sans-serif"/>
          <w:b w:val="false"/>
          <w:strike/>
          <w:color w:val="008000"/>
          <w:sz w:val="22"/>
        </w:rPr>
        <w:t xml:space="preserve">Currency is approved by the Administrative Agent and the relevant Lenders pursuant to </w:t>
      </w:r>
      <w:r>
        <w:rPr>
          <w:rFonts w:ascii="Times New Roman;sans-serif" w:hAnsi="Times New Roman;sans-serif"/>
          <w:b w:val="false"/>
          <w:strike/>
          <w:color w:val="008000"/>
          <w:sz w:val="22"/>
          <w:u w:val="single"/>
        </w:rPr>
        <w:t>Section 1.9(a)</w:t>
      </w:r>
      <w:r>
        <w:rPr>
          <w:rFonts w:ascii="Times New Roman;sans-serif" w:hAnsi="Times New Roman;sans-serif"/>
          <w:b w:val="false"/>
          <w:strike/>
          <w:color w:val="FF0000"/>
          <w:sz w:val="22"/>
        </w:rPr>
        <w:t>; and</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(b)</w:t>
      </w:r>
      <w:r>
        <w:rPr>
          <w:color w:val="000000"/>
        </w:rPr>
        <w:t>    </w:t>
      </w:r>
      <w:r>
        <w:rPr>
          <w:rFonts w:ascii="Times New Roman;sans-serif" w:hAnsi="Times New Roman;sans-serif"/>
          <w:b w:val="false"/>
          <w:strike/>
          <w:color w:val="FF0000"/>
          <w:sz w:val="22"/>
        </w:rPr>
        <w:t xml:space="preserve">for any interest rate </w:t>
      </w:r>
      <w:r>
        <w:rPr>
          <w:rFonts w:ascii="Times New Roman;sans-serif" w:hAnsi="Times New Roman;sans-serif"/>
          <w:b w:val="false"/>
          <w:strike/>
          <w:color w:val="008000"/>
          <w:sz w:val="22"/>
        </w:rPr>
        <w:t xml:space="preserve">calculation with respect to a Base Rate Loan on any date, the rate per annum equal to the </w:t>
      </w:r>
      <w:r>
        <w:rPr>
          <w:rFonts w:ascii="Times New Roman;sans-serif" w:hAnsi="Times New Roman;sans-serif"/>
          <w:b w:val="false"/>
          <w:strike/>
          <w:color w:val="FF0000"/>
          <w:sz w:val="22"/>
        </w:rPr>
        <w:t xml:space="preserve">LIBOR Rate, at or about 11:00 a.m. (London time) determined two (2) </w:t>
      </w:r>
      <w:r>
        <w:rPr>
          <w:rFonts w:ascii="Times New Roman;sans-serif" w:hAnsi="Times New Roman;sans-serif"/>
          <w:b w:val="false"/>
          <w:strike/>
          <w:color w:val="008000"/>
          <w:sz w:val="22"/>
        </w:rPr>
        <w:t xml:space="preserve">Business Days prior to such date </w:t>
      </w:r>
      <w:r>
        <w:rPr>
          <w:rFonts w:ascii="Times New Roman;sans-serif" w:hAnsi="Times New Roman;sans-serif"/>
          <w:b w:val="false"/>
          <w:strike/>
          <w:color w:val="FF0000"/>
          <w:sz w:val="22"/>
        </w:rPr>
        <w:t>for Dollar deposits being delivered in the London interbank market for deposits in Dollars with a term of one (1) month commencing that day;</w:t>
      </w:r>
    </w:p>
    <w:p>
      <w:pPr>
        <w:pStyle w:val="TextBody"/>
        <w:bidi w:val="0"/>
        <w:spacing w:lineRule="auto" w:line="288" w:before="0" w:after="240"/>
        <w:jc w:val="both"/>
        <w:rPr/>
      </w:pP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 xml:space="preserve">that, if the Eurocurrency </w:t>
      </w:r>
      <w:r>
        <w:rPr>
          <w:rFonts w:ascii="Times New Roman;sans-serif" w:hAnsi="Times New Roman;sans-serif"/>
          <w:b w:val="false"/>
          <w:strike/>
          <w:color w:val="008000"/>
          <w:sz w:val="22"/>
        </w:rPr>
        <w:t>Rate shall be less than zero, such rate shall be deemed zero for purposes of this Agreement.</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Eurocurrency Rate Loan</w:t>
      </w:r>
      <w:r>
        <w:rPr>
          <w:strike/>
          <w:color w:val="FF0000"/>
        </w:rPr>
        <w:t xml:space="preserve">” </w:t>
      </w:r>
      <w:r>
        <w:rPr>
          <w:rFonts w:ascii="Times New Roman;sans-serif" w:hAnsi="Times New Roman;sans-serif"/>
          <w:b w:val="false"/>
          <w:strike/>
          <w:color w:val="FF0000"/>
          <w:sz w:val="22"/>
        </w:rPr>
        <w:t xml:space="preserve">means a </w:t>
      </w:r>
      <w:r>
        <w:rPr>
          <w:rFonts w:ascii="Times New Roman;sans-serif" w:hAnsi="Times New Roman;sans-serif"/>
          <w:b w:val="false"/>
          <w:strike/>
          <w:color w:val="008000"/>
          <w:sz w:val="22"/>
        </w:rPr>
        <w:t xml:space="preserve">Loan that bears interest at a rate based on clause (a) of the definition of </w:t>
      </w:r>
      <w:r>
        <w:rPr>
          <w:strike/>
          <w:color w:val="FF0000"/>
        </w:rPr>
        <w:t>“</w:t>
      </w:r>
      <w:r>
        <w:rPr>
          <w:rFonts w:ascii="Times New Roman;sans-serif" w:hAnsi="Times New Roman;sans-serif"/>
          <w:b w:val="false"/>
          <w:strike/>
          <w:color w:val="FF0000"/>
          <w:sz w:val="22"/>
        </w:rPr>
        <w:t>Eurocurrency Rate”. Eurocurrency Rate Loans may be denominated in Dollars or in a Foreign Currency. All Loans denominated in a Foreign Currency or made to a Subsidiary Borrower that is a Foreign Subsidiary must be Eurocurrency Rate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 xml:space="preserve">means any of the events specified in </w:t>
      </w:r>
      <w:r>
        <w:rPr>
          <w:rFonts w:ascii="Times New Roman;sans-serif" w:hAnsi="Times New Roman;sans-serif"/>
          <w:b w:val="false"/>
          <w:color w:val="000000"/>
          <w:sz w:val="22"/>
          <w:u w:val="single"/>
        </w:rPr>
        <w:t>Section 11.1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requirement for passage of time, giving of notice, or any other condition, has been satisfied.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Exchange Rate</w:t>
      </w:r>
      <w:r>
        <w:rPr>
          <w:color w:val="000000"/>
        </w:rPr>
        <w:t xml:space="preserve">” </w:t>
      </w:r>
      <w:r>
        <w:rPr>
          <w:rFonts w:ascii="Times New Roman;sans-serif" w:hAnsi="Times New Roman;sans-serif"/>
          <w:b w:val="false"/>
          <w:color w:val="000000"/>
          <w:sz w:val="22"/>
        </w:rPr>
        <w:t xml:space="preserve">for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means the rate determined by the Administrative Agent or an Issuing Lender, as applicable, to be the rate quoted by the Person acting in such capacity as the spot rate for the purchase by such Person of such currency with another currency through its principal foreign exchange trading office at approximately </w:t>
      </w:r>
      <w:r>
        <w:rPr>
          <w:rFonts w:ascii="Times New Roman;sans-serif" w:hAnsi="Times New Roman;sans-serif"/>
          <w:b w:val="false"/>
          <w:strike/>
          <w:color w:val="FF0000"/>
          <w:sz w:val="22"/>
        </w:rPr>
        <w:t>11:00 a.m</w:t>
      </w:r>
      <w:r>
        <w:rPr>
          <w:rFonts w:ascii="Times New Roman;sans-serif" w:hAnsi="Times New Roman;sans-serif"/>
          <w:b w:val="false"/>
          <w:color w:val="0000FF"/>
          <w:sz w:val="22"/>
          <w:u w:val="single"/>
        </w:rPr>
        <w:t>11:00 a.m</w:t>
      </w:r>
      <w:r>
        <w:rPr>
          <w:rFonts w:ascii="Times New Roman;sans-serif" w:hAnsi="Times New Roman;sans-serif"/>
          <w:b w:val="false"/>
          <w:color w:val="000000"/>
          <w:sz w:val="22"/>
        </w:rPr>
        <w:t xml:space="preserve">. on the date two (2) Business Days prior to the date as of which the foreign exchange computation is made;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Administrative Agent or such Issuing Lender may obtain such spot rate from another financial institution designated by the Administrative Agent or such Issuing Lender if the Person acting in such capacity does not have as of the date of determination a spot buying rate for any such currency;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each Issuing Lender may use such spot rate quoted on the date as of which the foreign exchange computation is made in the case of any Letter of Credit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Domestic Subsidiary</w:t>
      </w:r>
      <w:r>
        <w:rPr>
          <w:color w:val="000000"/>
        </w:rPr>
        <w:t xml:space="preserve">” </w:t>
      </w:r>
      <w:r>
        <w:rPr>
          <w:rFonts w:ascii="Times New Roman;sans-serif" w:hAnsi="Times New Roman;sans-serif"/>
          <w:b w:val="false"/>
          <w:color w:val="000000"/>
          <w:sz w:val="22"/>
        </w:rPr>
        <w:t>means any Subsidiary that is a U.S. Person and (a) is a Subsidiary of a “controlled foreign corporation” under Section 957 of the Code (a “</w:t>
      </w:r>
      <w:r>
        <w:rPr>
          <w:rFonts w:ascii="Times New Roman;sans-serif" w:hAnsi="Times New Roman;sans-serif"/>
          <w:b w:val="false"/>
          <w:color w:val="000000"/>
          <w:sz w:val="22"/>
          <w:u w:val="single"/>
        </w:rPr>
        <w:t>CFC</w:t>
      </w:r>
      <w:r>
        <w:rPr>
          <w:color w:val="000000"/>
        </w:rPr>
        <w:t>”</w:t>
      </w:r>
      <w:r>
        <w:rPr>
          <w:rFonts w:ascii="Times New Roman;sans-serif" w:hAnsi="Times New Roman;sans-serif"/>
          <w:b w:val="false"/>
          <w:color w:val="000000"/>
          <w:sz w:val="22"/>
        </w:rPr>
        <w:t xml:space="preserve">) or (b) substantially all of the assets of such Subsidiary consists of Capital Stock </w:t>
      </w:r>
      <w:r>
        <w:rPr>
          <w:rFonts w:ascii="Times New Roman;sans-serif" w:hAnsi="Times New Roman;sans-serif"/>
          <w:b w:val="false"/>
          <w:color w:val="0000FF"/>
          <w:sz w:val="22"/>
          <w:u w:val="single"/>
        </w:rPr>
        <w:t xml:space="preserve">or Capital Stock and Indebtedness </w:t>
      </w:r>
      <w:r>
        <w:rPr>
          <w:rFonts w:ascii="Times New Roman;sans-serif" w:hAnsi="Times New Roman;sans-serif"/>
          <w:b w:val="false"/>
          <w:color w:val="000000"/>
          <w:sz w:val="22"/>
        </w:rPr>
        <w:t xml:space="preserve">of one or more CFCs or of other U.S. Persons substantially all of the assets of which consist of Capital Stock </w:t>
      </w:r>
      <w:r>
        <w:rPr>
          <w:rFonts w:ascii="Times New Roman;sans-serif" w:hAnsi="Times New Roman;sans-serif"/>
          <w:b w:val="false"/>
          <w:color w:val="0000FF"/>
          <w:sz w:val="22"/>
          <w:u w:val="single"/>
        </w:rPr>
        <w:t xml:space="preserve">or Capital Stock and Indebtedness </w:t>
      </w:r>
      <w:r>
        <w:rPr>
          <w:rFonts w:ascii="Times New Roman;sans-serif" w:hAnsi="Times New Roman;sans-serif"/>
          <w:b w:val="false"/>
          <w:color w:val="000000"/>
          <w:sz w:val="22"/>
        </w:rPr>
        <w:t>of one or more CFCs.</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22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Hedging Obligation</w:t>
      </w:r>
      <w:r>
        <w:rPr>
          <w:color w:val="000000"/>
        </w:rPr>
        <w:t xml:space="preserve">” </w:t>
      </w:r>
      <w:r>
        <w:rPr>
          <w:rFonts w:ascii="Times New Roman;sans-serif" w:hAnsi="Times New Roman;sans-serif"/>
          <w:b w:val="false"/>
          <w:color w:val="000000"/>
          <w:sz w:val="22"/>
        </w:rPr>
        <w:t xml:space="preserve">shall mean, with respect to any Credit Party, any Hedging Obligation if, and to the extent that, all or a portion of the Guaranty Agreement of such Credit Party of, or the grant by such Credit Party of a security interest to secure, such Hedging Obligation (or any Guaranty Obligation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Guaranty Agreement of such Credit Party, or the grant by such Credit Party of a security interest, becomes effective with respect to such Hedging Obligation;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the avoidance of doubt, in determining whether any Credit Party is an “eligible contract participant” under the Commodity Exchange Act, the keepwell agreement set forth in Section 2.12 of the Guaranty Agreement shall be taken into account. If a Hedging Obligation arises under a master agreement governing more than one Hedging Agreement, such exclusion shall apply only to the portion of such Hedging Obligation that is attributable to Hedging Agreements for which such guaranty or security interest is or becomes excluded in accordance with the first sentence of this definition.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or United Kingdom withholding Taxes (excluding the portion of United Kingdom withholding Taxes with respect to which the applicable Lender is entitled to claim a reduction under an income tax treaty)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sans-serif" w:hAnsi="Times New Roman;sans-serif"/>
          <w:b w:val="false"/>
          <w:color w:val="000000"/>
          <w:sz w:val="22"/>
          <w:u w:val="single"/>
        </w:rPr>
        <w:t>Section 4.12</w:t>
      </w:r>
      <w:r>
        <w:rPr>
          <w:rFonts w:ascii="Times New Roman;sans-serif" w:hAnsi="Times New Roman;sans-serif"/>
          <w:b w:val="false"/>
          <w:color w:val="000000"/>
          <w:sz w:val="22"/>
        </w:rPr>
        <w:t xml:space="preserve">), (ii) such Lender changes its Lending Office or (iii), if later than clauses (i) or (ii), the date on which a Subsidiary Borrower organized in the United Kingdom is joined, except in each case to the extent that, pursuant to </w:t>
      </w:r>
      <w:r>
        <w:rPr>
          <w:rFonts w:ascii="Times New Roman;sans-serif" w:hAnsi="Times New Roman;sans-serif"/>
          <w:b w:val="false"/>
          <w:color w:val="000000"/>
          <w:sz w:val="22"/>
          <w:u w:val="single"/>
        </w:rPr>
        <w:t>Section 4.11(a)(ii)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ans-serif" w:hAnsi="Times New Roman;sans-serif"/>
          <w:b w:val="false"/>
          <w:color w:val="000000"/>
          <w:sz w:val="22"/>
          <w:u w:val="single"/>
        </w:rPr>
        <w:t>Section 4.11(e)</w:t>
      </w:r>
      <w:r>
        <w:rPr>
          <w:color w:val="000000"/>
        </w:rPr>
        <w:t xml:space="preserve"> </w:t>
      </w:r>
      <w:r>
        <w:rPr>
          <w:rFonts w:ascii="Times New Roman;sans-serif" w:hAnsi="Times New Roman;sans-serif"/>
          <w:b w:val="false"/>
          <w:color w:val="000000"/>
          <w:sz w:val="22"/>
        </w:rPr>
        <w:t>and (d) any U.S. federal withholding Taxes imposed pursuant to FATCA.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has the meaning assigned to such term in the preliminary statements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Existing Letters of Credit</w:t>
      </w:r>
      <w:r>
        <w:rPr>
          <w:color w:val="000000"/>
        </w:rPr>
        <w:t xml:space="preserve">” </w:t>
      </w:r>
      <w:r>
        <w:rPr>
          <w:rFonts w:ascii="Times New Roman;sans-serif" w:hAnsi="Times New Roman;sans-serif"/>
          <w:b w:val="false"/>
          <w:color w:val="000000"/>
          <w:sz w:val="22"/>
        </w:rPr>
        <w:t xml:space="preserve">means the letters of credit set forth on </w:t>
      </w:r>
      <w:r>
        <w:rPr>
          <w:rFonts w:ascii="Times New Roman;sans-serif" w:hAnsi="Times New Roman;sans-serif"/>
          <w:b w:val="false"/>
          <w:color w:val="000000"/>
          <w:sz w:val="22"/>
          <w:u w:val="single"/>
        </w:rPr>
        <w:t>Schedule 1.1(c)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Extensions of Credit</w:t>
      </w:r>
      <w:r>
        <w:rPr>
          <w:color w:val="000000"/>
        </w:rPr>
        <w:t xml:space="preserve">” </w:t>
      </w:r>
      <w:r>
        <w:rPr>
          <w:rFonts w:ascii="Times New Roman;sans-serif" w:hAnsi="Times New Roman;sans-serif"/>
          <w:b w:val="false"/>
          <w:color w:val="000000"/>
          <w:sz w:val="22"/>
        </w:rPr>
        <w:t xml:space="preserve">means, as to any Lender at any time (and as the context requires, with respect to one or both Tranches),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(iv) the aggregate principal amount of all the portion of the Term Loan made by such Lender </w:t>
      </w:r>
      <w:r>
        <w:rPr>
          <w:rFonts w:ascii="Times New Roman;sans-serif" w:hAnsi="Times New Roman;sans-serif"/>
          <w:b w:val="false"/>
          <w:strike/>
          <w:color w:val="FF0000"/>
          <w:sz w:val="22"/>
        </w:rPr>
        <w:t>than</w:t>
      </w:r>
      <w:r>
        <w:rPr>
          <w:rFonts w:ascii="Times New Roman;sans-serif" w:hAnsi="Times New Roman;sans-serif"/>
          <w:b w:val="false"/>
          <w:color w:val="0000FF"/>
          <w:sz w:val="22"/>
          <w:u w:val="single"/>
        </w:rPr>
        <w:t>then</w:t>
      </w:r>
      <w:r>
        <w:rPr>
          <w:color w:val="000000"/>
        </w:rPr>
        <w:t xml:space="preserve"> </w:t>
      </w:r>
      <w:r>
        <w:rPr>
          <w:rFonts w:ascii="Times New Roman;sans-serif" w:hAnsi="Times New Roman;sans-serif"/>
          <w:b w:val="false"/>
          <w:color w:val="000000"/>
          <w:sz w:val="22"/>
        </w:rPr>
        <w:t>outstanding, and (v) the aggregate principal amount of all Incremental Term Loans made by such Lender then outstanding, or (b) the making of any Loan or participation in any Letter of Credit, or Swingline Loan by such Lender, as the context requires.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Facility</w:t>
      </w:r>
      <w:r>
        <w:rPr>
          <w:color w:val="000000"/>
        </w:rPr>
        <w:t xml:space="preserve">” </w:t>
      </w:r>
      <w:r>
        <w:rPr>
          <w:rFonts w:ascii="Times New Roman;sans-serif" w:hAnsi="Times New Roman;sans-serif"/>
          <w:b w:val="false"/>
          <w:color w:val="000000"/>
          <w:sz w:val="22"/>
        </w:rPr>
        <w:t>means the Dollar Tranche Revolving Credit Facility, the Designated Currency Tranche Revolving Credit Facility, the Term Loan Credit Facility, the Swingline Facility, the L/C Facility and the Incremental Term Loan Facility, as the context may require.</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226"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Facility Termination Date</w:t>
      </w:r>
      <w:r>
        <w:rPr>
          <w:color w:val="000000"/>
        </w:rPr>
        <w:t xml:space="preserve">” </w:t>
      </w:r>
      <w:r>
        <w:rPr>
          <w:rFonts w:ascii="Times New Roman;sans-serif" w:hAnsi="Times New Roman;sans-serif"/>
          <w:b w:val="false"/>
          <w:color w:val="000000"/>
          <w:sz w:val="22"/>
        </w:rPr>
        <w:t xml:space="preserve">means the date as of which all of the following shall have occurred: (a) the Commitments have terminated, (b) all Obligations have been paid in full (other than contingent </w:t>
      </w:r>
      <w:r>
        <w:rPr>
          <w:rFonts w:ascii="Times New Roman;sans-serif" w:hAnsi="Times New Roman;sans-serif"/>
          <w:b w:val="false"/>
          <w:strike/>
          <w:color w:val="FF0000"/>
          <w:sz w:val="22"/>
        </w:rPr>
        <w:t xml:space="preserve">indemnification </w:t>
      </w:r>
      <w:r>
        <w:rPr>
          <w:rFonts w:ascii="Times New Roman;sans-serif" w:hAnsi="Times New Roman;sans-serif"/>
          <w:b w:val="false"/>
          <w:color w:val="000000"/>
          <w:sz w:val="22"/>
        </w:rPr>
        <w:t>obligations</w:t>
      </w:r>
      <w:r>
        <w:rPr>
          <w:color w:val="0000FF"/>
          <w:u w:val="single"/>
        </w:rPr>
        <w:t xml:space="preserve"> </w:t>
      </w:r>
      <w:r>
        <w:rPr>
          <w:rFonts w:ascii="Times New Roman;sans-serif" w:hAnsi="Times New Roman;sans-serif"/>
          <w:b w:val="false"/>
          <w:color w:val="0000FF"/>
          <w:sz w:val="22"/>
          <w:u w:val="single"/>
        </w:rPr>
        <w:t>for which no claim has been asserted</w:t>
      </w:r>
      <w:r>
        <w:rPr>
          <w:rFonts w:ascii="Times New Roman;sans-serif" w:hAnsi="Times New Roman;sans-serif"/>
          <w:b w:val="false"/>
          <w:color w:val="000000"/>
          <w:sz w:val="22"/>
        </w:rPr>
        <w:t>), and (c) all Letters of Credit have terminated or expired (other than Letters of Credit as to which other arrangements with respect thereto satisfactory to the Administrative Agent and the applicable Issuing Lender shall have been made).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and any applicable intergovernmental agreements implementing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Federal Funds Rate</w:t>
      </w:r>
      <w:r>
        <w:rPr>
          <w:color w:val="000000"/>
        </w:rPr>
        <w:t xml:space="preserve">” </w:t>
      </w:r>
      <w:r>
        <w:rPr>
          <w:rFonts w:ascii="Times New Roman;sans-serif" w:hAnsi="Times New Roman;sans-serif"/>
          <w:b w:val="false"/>
          <w:color w:val="000000"/>
          <w:sz w:val="22"/>
          <w:shd w:fill="FFFFFF" w:val="clear"/>
        </w:rPr>
        <w:t xml:space="preserve">means, for any day, the rate per annum </w:t>
      </w:r>
      <w:r>
        <w:rPr>
          <w:rFonts w:ascii="Times New Roman;sans-serif" w:hAnsi="Times New Roman;sans-serif"/>
          <w:b w:val="false"/>
          <w:strike/>
          <w:color w:val="FF0000"/>
          <w:sz w:val="22"/>
        </w:rPr>
        <w:t>equal to the weighted average of the rates on overnight federal funds transactions with members of the Federal Reserve System, as published</w:t>
      </w:r>
      <w:r>
        <w:rPr>
          <w:rFonts w:ascii="Times New Roman;sans-serif" w:hAnsi="Times New Roman;sans-serif"/>
          <w:b w:val="false"/>
          <w:color w:val="0000FF"/>
          <w:sz w:val="22"/>
          <w:u w:val="single"/>
          <w:shd w:fill="FFFFFF" w:val="clear"/>
        </w:rPr>
        <w:t>calculated</w:t>
      </w:r>
      <w:r>
        <w:rPr>
          <w:color w:val="000000"/>
          <w:shd w:fill="FFFFFF" w:val="clear"/>
        </w:rPr>
        <w:t xml:space="preserve"> </w:t>
      </w:r>
      <w:r>
        <w:rPr>
          <w:rFonts w:ascii="Times New Roman;sans-serif" w:hAnsi="Times New Roman;sans-serif"/>
          <w:b w:val="false"/>
          <w:color w:val="000000"/>
          <w:sz w:val="22"/>
          <w:shd w:fill="FFFFFF" w:val="clear"/>
        </w:rPr>
        <w:t xml:space="preserve">by the Federal Reserve Bank of New York </w:t>
      </w:r>
      <w:r>
        <w:rPr>
          <w:rFonts w:ascii="Times New Roman;sans-serif" w:hAnsi="Times New Roman;sans-serif"/>
          <w:b w:val="false"/>
          <w:strike/>
          <w:color w:val="FF0000"/>
          <w:sz w:val="22"/>
        </w:rPr>
        <w:t xml:space="preserve">on the Business Day next succeeding such day; </w:t>
      </w: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that (a) if such day is not a Business Day, the Federal Funds Rate for such day shall be such rate on such transactions on the next preceding Business Day as so</w:t>
      </w:r>
      <w:r>
        <w:rPr>
          <w:rFonts w:ascii="Times New Roman;sans-serif" w:hAnsi="Times New Roman;sans-serif"/>
          <w:b w:val="false"/>
          <w:color w:val="0000FF"/>
          <w:sz w:val="22"/>
          <w:u w:val="single"/>
          <w:shd w:fill="FFFFFF" w:val="clear"/>
        </w:rPr>
        <w:t>based on such day’s federal funds transactions by depository institutions (as determined in such manner as the Federal Reserve Bank of New York shall set forth on its public website from time to time) and</w:t>
      </w:r>
      <w:r>
        <w:rPr>
          <w:color w:val="000000"/>
          <w:shd w:fill="FFFFFF" w:val="clear"/>
        </w:rPr>
        <w:t xml:space="preserve"> </w:t>
      </w:r>
      <w:r>
        <w:rPr>
          <w:rFonts w:ascii="Times New Roman;sans-serif" w:hAnsi="Times New Roman;sans-serif"/>
          <w:b w:val="false"/>
          <w:color w:val="000000"/>
          <w:sz w:val="22"/>
          <w:shd w:fill="FFFFFF" w:val="clear"/>
        </w:rPr>
        <w:t>published on the next succeeding Business Day</w:t>
      </w:r>
      <w:r>
        <w:rPr>
          <w:rFonts w:ascii="Times New Roman;sans-serif" w:hAnsi="Times New Roman;sans-serif"/>
          <w:b w:val="false"/>
          <w:strike/>
          <w:color w:val="FF0000"/>
          <w:sz w:val="22"/>
        </w:rPr>
        <w:t xml:space="preserve">, and (b) if no such rate is so published on such next succeeding Business Day, the </w:t>
      </w:r>
      <w:r>
        <w:rPr>
          <w:rFonts w:ascii="Times New Roman;sans-serif" w:hAnsi="Times New Roman;sans-serif"/>
          <w:b w:val="false"/>
          <w:color w:val="008000"/>
          <w:sz w:val="22"/>
          <w:u w:val="single"/>
          <w:shd w:fill="FFFFFF" w:val="clear"/>
        </w:rPr>
        <w:t xml:space="preserve">by the Federal Reserve Bank of New York </w:t>
      </w:r>
      <w:r>
        <w:rPr>
          <w:rFonts w:ascii="Times New Roman;sans-serif" w:hAnsi="Times New Roman;sans-serif"/>
          <w:b w:val="false"/>
          <w:color w:val="0000FF"/>
          <w:sz w:val="22"/>
          <w:u w:val="single"/>
          <w:shd w:fill="FFFFFF" w:val="clear"/>
        </w:rPr>
        <w:t xml:space="preserve">as the federal funds effective rate; provided that if the </w:t>
      </w:r>
      <w:r>
        <w:rPr>
          <w:rFonts w:ascii="Times New Roman;sans-serif" w:hAnsi="Times New Roman;sans-serif"/>
          <w:b w:val="false"/>
          <w:color w:val="000000"/>
          <w:sz w:val="22"/>
          <w:shd w:fill="FFFFFF" w:val="clear"/>
        </w:rPr>
        <w:t xml:space="preserve">Federal Funds Rate </w:t>
      </w:r>
      <w:r>
        <w:rPr>
          <w:rFonts w:ascii="Times New Roman;sans-serif" w:hAnsi="Times New Roman;sans-serif"/>
          <w:b w:val="false"/>
          <w:strike/>
          <w:color w:val="FF0000"/>
          <w:sz w:val="22"/>
        </w:rPr>
        <w:t xml:space="preserve">for such day shall be the average rate (rounded upward, if necessary, to a whole multiple of 1/100 of 1%) charged to Bank of America on such day on such transactions as </w:t>
      </w:r>
      <w:r>
        <w:rPr>
          <w:rFonts w:ascii="Times New Roman;sans-serif" w:hAnsi="Times New Roman;sans-serif"/>
          <w:b w:val="false"/>
          <w:strike/>
          <w:color w:val="008000"/>
          <w:sz w:val="22"/>
        </w:rPr>
        <w:t>determined by the Administrative Agent</w:t>
      </w:r>
      <w:r>
        <w:rPr>
          <w:rFonts w:ascii="Times New Roman;sans-serif" w:hAnsi="Times New Roman;sans-serif"/>
          <w:b w:val="false"/>
          <w:strike/>
          <w:color w:val="FF0000"/>
          <w:sz w:val="22"/>
        </w:rPr>
        <w:t xml:space="preserve">. </w:t>
      </w:r>
      <w:r>
        <w:rPr>
          <w:rFonts w:ascii="Times New Roman;sans-serif" w:hAnsi="Times New Roman;sans-serif"/>
          <w:b w:val="false"/>
          <w:color w:val="0000FF"/>
          <w:sz w:val="22"/>
          <w:u w:val="single"/>
          <w:shd w:fill="FFFFFF" w:val="clear"/>
        </w:rPr>
        <w:t>as so determined would be less than 0%, such rate shall be deemed to be 0% for purposes of this Agreement</w:t>
      </w:r>
      <w:r>
        <w:rPr>
          <w:rFonts w:ascii="Times New Roman;sans-serif" w:hAnsi="Times New Roman;sans-serif"/>
          <w:b w:val="false"/>
          <w:color w:val="0000FF"/>
          <w:sz w:val="22"/>
          <w:u w:val="single"/>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Fee Letters</w:t>
      </w:r>
      <w:r>
        <w:rPr>
          <w:color w:val="000000"/>
        </w:rPr>
        <w:t xml:space="preserve">” </w:t>
      </w:r>
      <w:r>
        <w:rPr>
          <w:rFonts w:ascii="Times New Roman;sans-serif" w:hAnsi="Times New Roman;sans-serif"/>
          <w:b w:val="false"/>
          <w:color w:val="000000"/>
          <w:sz w:val="22"/>
        </w:rPr>
        <w:t xml:space="preserve">means the Administrative Agent Fee Letter and the other fee letters executed by the Company in favor of each of the Arrangers, in each case, executed on or before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First Amendment Effective Date</w:t>
      </w:r>
      <w:r>
        <w:rPr>
          <w:color w:val="000000"/>
        </w:rPr>
        <w:t xml:space="preserve">” </w:t>
      </w:r>
      <w:r>
        <w:rPr>
          <w:rFonts w:ascii="Times New Roman;sans-serif" w:hAnsi="Times New Roman;sans-serif"/>
          <w:b w:val="false"/>
          <w:color w:val="000000"/>
          <w:sz w:val="22"/>
        </w:rPr>
        <w:t>means January 31, 2022.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Fiscal Year</w:t>
      </w:r>
      <w:r>
        <w:rPr>
          <w:color w:val="000000"/>
        </w:rPr>
        <w:t xml:space="preserve">” </w:t>
      </w:r>
      <w:r>
        <w:rPr>
          <w:rFonts w:ascii="Times New Roman;sans-serif" w:hAnsi="Times New Roman;sans-serif"/>
          <w:b w:val="false"/>
          <w:color w:val="000000"/>
          <w:sz w:val="22"/>
        </w:rPr>
        <w:t>means the fiscal year of the Company and its Restricted Subsidiaries ending on December 31.</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Foreign Currencies</w:t>
      </w:r>
      <w:r>
        <w:rPr>
          <w:strike/>
          <w:color w:val="FF0000"/>
        </w:rPr>
        <w:t xml:space="preserve">” </w:t>
      </w:r>
      <w:r>
        <w:rPr>
          <w:rFonts w:ascii="Times New Roman;sans-serif" w:hAnsi="Times New Roman;sans-serif"/>
          <w:b w:val="false"/>
          <w:strike/>
          <w:color w:val="FF0000"/>
          <w:sz w:val="22"/>
        </w:rPr>
        <w:t xml:space="preserve">means </w:t>
      </w:r>
      <w:r>
        <w:rPr>
          <w:rFonts w:ascii="Times New Roman;sans-serif" w:hAnsi="Times New Roman;sans-serif"/>
          <w:b w:val="false"/>
          <w:strike/>
          <w:color w:val="008000"/>
          <w:sz w:val="22"/>
        </w:rPr>
        <w:t xml:space="preserve">(i) euro, (ii) Pounds Sterling, (iii) Australian Dollars, (iv) New Zealand Dollars and (v) Canadian Dollars, together with each other currency (other than Dollars) that is approved in accordance with </w:t>
      </w:r>
      <w:r>
        <w:rPr>
          <w:rFonts w:ascii="Times New Roman;sans-serif" w:hAnsi="Times New Roman;sans-serif"/>
          <w:b w:val="false"/>
          <w:strike/>
          <w:color w:val="008000"/>
          <w:sz w:val="22"/>
          <w:u w:val="single"/>
        </w:rPr>
        <w:t>Section 1.9</w:t>
      </w:r>
      <w:r>
        <w:rPr>
          <w:rFonts w:ascii="Times New Roman;sans-serif" w:hAnsi="Times New Roman;sans-serif"/>
          <w:b w:val="false"/>
          <w:strike/>
          <w:color w:val="008000"/>
          <w:sz w:val="22"/>
        </w:rPr>
        <w:t xml:space="preserve">; </w:t>
      </w:r>
      <w:r>
        <w:rPr>
          <w:rFonts w:ascii="Times New Roman;sans-serif" w:hAnsi="Times New Roman;sans-serif"/>
          <w:b w:val="false"/>
          <w:strike/>
          <w:color w:val="008000"/>
          <w:sz w:val="22"/>
          <w:u w:val="single"/>
        </w:rPr>
        <w:t>provided</w:t>
      </w:r>
      <w:r>
        <w:rPr>
          <w:strike/>
          <w:color w:val="008000"/>
        </w:rPr>
        <w:t xml:space="preserve"> </w:t>
      </w:r>
      <w:r>
        <w:rPr>
          <w:rFonts w:ascii="Times New Roman;sans-serif" w:hAnsi="Times New Roman;sans-serif"/>
          <w:b w:val="false"/>
          <w:strike/>
          <w:color w:val="008000"/>
          <w:sz w:val="22"/>
        </w:rPr>
        <w:t xml:space="preserve">that each </w:t>
      </w:r>
      <w:r>
        <w:rPr>
          <w:rFonts w:ascii="Times New Roman;sans-serif" w:hAnsi="Times New Roman;sans-serif"/>
          <w:b w:val="false"/>
          <w:strike/>
          <w:color w:val="FF0000"/>
          <w:sz w:val="22"/>
        </w:rPr>
        <w:t xml:space="preserve">Foreign Currency is </w:t>
      </w:r>
      <w:r>
        <w:rPr>
          <w:rFonts w:ascii="Times New Roman;sans-serif" w:hAnsi="Times New Roman;sans-serif"/>
          <w:b w:val="false"/>
          <w:strike/>
          <w:color w:val="008000"/>
          <w:sz w:val="22"/>
        </w:rPr>
        <w:t xml:space="preserve">readily available, freely transferable and convertible into Dollars in the international interbank market available to the Lenders in such market and as to which a Dollar Amount may be readily calculated. If, after the designation by the Lenders of any currency as a </w:t>
      </w:r>
      <w:r>
        <w:rPr>
          <w:rFonts w:ascii="Times New Roman;sans-serif" w:hAnsi="Times New Roman;sans-serif"/>
          <w:b w:val="false"/>
          <w:strike/>
          <w:color w:val="FF0000"/>
          <w:sz w:val="22"/>
        </w:rPr>
        <w:t>Foreign Currency, (</w:t>
      </w:r>
      <w:r>
        <w:rPr>
          <w:rFonts w:ascii="Times New Roman;sans-serif" w:hAnsi="Times New Roman;sans-serif"/>
          <w:b w:val="false"/>
          <w:strike/>
          <w:color w:val="008000"/>
          <w:sz w:val="22"/>
        </w:rPr>
        <w:t xml:space="preserve">1)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 </w:t>
      </w:r>
      <w:r>
        <w:rPr>
          <w:rFonts w:ascii="Times New Roman;sans-serif" w:hAnsi="Times New Roman;sans-serif"/>
          <w:b w:val="false"/>
          <w:strike/>
          <w:color w:val="FF0000"/>
          <w:sz w:val="22"/>
        </w:rPr>
        <w:t xml:space="preserve">Foreign </w:t>
      </w:r>
      <w:r>
        <w:rPr>
          <w:rFonts w:ascii="Times New Roman;sans-serif" w:hAnsi="Times New Roman;sans-serif"/>
          <w:b w:val="false"/>
          <w:strike/>
          <w:color w:val="008000"/>
          <w:sz w:val="22"/>
        </w:rPr>
        <w:t xml:space="preserve">Currency) or the applicable Issuing Lender (in the case of any Letter of Credit to be denominated in a </w:t>
      </w:r>
      <w:r>
        <w:rPr>
          <w:rFonts w:ascii="Times New Roman;sans-serif" w:hAnsi="Times New Roman;sans-serif"/>
          <w:b w:val="false"/>
          <w:strike/>
          <w:color w:val="FF0000"/>
          <w:sz w:val="22"/>
        </w:rPr>
        <w:t>Foreign Currency</w:t>
      </w:r>
      <w:r>
        <w:rPr>
          <w:rFonts w:ascii="Times New Roman;sans-serif" w:hAnsi="Times New Roman;sans-serif"/>
          <w:b w:val="false"/>
          <w:strike/>
          <w:color w:val="008000"/>
          <w:sz w:val="22"/>
        </w:rPr>
        <w:t>), (a) such currency no longer being readily available, freely transferable and convertible into Dollars, (b) a Dollar Amount is no longer readily calculable with respect to such currency, (c) providing such currency is impracticable for the Lenders or (d) no longer a currency in which the Required Lenders are willing to make such Extensions of Credit (each of (a), (b), (c), and (d) a “</w:t>
      </w:r>
      <w:r>
        <w:rPr>
          <w:rFonts w:ascii="Times New Roman;sans-serif" w:hAnsi="Times New Roman;sans-serif"/>
          <w:b w:val="false"/>
          <w:strike/>
          <w:color w:val="008000"/>
          <w:sz w:val="22"/>
          <w:u w:val="single"/>
        </w:rPr>
        <w:t>Disqualifying Event</w:t>
      </w:r>
      <w:r>
        <w:rPr>
          <w:strike/>
          <w:color w:val="008000"/>
        </w:rPr>
        <w:t>”</w:t>
      </w:r>
      <w:r>
        <w:rPr>
          <w:rFonts w:ascii="Times New Roman;sans-serif" w:hAnsi="Times New Roman;sans-serif"/>
          <w:b w:val="false"/>
          <w:strike/>
          <w:color w:val="008000"/>
          <w:sz w:val="22"/>
        </w:rPr>
        <w:t xml:space="preserve">) and (2) </w:t>
      </w:r>
      <w:r>
        <w:rPr>
          <w:rFonts w:ascii="Times New Roman;sans-serif" w:hAnsi="Times New Roman;sans-serif"/>
          <w:b w:val="false"/>
          <w:strike/>
          <w:color w:val="FF0000"/>
          <w:sz w:val="22"/>
        </w:rPr>
        <w:t xml:space="preserve">solely </w:t>
      </w:r>
      <w:r>
        <w:rPr>
          <w:rFonts w:ascii="Times New Roman;sans-serif" w:hAnsi="Times New Roman;sans-serif"/>
          <w:b w:val="false"/>
          <w:strike/>
          <w:color w:val="008000"/>
          <w:sz w:val="22"/>
        </w:rPr>
        <w:t xml:space="preserve">in the case of the </w:t>
      </w:r>
      <w:r>
        <w:rPr>
          <w:rFonts w:ascii="Times New Roman;sans-serif" w:hAnsi="Times New Roman;sans-serif"/>
          <w:b w:val="false"/>
          <w:strike/>
          <w:color w:val="FF0000"/>
          <w:sz w:val="22"/>
        </w:rPr>
        <w:t xml:space="preserve">currencies identified in (i) through (v) above, </w:t>
      </w:r>
      <w:r>
        <w:rPr>
          <w:rFonts w:ascii="Times New Roman;sans-serif" w:hAnsi="Times New Roman;sans-serif"/>
          <w:b w:val="false"/>
          <w:strike/>
          <w:color w:val="008000"/>
          <w:sz w:val="22"/>
        </w:rPr>
        <w:t xml:space="preserve">it is the general practice of the Administrative Agent or the applicable Issuing Lender to cease making Loans or issuing Letters of Credit in such currency to borrowers similarly situated in similar circumstances under comparable provisions of other credit agreements, then the Administrative Agent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22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008000"/>
          <w:sz w:val="22"/>
        </w:rPr>
        <w:t xml:space="preserve">promptly notify the Lenders and the Company, and such country’s currency shall no longer be a </w:t>
      </w:r>
      <w:r>
        <w:rPr>
          <w:rFonts w:ascii="Times New Roman;sans-serif" w:hAnsi="Times New Roman;sans-serif"/>
          <w:b w:val="false"/>
          <w:strike/>
          <w:color w:val="FF0000"/>
          <w:sz w:val="22"/>
        </w:rPr>
        <w:t xml:space="preserve">Foreign </w:t>
      </w:r>
      <w:r>
        <w:rPr>
          <w:rFonts w:ascii="Times New Roman;sans-serif" w:hAnsi="Times New Roman;sans-serif"/>
          <w:b w:val="false"/>
          <w:strike/>
          <w:color w:val="008000"/>
          <w:sz w:val="22"/>
        </w:rPr>
        <w:t>Currency until such time as the Disqualifying Event(s) no longer exist. Within five (5) Business Days after receipt of such notice from the Administrative Agent, the Borrowers shall repay all Loans in such currency to which the Disqualifying Event applies or convert such Loans into the Dollar Amount of Loans in Dollars</w:t>
      </w:r>
      <w:r>
        <w:rPr>
          <w:rFonts w:ascii="Times New Roman;sans-serif" w:hAnsi="Times New Roman;sans-serif"/>
          <w:b w:val="false"/>
          <w:strike/>
          <w:color w:val="FF0000"/>
          <w:sz w:val="22"/>
        </w:rPr>
        <w:t>, subject to the other terms contained 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strike/>
          <w:color w:val="FF0000"/>
          <w:sz w:val="22"/>
          <w:u w:val="single"/>
        </w:rPr>
        <w:t>Foreign Currency Successor Rate</w:t>
      </w:r>
      <w:r>
        <w:rPr>
          <w:rFonts w:ascii="Times New Roman;sans-serif" w:hAnsi="Times New Roman;sans-serif"/>
          <w:b w:val="false"/>
          <w:color w:val="0000FF"/>
          <w:sz w:val="22"/>
          <w:u w:val="single"/>
        </w:rPr>
        <w:t>Fixed Incremental Revolving Amount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 xml:space="preserve">Section </w:t>
      </w:r>
      <w:r>
        <w:rPr>
          <w:rFonts w:ascii="Times New Roman;sans-serif" w:hAnsi="Times New Roman;sans-serif"/>
          <w:b w:val="false"/>
          <w:strike/>
          <w:color w:val="FF0000"/>
          <w:sz w:val="22"/>
          <w:u w:val="single"/>
        </w:rPr>
        <w:t>4.8</w:t>
      </w:r>
      <w:r>
        <w:rPr>
          <w:rFonts w:ascii="Times New Roman;sans-serif" w:hAnsi="Times New Roman;sans-serif"/>
          <w:b w:val="false"/>
          <w:color w:val="0000FF"/>
          <w:sz w:val="22"/>
          <w:u w:val="single"/>
        </w:rPr>
        <w:t>2.8</w:t>
      </w:r>
      <w:r>
        <w:rPr>
          <w:rFonts w:ascii="Times New Roman;sans-serif" w:hAnsi="Times New Roman;sans-serif"/>
          <w:b w:val="false"/>
          <w:color w:val="000000"/>
          <w:sz w:val="22"/>
          <w:u w:val="single"/>
        </w:rPr>
        <w:t>(c)</w:t>
      </w:r>
      <w:r>
        <w:rPr>
          <w:rFonts w:ascii="Times New Roman;sans-serif" w:hAnsi="Times New Roman;sans-serif"/>
          <w:b w:val="false"/>
          <w:color w:val="0000FF"/>
          <w:sz w:val="22"/>
          <w:u w:val="single"/>
        </w:rPr>
        <w:t>(v)</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Fixed Incremental Term Loan Amount</w:t>
      </w:r>
      <w:r>
        <w:rPr>
          <w:color w:val="008000"/>
          <w:u w:val="single"/>
        </w:rPr>
        <w:t xml:space="preserve">” </w:t>
      </w:r>
      <w:r>
        <w:rPr>
          <w:rFonts w:ascii="Times New Roman;sans-serif" w:hAnsi="Times New Roman;sans-serif"/>
          <w:b w:val="false"/>
          <w:color w:val="008000"/>
          <w:sz w:val="22"/>
          <w:u w:val="single"/>
        </w:rPr>
        <w:t xml:space="preserve">has the meaning assigned to such term in Section </w:t>
      </w:r>
      <w:r>
        <w:rPr>
          <w:rFonts w:ascii="Times New Roman;sans-serif" w:hAnsi="Times New Roman;sans-serif"/>
          <w:b w:val="false"/>
          <w:color w:val="0000FF"/>
          <w:sz w:val="22"/>
          <w:u w:val="single"/>
        </w:rPr>
        <w:t>2.9(c)(v).</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 Lender that is not a U.S.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Obligor</w:t>
      </w:r>
      <w:r>
        <w:rPr>
          <w:color w:val="000000"/>
        </w:rPr>
        <w:t xml:space="preserve">” </w:t>
      </w:r>
      <w:r>
        <w:rPr>
          <w:rFonts w:ascii="Times New Roman;sans-serif" w:hAnsi="Times New Roman;sans-serif"/>
          <w:b w:val="false"/>
          <w:color w:val="000000"/>
          <w:sz w:val="22"/>
        </w:rPr>
        <w:t>means a Credit Party that is a Foreign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 xml:space="preserve">means any </w:t>
      </w:r>
      <w:r>
        <w:rPr>
          <w:rFonts w:ascii="Times New Roman;sans-serif" w:hAnsi="Times New Roman;sans-serif"/>
          <w:b w:val="false"/>
          <w:color w:val="0000FF"/>
          <w:sz w:val="22"/>
          <w:u w:val="single"/>
        </w:rPr>
        <w:t xml:space="preserve">(a) </w:t>
      </w:r>
      <w:r>
        <w:rPr>
          <w:rFonts w:ascii="Times New Roman;sans-serif" w:hAnsi="Times New Roman;sans-serif"/>
          <w:b w:val="false"/>
          <w:color w:val="000000"/>
          <w:sz w:val="22"/>
        </w:rPr>
        <w:t>Subsidiary that is not a Domestic Subsidiary</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u w:val="single"/>
        </w:rPr>
        <w:t>, (b)</w:t>
      </w:r>
      <w:r>
        <w:rPr>
          <w:color w:val="000000"/>
        </w:rPr>
        <w:t xml:space="preserve"> </w:t>
      </w:r>
      <w:r>
        <w:rPr>
          <w:rFonts w:ascii="Times New Roman;sans-serif" w:hAnsi="Times New Roman;sans-serif"/>
          <w:b w:val="false"/>
          <w:color w:val="000000"/>
          <w:sz w:val="22"/>
        </w:rPr>
        <w:t>any Excluded Domestic Subsidiary</w:t>
      </w:r>
      <w:r>
        <w:rPr>
          <w:color w:val="0000FF"/>
          <w:u w:val="single"/>
        </w:rPr>
        <w:t xml:space="preserve"> </w:t>
      </w:r>
      <w:r>
        <w:rPr>
          <w:rFonts w:ascii="Times New Roman;sans-serif" w:hAnsi="Times New Roman;sans-serif"/>
          <w:b w:val="false"/>
          <w:color w:val="0000FF"/>
          <w:sz w:val="22"/>
          <w:u w:val="single"/>
        </w:rPr>
        <w:t>and (c) any Subsidiary of any Subsidiary described in clauses (a) or (b) of this defintion</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Fronting Exposure</w:t>
      </w:r>
      <w:r>
        <w:rPr>
          <w:color w:val="000000"/>
        </w:rPr>
        <w:t xml:space="preserve">” </w:t>
      </w:r>
      <w:r>
        <w:rPr>
          <w:rFonts w:ascii="Times New Roman;sans-serif" w:hAnsi="Times New Roman;sans-serif"/>
          <w:b w:val="false"/>
          <w:color w:val="000000"/>
          <w:sz w:val="22"/>
        </w:rPr>
        <w:t>means, at any time there is a Defaulting Lender, (a) with respect to an Issuing Lender, such Defaulting Lender’s Applicable Percentage of the outstanding L/C Obligations with respect to Letters of Credit issued by such Issuing Lender under such Defaulting Lender’s Tranche, other than L/C Obligations as to which such Defaulting Lender’s participation obligation has been reallocated to other Lenders under such Tranche or Cash Collateralized in accordance with the terms hereof, and (b) with respect to the Swingline Lender, such Defaulting Lender’s Applicable Percentage of outstanding Swingline Loans made by the Swingline Lender under the Dollar Tranche, other than Swingline Loans as to which such Defaulting Lender’s participation obligation has been reallocated to other Lenders or Cash Collateralized in accordance with the terms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 xml:space="preserve">means generally accepted accounting principles, as recognized by the American Institute of Certified Public Accountants and the Financial Accounting Standards Board, consistently applied and maintained on a consistent basis for the Company and its Restricted Subsidiaries throughout the period indicated and (subject to </w:t>
      </w:r>
      <w:r>
        <w:rPr>
          <w:rFonts w:ascii="Times New Roman;sans-serif" w:hAnsi="Times New Roman;sans-serif"/>
          <w:b w:val="false"/>
          <w:color w:val="000000"/>
          <w:sz w:val="22"/>
          <w:u w:val="single"/>
        </w:rPr>
        <w:t>Section 1.3)</w:t>
      </w:r>
      <w:r>
        <w:rPr>
          <w:color w:val="000000"/>
        </w:rPr>
        <w:t xml:space="preserve"> </w:t>
      </w:r>
      <w:r>
        <w:rPr>
          <w:rFonts w:ascii="Times New Roman;sans-serif" w:hAnsi="Times New Roman;sans-serif"/>
          <w:b w:val="false"/>
          <w:color w:val="000000"/>
          <w:sz w:val="22"/>
        </w:rPr>
        <w:t>consistent with the prior financial practice of the Company and its Restricted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Governmental Approvals</w:t>
      </w:r>
      <w:r>
        <w:rPr>
          <w:color w:val="000000"/>
        </w:rPr>
        <w:t xml:space="preserve">” </w:t>
      </w:r>
      <w:r>
        <w:rPr>
          <w:rFonts w:ascii="Times New Roman;sans-serif" w:hAnsi="Times New Roman;sans-serif"/>
          <w:b w:val="false"/>
          <w:color w:val="000000"/>
          <w:sz w:val="22"/>
        </w:rPr>
        <w:t>means all authorizations, consents, approvals, permits, licenses and exemptions of, registrations and filings with, and reports to, all Governmental Authorities.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 or the European Central Bank).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 xml:space="preserve">” </w:t>
      </w:r>
      <w:r>
        <w:rPr>
          <w:rFonts w:ascii="Times New Roman;sans-serif" w:hAnsi="Times New Roman;sans-serif"/>
          <w:b w:val="false"/>
          <w:color w:val="000000"/>
          <w:sz w:val="22"/>
        </w:rPr>
        <w:t xml:space="preserve">means, collectively, (a) each Material Domestic Subsidiary of the Company in existence on the Closing Date, (b) each Material Domestic Subsidiary of the Company which becomes a party to a Guaranty Agreement pursuant to </w:t>
      </w:r>
      <w:r>
        <w:rPr>
          <w:rFonts w:ascii="Times New Roman;sans-serif" w:hAnsi="Times New Roman;sans-serif"/>
          <w:b w:val="false"/>
          <w:color w:val="000000"/>
          <w:sz w:val="22"/>
          <w:u w:val="single"/>
        </w:rPr>
        <w:t>Section 8.11</w:t>
      </w:r>
      <w:r>
        <w:rPr>
          <w:color w:val="000000"/>
        </w:rPr>
        <w:t xml:space="preserve"> </w:t>
      </w:r>
      <w:r>
        <w:rPr>
          <w:rFonts w:ascii="Times New Roman;sans-serif" w:hAnsi="Times New Roman;sans-serif"/>
          <w:b w:val="false"/>
          <w:color w:val="000000"/>
          <w:sz w:val="22"/>
        </w:rPr>
        <w:t xml:space="preserve">and (c) with respect to (i) any Hedging Obligations between any </w:t>
      </w:r>
      <w:r>
        <w:rPr>
          <w:rFonts w:ascii="Times New Roman;sans-serif" w:hAnsi="Times New Roman;sans-serif"/>
          <w:b w:val="false"/>
          <w:strike/>
          <w:color w:val="FF0000"/>
          <w:sz w:val="22"/>
        </w:rPr>
        <w:t>Credit Party (other than the Company)</w:t>
      </w:r>
      <w:r>
        <w:rPr>
          <w:rFonts w:ascii="Times New Roman;sans-serif" w:hAnsi="Times New Roman;sans-serif"/>
          <w:b w:val="false"/>
          <w:color w:val="0000FF"/>
          <w:sz w:val="22"/>
          <w:u w:val="single"/>
        </w:rPr>
        <w:t>Restricted Subsidiary</w:t>
      </w:r>
      <w:r>
        <w:rPr>
          <w:color w:val="000000"/>
        </w:rPr>
        <w:t xml:space="preserve"> </w:t>
      </w:r>
      <w:r>
        <w:rPr>
          <w:rFonts w:ascii="Times New Roman;sans-serif" w:hAnsi="Times New Roman;sans-serif"/>
          <w:b w:val="false"/>
          <w:color w:val="000000"/>
          <w:sz w:val="22"/>
        </w:rPr>
        <w:t xml:space="preserve">and any Lender or an Affiliate of a Lender and any Bank Product Debt owing by any </w:t>
      </w:r>
      <w:r>
        <w:rPr>
          <w:rFonts w:ascii="Times New Roman;sans-serif" w:hAnsi="Times New Roman;sans-serif"/>
          <w:b w:val="false"/>
          <w:strike/>
          <w:color w:val="FF0000"/>
          <w:sz w:val="22"/>
        </w:rPr>
        <w:t>Credit Party (other than the Company)</w:t>
      </w:r>
      <w:r>
        <w:rPr>
          <w:rFonts w:ascii="Times New Roman;sans-serif" w:hAnsi="Times New Roman;sans-serif"/>
          <w:b w:val="false"/>
          <w:color w:val="0000FF"/>
          <w:sz w:val="22"/>
          <w:u w:val="single"/>
        </w:rPr>
        <w:t>Restricted Subsidiary</w:t>
      </w:r>
      <w:r>
        <w:rPr>
          <w:rFonts w:ascii="Times New Roman;sans-serif" w:hAnsi="Times New Roman;sans-serif"/>
          <w:b w:val="false"/>
          <w:color w:val="000000"/>
          <w:sz w:val="22"/>
        </w:rPr>
        <w:t xml:space="preserve">, the Company and each Subsidiary Borrower that is a Domestic Subsidiary and (ii) the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228"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performance by each Specified Credit Party of its obligations under its Guaranty Agreement with respect to all Hedging Obligations,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Guaranty Agreement</w:t>
      </w:r>
      <w:r>
        <w:rPr>
          <w:color w:val="000000"/>
        </w:rPr>
        <w:t xml:space="preserve">” </w:t>
      </w:r>
      <w:r>
        <w:rPr>
          <w:rFonts w:ascii="Times New Roman;sans-serif" w:hAnsi="Times New Roman;sans-serif"/>
          <w:b w:val="false"/>
          <w:color w:val="000000"/>
          <w:sz w:val="22"/>
        </w:rPr>
        <w:t xml:space="preserve">means the amended and restated unconditional guaranty agreement made by the Guarantors in favor of the Administrative Agent for the ratable benefit of itself and the Lenders, substantially in the form of </w:t>
      </w:r>
      <w:r>
        <w:rPr>
          <w:rFonts w:ascii="Times New Roman;sans-serif" w:hAnsi="Times New Roman;sans-serif"/>
          <w:b/>
          <w:i/>
          <w:color w:val="000000"/>
          <w:sz w:val="22"/>
        </w:rPr>
        <w:t>Exhibit H</w:t>
      </w:r>
      <w:r>
        <w:rPr>
          <w:rFonts w:ascii="Times New Roman;sans-serif" w:hAnsi="Times New Roman;sans-serif"/>
          <w:b w:val="false"/>
          <w:color w:val="000000"/>
          <w:sz w:val="22"/>
        </w:rPr>
        <w:t>,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Guaranty Obligation</w:t>
      </w:r>
      <w:r>
        <w:rPr>
          <w:color w:val="000000"/>
        </w:rPr>
        <w:t xml:space="preserve">” </w:t>
      </w:r>
      <w:r>
        <w:rPr>
          <w:rFonts w:ascii="Times New Roman;sans-serif" w:hAnsi="Times New Roman;sans-serif"/>
          <w:b w:val="false"/>
          <w:color w:val="000000"/>
          <w:sz w:val="22"/>
        </w:rPr>
        <w:t xml:space="preserve">means, with respect to the Company and its Restricted Subsidiaries, without duplication, any obligation, contingent or otherwise, of any such Person pursuant to which such Person has directly or indirectly guaranteed any Indebtedness or other obligation of any other Person and, without limiting the generality of the foregoing, any obligation, direct or indirect, contingent or otherwise, of any such Person (a) to purchase or pay (or advance or supply funds for the purchase or payment of) such Indebtedness or other obligation (whether arising by virtue of partnership arrangements, by agreement to keep well, to purchase assets, goods, securities or services or to take-or-pay, or to maintain financial statement condition or otherwise) or (b) entered into for the purpose of assuring in any other manner the obligee of such Indebtedness or other obligation of the payment thereof or to protect such obligee against loss in respect thereof (in whole or in part);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term Guaranty Obligation shall not include (i) endorsements for collection or deposit in the ordinary course of business or (ii) the Company’s obligations pursuant to the Equity Contribution Agreement, dated as of August 13, 2020 among the Company, BBHQ1, LLC, BB Real Property Development, LLC, and Wells Fargo Bank Northwest, National Association, as trustee, as in effect on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any substances or materials (a) which are or become defined as hazardous wastes, hazardous substances, pollutants, contaminants or toxic substances under any 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(d) the discharge or emission or release of which requires a permit or license under any Environmental Law or other Governmental Approval, or (e) which contain, without limitation, asbestos, polychlorinated biphenyls, urea formaldehyde foam insulation, petroleum hydrocarbons, petroleum derived substances or waste, crude oil, nuclear fuel, natural gas or synthetic gas.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Hedging Agreement</w:t>
      </w:r>
      <w:r>
        <w:rPr>
          <w:color w:val="000000"/>
        </w:rPr>
        <w:t xml:space="preserve">” </w:t>
      </w:r>
      <w:r>
        <w:rPr>
          <w:rFonts w:ascii="Times New Roman;sans-serif" w:hAnsi="Times New Roman;sans-serif"/>
          <w:b w:val="false"/>
          <w:color w:val="000000"/>
          <w:sz w:val="22"/>
        </w:rPr>
        <w:t>means any agreement with respect to any Interest Rate Contract, forward rate agreement, commodity swap, forward foreign exchange agreement, currency swap agreement, cross-currency rate swap agreement, currency option agreement or other agreement or arrangement designed to alter the risks of any Person arising from fluctuations in interest rates, currency values or commodity prices, all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Hedging Obligations</w:t>
      </w:r>
      <w:r>
        <w:rPr>
          <w:color w:val="000000"/>
        </w:rPr>
        <w:t xml:space="preserve">” </w:t>
      </w:r>
      <w:r>
        <w:rPr>
          <w:rFonts w:ascii="Times New Roman;sans-serif" w:hAnsi="Times New Roman;sans-serif"/>
          <w:b w:val="false"/>
          <w:color w:val="000000"/>
          <w:sz w:val="22"/>
        </w:rPr>
        <w:t xml:space="preserve">means all existing or future payment and other obligations owing by a Credit Party </w:t>
      </w:r>
      <w:r>
        <w:rPr>
          <w:rFonts w:ascii="Times New Roman;sans-serif" w:hAnsi="Times New Roman;sans-serif"/>
          <w:b w:val="false"/>
          <w:color w:val="0000FF"/>
          <w:sz w:val="22"/>
          <w:u w:val="single"/>
        </w:rPr>
        <w:t xml:space="preserve">or a Restricted Subsidiary </w:t>
      </w:r>
      <w:r>
        <w:rPr>
          <w:rFonts w:ascii="Times New Roman;sans-serif" w:hAnsi="Times New Roman;sans-serif"/>
          <w:b w:val="false"/>
          <w:color w:val="000000"/>
          <w:sz w:val="22"/>
        </w:rPr>
        <w:t>under any Hedging Agreement (which such Hedging Agreement is permitted hereunder) with any Person that is a Lender or an Affiliate of a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Honor Date</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2.3(c)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IFRS</w:t>
      </w:r>
      <w:r>
        <w:rPr>
          <w:color w:val="000000"/>
        </w:rPr>
        <w:t xml:space="preserve">” </w:t>
      </w:r>
      <w:r>
        <w:rPr>
          <w:rFonts w:ascii="Times New Roman;sans-serif" w:hAnsi="Times New Roman;sans-serif"/>
          <w:b w:val="false"/>
          <w:color w:val="000000"/>
          <w:sz w:val="22"/>
        </w:rPr>
        <w:t>means international accounting standards within the meaning of IAS Regulation 1606/2002 to the extent applicable to the relevant financial statements delivered under or referred to 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Increasing Revolving Lenders</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Lenders</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22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Loan Commitment</w:t>
      </w:r>
      <w:r>
        <w:rPr>
          <w:color w:val="000000"/>
        </w:rPr>
        <w:t xml:space="preserve">” </w:t>
      </w:r>
      <w:r>
        <w:rPr>
          <w:rFonts w:ascii="Times New Roman;sans-serif" w:hAnsi="Times New Roman;sans-serif"/>
          <w:b w:val="false"/>
          <w:color w:val="000000"/>
          <w:sz w:val="22"/>
        </w:rPr>
        <w:t xml:space="preserve">means (a) as to any Incremental Term Lender, the obligation of such Incremental Term Lender to make an Incremental Term Loan to or for the account of a Borrower in accordance with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 xml:space="preserve">and (b) as to all Incremental Term Lenders, the aggregate commitment of all Incremental Term Lenders to make Incremental Term Loans in accordance with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Loan Effective Date</w:t>
      </w:r>
      <w:r>
        <w:rPr>
          <w:color w:val="000000"/>
        </w:rPr>
        <w:t xml:space="preserve">” </w:t>
      </w:r>
      <w:r>
        <w:rPr>
          <w:rFonts w:ascii="Times New Roman;sans-serif" w:hAnsi="Times New Roman;sans-serif"/>
          <w:b w:val="false"/>
          <w:color w:val="000000"/>
          <w:sz w:val="22"/>
        </w:rPr>
        <w:t xml:space="preserve">means the date, which shall be a Business Day, on or before the Maturity Date, but no earlier than thirty (30) days after any Incremental Term Loan Notification Date (unless a shorter period is agreed to by all the affected Incremental Term Lenders), on which each of the Incremental Term Lenders makes Incremental Term Loans to a Borrower pursuant to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Loan Facility</w:t>
      </w:r>
      <w:r>
        <w:rPr>
          <w:color w:val="000000"/>
        </w:rPr>
        <w:t xml:space="preserve">” </w:t>
      </w:r>
      <w:r>
        <w:rPr>
          <w:rFonts w:ascii="Times New Roman;sans-serif" w:hAnsi="Times New Roman;sans-serif"/>
          <w:b w:val="false"/>
          <w:color w:val="000000"/>
          <w:sz w:val="22"/>
        </w:rPr>
        <w:t xml:space="preserve">means the incremental term loan facility established pursuant to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Loan Note</w:t>
      </w:r>
      <w:r>
        <w:rPr>
          <w:color w:val="000000"/>
        </w:rPr>
        <w:t xml:space="preserve">” </w:t>
      </w:r>
      <w:r>
        <w:rPr>
          <w:rFonts w:ascii="Times New Roman;sans-serif" w:hAnsi="Times New Roman;sans-serif"/>
          <w:b w:val="false"/>
          <w:color w:val="000000"/>
          <w:sz w:val="22"/>
        </w:rPr>
        <w:t>means a promissory note made by a Borrower in favor of an Incremental Term Lender evidencing the Incremental Term Loans made by such Incremental Term Lender, and any amendments, supplements and modifications thereto, any substitutes therefor, and any replacements, restatements, renewals or extension thereof, in whole or in part.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Loan Notification</w:t>
      </w:r>
      <w:r>
        <w:rPr>
          <w:color w:val="000000"/>
        </w:rPr>
        <w:t xml:space="preserve">” </w:t>
      </w:r>
      <w:r>
        <w:rPr>
          <w:rFonts w:ascii="Times New Roman;sans-serif" w:hAnsi="Times New Roman;sans-serif"/>
          <w:b w:val="false"/>
          <w:color w:val="000000"/>
          <w:sz w:val="22"/>
        </w:rPr>
        <w:t xml:space="preserve">means the written notice by the Company of its request to borrow Incremental Term Loans pursuant to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Loan Notification Date</w:t>
      </w:r>
      <w:r>
        <w:rPr>
          <w:color w:val="000000"/>
        </w:rPr>
        <w:t xml:space="preserve">” </w:t>
      </w:r>
      <w:r>
        <w:rPr>
          <w:rFonts w:ascii="Times New Roman;sans-serif" w:hAnsi="Times New Roman;sans-serif"/>
          <w:b w:val="false"/>
          <w:color w:val="000000"/>
          <w:sz w:val="22"/>
        </w:rPr>
        <w:t>means the date on which the Incremental Term Loan Notification is received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Loan Percentage</w:t>
      </w:r>
      <w:r>
        <w:rPr>
          <w:color w:val="000000"/>
        </w:rPr>
        <w:t xml:space="preserve">” </w:t>
      </w:r>
      <w:r>
        <w:rPr>
          <w:rFonts w:ascii="Times New Roman;sans-serif" w:hAnsi="Times New Roman;sans-serif"/>
          <w:b w:val="false"/>
          <w:color w:val="000000"/>
          <w:sz w:val="22"/>
        </w:rPr>
        <w:t>means, as to any Incremental Term Lender at any time, the ratio of (a) the amount of the Incremental Term Loan Commitment of such Incremental Term Lender to (b) the Incremental Term Loan Commitments of all Incremental Term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Incremental Term Loans</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with respect to the Company and its Restricted Subsidiaries at any date and without duplication, the sum of the following calculated in accordance with GAAP:</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all liabilities, obligations and indebtedness for borrowed money including, but not limited to, obligations evidenced by bonds, debentures, notes or other similar instruments of any such Person;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all obligations to pay the deferred purchase price of property or services of any such Person (including, without limitation, all obligations under non-competition, earn-out or similar agreements), except trade payables arising in the ordinary course of business not more than one hundred eighty (180) days past due or that are currently being contested in good faith by appropriate proceedings and with respect to which reserves in conformity with GAAP have been provided for on the books of the applicable Person;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Attributable Indebtedness of such Person with respect to such Person’s obligations in respect of Capital Leases and Synthetic Leases (regardless of whether accounted for as indebtedness under GAAP);</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all Indebtedness of any other Person secured by a Lien on any asset owned or being purchased by the Company or any of its Restricted Subsidiaries (including indebtedness arising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23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under conditional sales or other title retention agreements except trade payables arising in the ordinary course of business not more than one hundred eighty (180) days past due), whether or not such indebtedness shall have been assumed by the Company or any of its Restricted Subsidiaries or is limited in recourse;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all Guaranty Obligations of any such Person;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all obligations, contingent or otherwise, of any such Person relative to the face amount of letters of credit, whether or not drawn, including, without limitation, any Reimbursement Obligation, and banker’s acceptances issued for the account of any such Person;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all mandatory obligations of any such Person to redeem, repurchase, exchange, defease or otherwise make payments in respect of Disqualified Capital Stock of such Person;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all net obligations incurred by any such Person pursuant to Hedging Agreements;</w:t>
      </w:r>
    </w:p>
    <w:p>
      <w:pPr>
        <w:pStyle w:val="TextBody"/>
        <w:bidi w:val="0"/>
        <w:spacing w:lineRule="auto" w:line="288"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obligations in respect of Hedging Agreements shall be included in any determination of the Company’s and its Restricted Subsidiaries’ compliance with Article IX hereof. For the avoidance of doubt, Indebtedness shall be calculated subject to the proviso included in the definition of “Capital Lease.”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of any Person under any Hedging Agreement on any date shall be deemed to be the Termination Value thereof as of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 Taxes, other than Excluded Taxes, imposed on or with respect to any payment made by or on account of any obligation of any Credit Party under any Loan Document and (b) to the extent not otherwise described in clause (a), Other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13.10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Intercompany Debt</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10.1(e)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Interest Expense</w:t>
      </w:r>
      <w:r>
        <w:rPr>
          <w:color w:val="000000"/>
        </w:rPr>
        <w:t xml:space="preserve">” </w:t>
      </w:r>
      <w:r>
        <w:rPr>
          <w:rFonts w:ascii="Times New Roman;sans-serif" w:hAnsi="Times New Roman;sans-serif"/>
          <w:b w:val="false"/>
          <w:color w:val="000000"/>
          <w:sz w:val="22"/>
        </w:rPr>
        <w:t>means, with respect to the Company and its Restricted Subsidiaries for any period, the gross interest expense (including, without limitation, interest expense attributable to Capital Leases, Synthetic Leases and all net payment obligations pursuant to Hedging Agreements) of the Company and its Restricted Subsidiaries, all determined for such period on a Consolidated basis, without duplication,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 xml:space="preserve">means, (a) as to any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 or any Designated Currency Term</w:t>
      </w:r>
      <w:r>
        <w:rPr>
          <w:color w:val="000000"/>
        </w:rPr>
        <w:t xml:space="preserve"> </w:t>
      </w:r>
      <w:r>
        <w:rPr>
          <w:rFonts w:ascii="Times New Roman;sans-serif" w:hAnsi="Times New Roman;sans-serif"/>
          <w:b w:val="false"/>
          <w:color w:val="000000"/>
          <w:sz w:val="22"/>
        </w:rPr>
        <w:t xml:space="preserve">Rate Loan, the last day of each Interest Period applicable to such Loan and the Maturity Date of the Facility under which such Loan was made;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any Interest Period for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 or a Designated Currency Term</w:t>
      </w:r>
      <w:r>
        <w:rPr>
          <w:color w:val="000000"/>
        </w:rPr>
        <w:t xml:space="preserve"> </w:t>
      </w:r>
      <w:r>
        <w:rPr>
          <w:rFonts w:ascii="Times New Roman;sans-serif" w:hAnsi="Times New Roman;sans-serif"/>
          <w:b w:val="false"/>
          <w:color w:val="000000"/>
          <w:sz w:val="22"/>
        </w:rPr>
        <w:t xml:space="preserve">Rate Loan exceeds three (3) months, the respective dates that fall every three (3) months after the beginning of such Interest Period shall also be Interest Payment Dates; </w:t>
      </w:r>
      <w:r>
        <w:rPr>
          <w:rFonts w:ascii="Times New Roman;sans-serif" w:hAnsi="Times New Roman;sans-serif"/>
          <w:b w:val="false"/>
          <w:strike/>
          <w:color w:val="FF0000"/>
          <w:sz w:val="22"/>
        </w:rPr>
        <w:t xml:space="preserve">and </w:t>
      </w:r>
      <w:r>
        <w:rPr>
          <w:rFonts w:ascii="Times New Roman;sans-serif" w:hAnsi="Times New Roman;sans-serif"/>
          <w:b w:val="false"/>
          <w:color w:val="000000"/>
          <w:sz w:val="22"/>
        </w:rPr>
        <w:t xml:space="preserve">(b) as to any </w:t>
      </w:r>
      <w:r>
        <w:rPr>
          <w:rFonts w:ascii="Times New Roman;sans-serif" w:hAnsi="Times New Roman;sans-serif"/>
          <w:b w:val="false"/>
          <w:color w:val="0000FF"/>
          <w:sz w:val="22"/>
          <w:u w:val="single"/>
        </w:rPr>
        <w:t>Daily SOFR Loan, the first Business Day of each month</w:t>
      </w:r>
      <w:r>
        <w:rPr>
          <w:color w:val="0000FF"/>
          <w:u w:val="single"/>
        </w:rPr>
        <w:t xml:space="preserve"> </w:t>
      </w:r>
      <w:r>
        <w:rPr>
          <w:rFonts w:ascii="Times New Roman;sans-serif" w:hAnsi="Times New Roman;sans-serif"/>
          <w:b w:val="false"/>
          <w:color w:val="0000FF"/>
          <w:sz w:val="22"/>
          <w:u w:val="single"/>
        </w:rPr>
        <w:t xml:space="preserve">and the Maturity Date of the Facility under which such Loan was made; and (c) as to any Designated Currency Daily Rate Loan, </w:t>
      </w:r>
      <w:r>
        <w:rPr>
          <w:rFonts w:ascii="Times New Roman;sans-serif" w:hAnsi="Times New Roman;sans-serif"/>
          <w:b w:val="false"/>
          <w:color w:val="000000"/>
          <w:sz w:val="22"/>
        </w:rPr>
        <w:t>Base Rate Loan or Swingline Loan, the last Business Day of each March, June, September and December and the Maturity Date of the Facility under which such Loan was made (with Swingline Loans being deemed made under the Revolving Credit Facility for purposes of this definition).</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23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as to each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 xml:space="preserve">Rate </w:t>
      </w:r>
      <w:r>
        <w:rPr>
          <w:rFonts w:ascii="Times New Roman;sans-serif" w:hAnsi="Times New Roman;sans-serif"/>
          <w:b w:val="false"/>
          <w:color w:val="0000FF"/>
          <w:sz w:val="22"/>
          <w:u w:val="single"/>
        </w:rPr>
        <w:t xml:space="preserve">Loan or Term SOFR </w:t>
      </w:r>
      <w:r>
        <w:rPr>
          <w:rFonts w:ascii="Times New Roman;sans-serif" w:hAnsi="Times New Roman;sans-serif"/>
          <w:b w:val="false"/>
          <w:color w:val="000000"/>
          <w:sz w:val="22"/>
        </w:rPr>
        <w:t xml:space="preserve">Loan, the period commencing on the date such </w:t>
      </w:r>
      <w:r>
        <w:rPr>
          <w:rFonts w:ascii="Times New Roman;sans-serif" w:hAnsi="Times New Roman;sans-serif"/>
          <w:b w:val="false"/>
          <w:strike/>
          <w:color w:val="FF0000"/>
          <w:sz w:val="22"/>
        </w:rPr>
        <w:t xml:space="preserve">Eurocurrency Rate </w:t>
      </w:r>
      <w:r>
        <w:rPr>
          <w:rFonts w:ascii="Times New Roman;sans-serif" w:hAnsi="Times New Roman;sans-serif"/>
          <w:b w:val="false"/>
          <w:color w:val="000000"/>
          <w:sz w:val="22"/>
        </w:rPr>
        <w:t xml:space="preserve">Loan is disbursed or converted to or continued as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 xml:space="preserve">Rate </w:t>
      </w:r>
      <w:r>
        <w:rPr>
          <w:rFonts w:ascii="Times New Roman;sans-serif" w:hAnsi="Times New Roman;sans-serif"/>
          <w:b w:val="false"/>
          <w:color w:val="0000FF"/>
          <w:sz w:val="22"/>
          <w:u w:val="single"/>
        </w:rPr>
        <w:t xml:space="preserve">Loan or Term SOFR </w:t>
      </w:r>
      <w:r>
        <w:rPr>
          <w:rFonts w:ascii="Times New Roman;sans-serif" w:hAnsi="Times New Roman;sans-serif"/>
          <w:b w:val="false"/>
          <w:color w:val="000000"/>
          <w:sz w:val="22"/>
        </w:rPr>
        <w:t xml:space="preserve">Loan and ending on the date one (1), </w:t>
      </w:r>
      <w:r>
        <w:rPr>
          <w:rFonts w:ascii="Times New Roman;sans-serif" w:hAnsi="Times New Roman;sans-serif"/>
          <w:b w:val="false"/>
          <w:strike/>
          <w:color w:val="FF0000"/>
          <w:sz w:val="22"/>
        </w:rPr>
        <w:t xml:space="preserve">two (2), </w:t>
      </w:r>
      <w:r>
        <w:rPr>
          <w:rFonts w:ascii="Times New Roman;sans-serif" w:hAnsi="Times New Roman;sans-serif"/>
          <w:b w:val="false"/>
          <w:color w:val="000000"/>
          <w:sz w:val="22"/>
        </w:rPr>
        <w:t>three (3) or six (6) months (</w:t>
      </w:r>
      <w:r>
        <w:rPr>
          <w:rFonts w:ascii="Times New Roman;sans-serif" w:hAnsi="Times New Roman;sans-serif"/>
          <w:b w:val="false"/>
          <w:strike/>
          <w:color w:val="FF0000"/>
          <w:sz w:val="22"/>
        </w:rPr>
        <w:t>or</w:t>
      </w:r>
      <w:r>
        <w:rPr>
          <w:rFonts w:ascii="Times New Roman;sans-serif" w:hAnsi="Times New Roman;sans-serif"/>
          <w:b w:val="false"/>
          <w:color w:val="0000FF"/>
          <w:sz w:val="22"/>
          <w:u w:val="single"/>
        </w:rPr>
        <w:t>provided, that, only interest periods of one (1) or three (3) months may be selected for Designated Currency Term Rate Loans denominated in Canadian Dollars) (or twelve (12) months or such other periods, in each case</w:t>
      </w:r>
      <w:r>
        <w:rPr>
          <w:rFonts w:ascii="Times New Roman;sans-serif" w:hAnsi="Times New Roman;sans-serif"/>
          <w:b w:val="false"/>
          <w:color w:val="000000"/>
          <w:sz w:val="22"/>
        </w:rPr>
        <w:t>, if agreed to by all of the Appropriate Lenders</w:t>
      </w:r>
      <w:r>
        <w:rPr>
          <w:rFonts w:ascii="Times New Roman;sans-serif" w:hAnsi="Times New Roman;sans-serif"/>
          <w:b w:val="false"/>
          <w:strike/>
          <w:color w:val="FF0000"/>
          <w:sz w:val="22"/>
        </w:rPr>
        <w:t>, twelve (12) months</w:t>
      </w:r>
      <w:r>
        <w:rPr>
          <w:rFonts w:ascii="Times New Roman;sans-serif" w:hAnsi="Times New Roman;sans-serif"/>
          <w:b w:val="false"/>
          <w:color w:val="000000"/>
          <w:sz w:val="22"/>
        </w:rPr>
        <w:t xml:space="preserve">) thereafter (in each case, subject to availability for the interest rate applicable to the relevant currency), as selected by the applicable Borrower in its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no Interest Period shall extend beyond the Maturity Date of the Facility under which such Loan was made.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Interest Rate Contract</w:t>
      </w:r>
      <w:r>
        <w:rPr>
          <w:color w:val="000000"/>
        </w:rPr>
        <w:t xml:space="preserve">” </w:t>
      </w:r>
      <w:r>
        <w:rPr>
          <w:rFonts w:ascii="Times New Roman;sans-serif" w:hAnsi="Times New Roman;sans-serif"/>
          <w:b w:val="false"/>
          <w:color w:val="000000"/>
          <w:sz w:val="22"/>
        </w:rPr>
        <w:t>means any interest rate swap agreement, interest rate cap agreement, interest rate floor agreement, interest rate collar agreement, interest rate option or any other agreement regarding the hedging of interest rate risk exposure executed in connection with hedging the interest rate exposure of any Person and any confirming letter executed pursuant to such agreement, all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Investment</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ISDA Definitions</w:t>
      </w:r>
      <w:r>
        <w:rPr>
          <w:strike/>
          <w:color w:val="FF0000"/>
        </w:rPr>
        <w:t xml:space="preserve">” </w:t>
      </w:r>
      <w:r>
        <w:rPr>
          <w:rFonts w:ascii="Times New Roman;sans-serif" w:hAnsi="Times New Roman;sans-serif"/>
          <w:b w:val="false"/>
          <w:strike/>
          <w:color w:val="FF0000"/>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r>
        <w:rPr>
          <w:strike/>
          <w:color w:val="FF0000"/>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means the International Standby Practices (1998 Revision, effective January 1, 1999), International Chamber of Commerce Publication No. 590.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Issuer Documents</w:t>
      </w:r>
      <w:r>
        <w:rPr>
          <w:color w:val="000000"/>
        </w:rPr>
        <w:t xml:space="preserve">” </w:t>
      </w:r>
      <w:r>
        <w:rPr>
          <w:rFonts w:ascii="Times New Roman;sans-serif" w:hAnsi="Times New Roman;sans-serif"/>
          <w:b w:val="false"/>
          <w:color w:val="000000"/>
          <w:sz w:val="22"/>
        </w:rPr>
        <w:t>means with respect to any Letter of Credit, the Letter of Credit Application, and any other document, agreement and instrument entered into by the applicable Issuing Lender and the Company (or any Restricted Subsidiary) or in favor of the applicable Issuing Lender and relating to such Letter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Issuing Lender</w:t>
      </w:r>
      <w:r>
        <w:rPr>
          <w:color w:val="000000"/>
        </w:rPr>
        <w:t xml:space="preserve">” </w:t>
      </w:r>
      <w:r>
        <w:rPr>
          <w:rFonts w:ascii="Times New Roman;sans-serif" w:hAnsi="Times New Roman;sans-serif"/>
          <w:b w:val="false"/>
          <w:color w:val="000000"/>
          <w:sz w:val="22"/>
        </w:rPr>
        <w:t xml:space="preserve">means each of (a) Bank of America, through itself or through one of its designated Affiliates or branch offices, (b) such other Lender selected by the Company pursuant to </w:t>
      </w:r>
      <w:r>
        <w:rPr>
          <w:rFonts w:ascii="Times New Roman;sans-serif" w:hAnsi="Times New Roman;sans-serif"/>
          <w:b w:val="false"/>
          <w:color w:val="000000"/>
          <w:sz w:val="22"/>
          <w:u w:val="single"/>
        </w:rPr>
        <w:t>Section 2.3(k)</w:t>
      </w:r>
      <w:r>
        <w:rPr>
          <w:color w:val="000000"/>
        </w:rPr>
        <w:t xml:space="preserve"> </w:t>
      </w:r>
      <w:r>
        <w:rPr>
          <w:rFonts w:ascii="Times New Roman;sans-serif" w:hAnsi="Times New Roman;sans-serif"/>
          <w:b w:val="false"/>
          <w:color w:val="000000"/>
          <w:sz w:val="22"/>
        </w:rPr>
        <w:t>from time to time to issue such Letter of Credit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be required to become an Issuing Lender pursuant to this clause (b) without such Lender’s consent), or any successor issuer thereof or (c) any Lender selected by the Company (with the prior consent of the Administrative Agent) to replace a Lender who is a Defaulting Lender at the time of such Lender’s appointment as an Issuing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Lender shall be required to become an Issuing Lender pursuant to this clause (c) without such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23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Lender’s consent), or any successor issuer thereof, each in its capacity as issuer of any Letter of Credit,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Advance</w:t>
      </w:r>
      <w:r>
        <w:rPr>
          <w:color w:val="000000"/>
        </w:rPr>
        <w:t xml:space="preserve">” </w:t>
      </w:r>
      <w:r>
        <w:rPr>
          <w:rFonts w:ascii="Times New Roman;sans-serif" w:hAnsi="Times New Roman;sans-serif"/>
          <w:b w:val="false"/>
          <w:color w:val="000000"/>
          <w:sz w:val="22"/>
        </w:rPr>
        <w:t>means, with respect to each Revolving Credit Lender, such Lender’s funding of its participation in any L/C Borrowing in accordance with its Applicable Percentage. All L/C Advances shall be denominated in Dollars.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Borrowing</w:t>
      </w:r>
      <w:r>
        <w:rPr>
          <w:color w:val="000000"/>
        </w:rPr>
        <w:t xml:space="preserve">” </w:t>
      </w:r>
      <w:r>
        <w:rPr>
          <w:rFonts w:ascii="Times New Roman;sans-serif" w:hAnsi="Times New Roman;sans-serif"/>
          <w:b w:val="false"/>
          <w:color w:val="000000"/>
          <w:sz w:val="22"/>
        </w:rPr>
        <w:t>means an extension of credit resulting from a drawing under any Letter of Credit which has not been reimbursed on the date when made or refinanced as a borrowing of Revolving Credit Loans. All L/C Borrowings shall be denominated in Dollars.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Commitment</w:t>
      </w:r>
      <w:r>
        <w:rPr>
          <w:color w:val="000000"/>
        </w:rPr>
        <w:t xml:space="preserve">” </w:t>
      </w:r>
      <w:r>
        <w:rPr>
          <w:rFonts w:ascii="Times New Roman;sans-serif" w:hAnsi="Times New Roman;sans-serif"/>
          <w:b w:val="false"/>
          <w:color w:val="000000"/>
          <w:sz w:val="22"/>
        </w:rPr>
        <w:t>means the lesser of (a) $50,000,000</w:t>
      </w:r>
      <w:r>
        <w:rPr>
          <w:color w:val="000000"/>
        </w:rPr>
        <w:t xml:space="preserve"> </w:t>
      </w:r>
      <w:r>
        <w:rPr>
          <w:rFonts w:ascii="Times New Roman;sans-serif" w:hAnsi="Times New Roman;sans-serif"/>
          <w:b w:val="false"/>
          <w:color w:val="000000"/>
          <w:sz w:val="22"/>
        </w:rPr>
        <w:t xml:space="preserve">and (b) the Dollar Tranche Revolving Credit Commitment. The initial amount of each Issuing Lender’s L/C Commitment is set forth on </w:t>
      </w:r>
      <w:r>
        <w:rPr>
          <w:rFonts w:ascii="Times New Roman;sans-serif" w:hAnsi="Times New Roman;sans-serif"/>
          <w:b w:val="false"/>
          <w:color w:val="000000"/>
          <w:sz w:val="22"/>
          <w:u w:val="single"/>
        </w:rPr>
        <w:t>Schedule 2.3</w:t>
      </w:r>
      <w:r>
        <w:rPr>
          <w:rFonts w:ascii="Times New Roman;sans-serif" w:hAnsi="Times New Roman;sans-serif"/>
          <w:b w:val="false"/>
          <w:color w:val="000000"/>
          <w:sz w:val="22"/>
        </w:rPr>
        <w:t>, or if an Issuing Lender has entered into an Assignment and Assumption or has otherwise assumed an L/C Commitment after the Closing Date, the amount set forth for such Issuing Lender as its L/C Commitment in the Register maintained by the Administrative Agent. The Letter of Credit Commitment of an Issuing Lender may be modified from time to time by agreement between such Issuing Lender and the Company, and notified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Credit Extension</w:t>
      </w:r>
      <w:r>
        <w:rPr>
          <w:color w:val="000000"/>
        </w:rPr>
        <w:t xml:space="preserve">” </w:t>
      </w:r>
      <w:r>
        <w:rPr>
          <w:rFonts w:ascii="Times New Roman;sans-serif" w:hAnsi="Times New Roman;sans-serif"/>
          <w:b w:val="false"/>
          <w:color w:val="000000"/>
          <w:sz w:val="22"/>
        </w:rPr>
        <w:t>means, with respect to any Letter of Credit, the issuance thereof or extension of the expiry date thereof, or the increase of the amount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Facility</w:t>
      </w:r>
      <w:r>
        <w:rPr>
          <w:color w:val="000000"/>
        </w:rPr>
        <w:t xml:space="preserve">” </w:t>
      </w:r>
      <w:r>
        <w:rPr>
          <w:rFonts w:ascii="Times New Roman;sans-serif" w:hAnsi="Times New Roman;sans-serif"/>
          <w:b w:val="false"/>
          <w:color w:val="000000"/>
          <w:sz w:val="22"/>
        </w:rPr>
        <w:t xml:space="preserve">means the letter of credit facility under the Dollar Tranche established pursuant to </w:t>
      </w:r>
      <w:r>
        <w:rPr>
          <w:rFonts w:ascii="Times New Roman;sans-serif" w:hAnsi="Times New Roman;sans-serif"/>
          <w:b w:val="false"/>
          <w:color w:val="000000"/>
          <w:sz w:val="22"/>
          <w:u w:val="single"/>
        </w:rPr>
        <w:t>Section 2.3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Obligations</w:t>
      </w:r>
      <w:r>
        <w:rPr>
          <w:color w:val="000000"/>
        </w:rPr>
        <w:t xml:space="preserve">” </w:t>
      </w:r>
      <w:r>
        <w:rPr>
          <w:rFonts w:ascii="Times New Roman;sans-serif" w:hAnsi="Times New Roman;sans-serif"/>
          <w:b w:val="false"/>
          <w:color w:val="000000"/>
          <w:sz w:val="22"/>
        </w:rPr>
        <w:t xml:space="preserve">means, as at any date of determination, the aggregate amount available to be drawn under all outstanding Letters of Credit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of all Unreimbursed Amounts (including all L/C Credit Extensions). For purposes of computing the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1.7</w:t>
      </w:r>
      <w:r>
        <w:rPr>
          <w:rFonts w:ascii="Times New Roman;sans-serif" w:hAnsi="Times New Roman;sans-serif"/>
          <w:b w:val="false"/>
          <w:color w:val="000000"/>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LCT Test Date” means, with respect to a Limited Condition Transaction, the date of the definitive agreement (or other relevant definitive documentation) for such Limited Condition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Lender</w:t>
      </w:r>
      <w:r>
        <w:rPr>
          <w:color w:val="000000"/>
        </w:rPr>
        <w:t xml:space="preserve">” </w:t>
      </w:r>
      <w:r>
        <w:rPr>
          <w:rFonts w:ascii="Times New Roman;sans-serif" w:hAnsi="Times New Roman;sans-serif"/>
          <w:b w:val="false"/>
          <w:color w:val="000000"/>
          <w:sz w:val="22"/>
        </w:rPr>
        <w:t xml:space="preserve">means each Person executing this Agreement as a Lender (including, without limitation, an Issuing Lender, and the Swingline Lender unless the context otherwise requires) set forth on the signature pages hereto and each Person that hereafter becomes a party to this Agreement as a Lender pursuant to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2.9</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13.9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strike/>
          <w:color w:val="008000"/>
        </w:rPr>
        <w:t>“</w:t>
      </w:r>
      <w:r>
        <w:rPr>
          <w:rFonts w:ascii="Times New Roman;sans-serif" w:hAnsi="Times New Roman;sans-serif"/>
          <w:b w:val="false"/>
          <w:strike/>
          <w:color w:val="008000"/>
          <w:sz w:val="22"/>
          <w:u w:val="single"/>
        </w:rPr>
        <w:t>Lender Party</w:t>
      </w:r>
      <w:r>
        <w:rPr>
          <w:strike/>
          <w:color w:val="008000"/>
        </w:rPr>
        <w:t xml:space="preserve">” </w:t>
      </w:r>
      <w:r>
        <w:rPr>
          <w:rFonts w:ascii="Times New Roman;sans-serif" w:hAnsi="Times New Roman;sans-serif"/>
          <w:b w:val="false"/>
          <w:strike/>
          <w:color w:val="008000"/>
          <w:sz w:val="22"/>
        </w:rPr>
        <w:t xml:space="preserve">means each Lender, the Swingline Lender and each Issuing Lender.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Lender Addition and Acknowledgement Agreement</w:t>
      </w:r>
      <w:r>
        <w:rPr>
          <w:color w:val="000000"/>
        </w:rPr>
        <w:t xml:space="preserve">” </w:t>
      </w:r>
      <w:r>
        <w:rPr>
          <w:rFonts w:ascii="Times New Roman;sans-serif" w:hAnsi="Times New Roman;sans-serif"/>
          <w:b w:val="false"/>
          <w:color w:val="000000"/>
          <w:sz w:val="22"/>
        </w:rPr>
        <w:t xml:space="preserve">means each agreement, in form and substance satisfactory to the Administrative Agent, executed pursuant to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 xml:space="preserve">by the Company and any existing Lender or New Lender committing to provide an increase in the Revolving Credit Commitment and/or Incremental Term Loans and, in each case, acknowledged by the Administrative Agent and each Guarantor, (a) setting forth the terms and conditions of (i) any increase in the Revolving Credit Commitment pursuant to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 xml:space="preserve">and/or (ii) any Incremental Term Loans pursuant to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and (b) acknowledging that any New Lender shall be a party hereto and have the rights (including, without limitation, voting rights) and obligations of a Lender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233"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color w:val="008000"/>
          <w:u w:val="single"/>
        </w:rPr>
      </w:pPr>
      <w:r>
        <w:rPr>
          <w:color w:val="008000"/>
          <w:u w:val="single"/>
        </w:rPr>
        <w:t>“</w:t>
      </w:r>
      <w:r>
        <w:rPr>
          <w:rFonts w:ascii="Times New Roman;sans-serif" w:hAnsi="Times New Roman;sans-serif"/>
          <w:b w:val="false"/>
          <w:color w:val="008000"/>
          <w:sz w:val="22"/>
          <w:u w:val="single"/>
        </w:rPr>
        <w:t>Lender Party” means each Lender, the Swingline Lender and each Issuing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Lending Office</w:t>
      </w:r>
      <w:r>
        <w:rPr>
          <w:color w:val="000000"/>
        </w:rPr>
        <w:t xml:space="preserve">” </w:t>
      </w:r>
      <w:r>
        <w:rPr>
          <w:rFonts w:ascii="Times New Roman;sans-serif" w:hAnsi="Times New Roman;sans-serif"/>
          <w:b w:val="false"/>
          <w:color w:val="000000"/>
          <w:sz w:val="22"/>
        </w:rPr>
        <w:t>means, with respect to any Lender, the office of such Lender maintaining such Lender’s Extensions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 of Credit Application</w:t>
      </w:r>
      <w:r>
        <w:rPr>
          <w:color w:val="000000"/>
        </w:rPr>
        <w:t xml:space="preserve">” </w:t>
      </w:r>
      <w:r>
        <w:rPr>
          <w:rFonts w:ascii="Times New Roman;sans-serif" w:hAnsi="Times New Roman;sans-serif"/>
          <w:b w:val="false"/>
          <w:color w:val="000000"/>
          <w:sz w:val="22"/>
        </w:rPr>
        <w:t>means an application and agreement for the issuance or amendment of a Letter of Credit in the form from time to time in use by the applicable Issuing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 of Credit Expiration Date</w:t>
      </w:r>
      <w:r>
        <w:rPr>
          <w:color w:val="000000"/>
        </w:rPr>
        <w:t xml:space="preserve">” </w:t>
      </w:r>
      <w:r>
        <w:rPr>
          <w:rFonts w:ascii="Times New Roman;sans-serif" w:hAnsi="Times New Roman;sans-serif"/>
          <w:b w:val="false"/>
          <w:color w:val="000000"/>
          <w:sz w:val="22"/>
        </w:rPr>
        <w:t>means the day that is seven (7) days prior to the Maturity Date then in effect for the Revolving Credit Facility (or, if such day is not a Business Day, the next preceding Business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 of Credit Report</w:t>
      </w:r>
      <w:r>
        <w:rPr>
          <w:color w:val="000000"/>
        </w:rPr>
        <w:t xml:space="preserve">” </w:t>
      </w:r>
      <w:r>
        <w:rPr>
          <w:rFonts w:ascii="Times New Roman;sans-serif" w:hAnsi="Times New Roman;sans-serif"/>
          <w:b w:val="false"/>
          <w:color w:val="000000"/>
          <w:sz w:val="22"/>
        </w:rPr>
        <w:t xml:space="preserve">means a certificate substantially the form of </w:t>
      </w:r>
      <w:r>
        <w:rPr>
          <w:rFonts w:ascii="Times New Roman;sans-serif" w:hAnsi="Times New Roman;sans-serif"/>
          <w:b/>
          <w:i/>
          <w:color w:val="000000"/>
          <w:sz w:val="22"/>
        </w:rPr>
        <w:t>Exhibit L</w:t>
      </w:r>
      <w:r>
        <w:rPr>
          <w:color w:val="000000"/>
        </w:rPr>
        <w:t xml:space="preserve"> </w:t>
      </w:r>
      <w:r>
        <w:rPr>
          <w:rFonts w:ascii="Times New Roman;sans-serif" w:hAnsi="Times New Roman;sans-serif"/>
          <w:b w:val="false"/>
          <w:color w:val="000000"/>
          <w:sz w:val="22"/>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Letters of Credit</w:t>
      </w:r>
      <w:r>
        <w:rPr>
          <w:color w:val="000000"/>
        </w:rPr>
        <w:t xml:space="preserve">” </w:t>
      </w:r>
      <w:r>
        <w:rPr>
          <w:rFonts w:ascii="Times New Roman;sans-serif" w:hAnsi="Times New Roman;sans-serif"/>
          <w:b w:val="false"/>
          <w:color w:val="000000"/>
          <w:sz w:val="22"/>
        </w:rPr>
        <w:t xml:space="preserve">means any standby letter of credit issued hereunder. Letters of Credit may be issued in Dollars or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and shall include the Existing Letters of Credit. Notwithstanding anything to the contrary contained herein, a letter of credit issued by an Issuing Lender other than Bank of America shall not be a “Letter of Credit” for purposes of the Loan Documents until such time as the Administrative Agent has been notified in writing of the issuance thereof by the applicable Issuing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Leverage Ratio Increase Requirements</w:t>
      </w:r>
      <w:r>
        <w:rPr>
          <w:color w:val="000000"/>
        </w:rPr>
        <w:t xml:space="preserve">” </w:t>
      </w:r>
      <w:r>
        <w:rPr>
          <w:rFonts w:ascii="Times New Roman;sans-serif" w:hAnsi="Times New Roman;sans-serif"/>
          <w:b w:val="false"/>
          <w:color w:val="000000"/>
          <w:sz w:val="22"/>
        </w:rPr>
        <w:t xml:space="preserve">means, in connection with any request by the Company to increase the maximum Net Leverage Ratio under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by 0.50 for a four consecutive fiscal quarter period, the following: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the Company delivers such request in writing to the Administrative Agent at least three (3) Business Days (or such shorter period as may be agreed to by the Administrative Agent) prior to the date on which such request is to be given effect;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such request is delivered in connection with a Permitted Acquisition with an aggregate amount of cash consideration and any assumed debt, earn-outs (valued at an amount reasonably determined in good faith by the Company to be payable in connection with such earn-outs) and deferred payments of at least $50,000,000;</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such election is made no more than two times during the term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such election is only given effect for the four consecutive fiscal quarter period following the date on which the applicable Permitted Acquisition is consummated (by way of example only, if the Permitted Acquisition is consummated on May 15, 2021, for the fiscal quarters ending June 30, 2021, September 30, 2021, December 31, 2021 and March 31, 2022);</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only one such election may be given effect during any four consecutive fiscal quarter period;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    the maximum Net Leverage Ratio under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 xml:space="preserve">shall revert to the then permitted Net Leverage Ratio (without giving effect to any such increase) for at least </w:t>
      </w:r>
      <w:r>
        <w:rPr>
          <w:rFonts w:ascii="Times New Roman;sans-serif" w:hAnsi="Times New Roman;sans-serif"/>
          <w:b w:val="false"/>
          <w:strike/>
          <w:color w:val="FF0000"/>
          <w:sz w:val="22"/>
        </w:rPr>
        <w:t>two</w:t>
      </w:r>
      <w:r>
        <w:rPr>
          <w:rFonts w:ascii="Times New Roman;sans-serif" w:hAnsi="Times New Roman;sans-serif"/>
          <w:b w:val="false"/>
          <w:color w:val="0000FF"/>
          <w:sz w:val="22"/>
          <w:u w:val="single"/>
        </w:rPr>
        <w:t>one</w:t>
      </w:r>
      <w:r>
        <w:rPr>
          <w:color w:val="000000"/>
        </w:rPr>
        <w:t xml:space="preserve"> </w:t>
      </w:r>
      <w:r>
        <w:rPr>
          <w:rFonts w:ascii="Times New Roman;sans-serif" w:hAnsi="Times New Roman;sans-serif"/>
          <w:b w:val="false"/>
          <w:color w:val="000000"/>
          <w:sz w:val="22"/>
        </w:rPr>
        <w:t xml:space="preserve">fiscal </w:t>
      </w:r>
      <w:r>
        <w:rPr>
          <w:rFonts w:ascii="Times New Roman;sans-serif" w:hAnsi="Times New Roman;sans-serif"/>
          <w:b w:val="false"/>
          <w:strike/>
          <w:color w:val="FF0000"/>
          <w:sz w:val="22"/>
        </w:rPr>
        <w:t>quarters</w:t>
      </w:r>
      <w:r>
        <w:rPr>
          <w:rFonts w:ascii="Times New Roman;sans-serif" w:hAnsi="Times New Roman;sans-serif"/>
          <w:b w:val="false"/>
          <w:color w:val="0000FF"/>
          <w:sz w:val="22"/>
          <w:u w:val="single"/>
        </w:rPr>
        <w:t>quarter</w:t>
      </w:r>
      <w:r>
        <w:rPr>
          <w:color w:val="000000"/>
        </w:rPr>
        <w:t xml:space="preserve"> </w:t>
      </w:r>
      <w:r>
        <w:rPr>
          <w:rFonts w:ascii="Times New Roman;sans-serif" w:hAnsi="Times New Roman;sans-serif"/>
          <w:b w:val="false"/>
          <w:color w:val="000000"/>
          <w:sz w:val="22"/>
        </w:rPr>
        <w:t>before another increase may be invoked.</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234"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LIBOR Quoted Currency</w:t>
      </w:r>
      <w:r>
        <w:rPr>
          <w:strike/>
          <w:color w:val="FF0000"/>
        </w:rPr>
        <w:t xml:space="preserve">” </w:t>
      </w:r>
      <w:r>
        <w:rPr>
          <w:rFonts w:ascii="Times New Roman;sans-serif" w:hAnsi="Times New Roman;sans-serif"/>
          <w:b w:val="false"/>
          <w:strike/>
          <w:color w:val="FF0000"/>
          <w:sz w:val="22"/>
        </w:rPr>
        <w:t>means Dollars and Pounds Sterling, in each case as long as there is a published LIBOR Rate with respect thereto.</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LIBOR Rate</w:t>
      </w:r>
      <w:r>
        <w:rPr>
          <w:strike/>
          <w:color w:val="FF0000"/>
        </w:rPr>
        <w:t xml:space="preserve">” </w:t>
      </w:r>
      <w:r>
        <w:rPr>
          <w:rFonts w:ascii="Times New Roman;sans-serif" w:hAnsi="Times New Roman;sans-serif"/>
          <w:b w:val="false"/>
          <w:strike/>
          <w:color w:val="FF0000"/>
          <w:sz w:val="22"/>
        </w:rPr>
        <w:t>shall have the meaning set forth in the definition of “Eurocurrency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Limited Condition Transaction” means any (a) Permitted Acquisition or other Investment whose consummation is not conditioned on the availability of, or on obtaining, third-party financing and (b) incurrence, redemption, repurchase, defeasance, satisfaction and discharge or repayment of Indebtedness, grant or creation of Liens, sale, transfer or other disposition (including pursuant to a sale and leaseback transaction) of any property or asset of any Credit Party and making of dividends or distributions, in each case requiring irrevocable notice in advance of such action and, in the case of each of clauses (a) and (b) is designated as a Limited Condition Transaction by the Company in writing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collectively, this Agreement, each Note, the Letter of Credit Applications, the Guaranty Agreement, the Security Documents, each Lender Addition and Acknowledgement Agreement (if any) and each other document, instrument, certificate and agreement executed and delivered by the Company or any Restricted Subsidiary thereof in connection with this Agreement or otherwise referred to herein or contemplated hereby (other than any agreement, document, certificate or instrument related to a Bank Product), all as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Notice</w:t>
      </w:r>
      <w:r>
        <w:rPr>
          <w:color w:val="000000"/>
        </w:rPr>
        <w:t xml:space="preserve">” </w:t>
      </w:r>
      <w:r>
        <w:rPr>
          <w:rFonts w:ascii="Times New Roman;sans-serif" w:hAnsi="Times New Roman;sans-serif"/>
          <w:b w:val="false"/>
          <w:color w:val="000000"/>
          <w:sz w:val="22"/>
        </w:rPr>
        <w:t xml:space="preserve">means a notice of (a) a request for an Extension of Credit, (b) a conversion of Loans from one Type to the other, or (c) a continuation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 xml:space="preserve">Rate Loans, pursuant to </w:t>
      </w:r>
      <w:r>
        <w:rPr>
          <w:rFonts w:ascii="Times New Roman;sans-serif" w:hAnsi="Times New Roman;sans-serif"/>
          <w:b w:val="false"/>
          <w:color w:val="000000"/>
          <w:sz w:val="22"/>
          <w:u w:val="single"/>
        </w:rPr>
        <w:t>Section 2.2(a)</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i/>
          <w:color w:val="000000"/>
          <w:sz w:val="22"/>
        </w:rPr>
        <w:t>Exhibit B</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Loans</w:t>
      </w:r>
      <w:r>
        <w:rPr>
          <w:color w:val="000000"/>
        </w:rPr>
        <w:t xml:space="preserve">” </w:t>
      </w:r>
      <w:r>
        <w:rPr>
          <w:rFonts w:ascii="Times New Roman;sans-serif" w:hAnsi="Times New Roman;sans-serif"/>
          <w:b w:val="false"/>
          <w:color w:val="000000"/>
          <w:sz w:val="22"/>
        </w:rPr>
        <w:t>means the collective reference to the Revolving Credit Loans, the Term Loan, the Swingline Loans, and the Incremental Term Loans, if any, and “Loan” means any of such Loans.</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London Banking Day</w:t>
      </w:r>
      <w:r>
        <w:rPr>
          <w:strike/>
          <w:color w:val="FF0000"/>
        </w:rPr>
        <w:t xml:space="preserve">” </w:t>
      </w:r>
      <w:r>
        <w:rPr>
          <w:rFonts w:ascii="Times New Roman;sans-serif" w:hAnsi="Times New Roman;sans-serif"/>
          <w:b w:val="false"/>
          <w:strike/>
          <w:color w:val="FF0000"/>
          <w:sz w:val="22"/>
        </w:rPr>
        <w:t>means any day on which dealings in Dollar deposits are conducted by and between banks in the London interbank eurocurrency market.</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Mandatory Cost</w:t>
      </w:r>
      <w:r>
        <w:rPr>
          <w:strike/>
          <w:color w:val="FF0000"/>
        </w:rPr>
        <w:t xml:space="preserve">” </w:t>
      </w:r>
      <w:r>
        <w:rPr>
          <w:rFonts w:ascii="Times New Roman;sans-serif" w:hAnsi="Times New Roman;sans-serif"/>
          <w:b w:val="false"/>
          <w:strike/>
          <w:color w:val="FF0000"/>
          <w:sz w:val="22"/>
        </w:rPr>
        <w:t>means any amount incurred periodically by any Lender during the term of this Agreement which constitutes fees, costs or charges imposed on lenders generally in the jurisdiction in which such Lender is domiciled, subject to regulation, or has its Lending Office by any Governmental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with respect to the Company and its Restricted Subsidiaries, a material adverse effect on (a) the properties, business, results of operations or financial condition of the Company and its Restricted Subsidiaries, taken as a whole, (b) the ability of any such Person to perform its obligations under the Loan Documents to which it is a party, or (c) the legality, validity, binding effect or enforceability of any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235"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Domestic Subsidiary</w:t>
      </w:r>
      <w:r>
        <w:rPr>
          <w:color w:val="000000"/>
        </w:rPr>
        <w:t xml:space="preserve">” </w:t>
      </w:r>
      <w:r>
        <w:rPr>
          <w:rFonts w:ascii="Times New Roman;sans-serif" w:hAnsi="Times New Roman;sans-serif"/>
          <w:b w:val="false"/>
          <w:color w:val="000000"/>
          <w:sz w:val="22"/>
        </w:rPr>
        <w:t>means (a) any Domestic Subsidiary that is a Subsidiary Borrower or (b) any Domestic Subsidiary that is a Restricted Subsidiary of the Company that (i) individually (x) owns assets with a fair market value in excess of ten percent (10%) of the Consolidated assets of the Company and its Restricted Subsidiaries as of the most recent Fiscal Year end or (y) accounted for more than ten percent (10%) of EBITDA of the Company and its Restricted Subsidiaries for the most recently ended Fiscal Year or (ii) collectively with all other Domestic Subsidiaries that are not Material Domestic Subsidiaries (x) owns assets with a fair market value in excess of fifteen percent (15%) of the Consolidated assets of the Company and its Restricted Subsidiaries as of the most recent Fiscal Year end or (y) accounted for more than fifteen percent (15%) of EBITDA of the Company and its Restricted Subsidiaries for the most recently ended Fiscal Year.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Foreign Subsidiary</w:t>
      </w:r>
      <w:r>
        <w:rPr>
          <w:color w:val="000000"/>
        </w:rPr>
        <w:t xml:space="preserve">” </w:t>
      </w:r>
      <w:r>
        <w:rPr>
          <w:rFonts w:ascii="Times New Roman;sans-serif" w:hAnsi="Times New Roman;sans-serif"/>
          <w:b w:val="false"/>
          <w:color w:val="000000"/>
          <w:sz w:val="22"/>
        </w:rPr>
        <w:t>means (a) any Foreign Subsidiary that is a Subsidiary Borrower or (b) any Foreign Subsidiary that is a Restricted Subsidiary of the Company that (i) individually (x) owns assets with a fair market value in excess of ten percent (10%) of the Consolidated assets of the Company and its Restricted Subsidiaries as of the most recent Fiscal Year end or (y) accounted for more than ten percent (10%) of EBITDA of the Company and its Restricted Subsidiaries for the most recently ended Fiscal Year or (ii) collectively with all other Foreign Subsidiaries that are not Material Foreign Subsidiaries (x) owns assets with a fair market value in excess of fifteen percent (15%) of the Consolidated assets of the Company and its Restricted Subsidiaries as of the most recent Fiscal Year end or (y) accounted for more than fifteen percent (15%) of EBITDA of the Company and its Restricted Subsidiaries for the most recently ended Fiscal Year.</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Material Intellectual Property” means trademarks, service marks, trade names, copyrights, patents, patent rights, trade secrets, know-how, franchises, licenses and other intellectual property rights that are material to the operation of the business of the Company and its Restricted Subsidiaries, taken as a whole.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Subsidiary</w:t>
      </w:r>
      <w:r>
        <w:rPr>
          <w:color w:val="000000"/>
        </w:rPr>
        <w:t xml:space="preserve">” </w:t>
      </w:r>
      <w:r>
        <w:rPr>
          <w:rFonts w:ascii="Times New Roman;sans-serif" w:hAnsi="Times New Roman;sans-serif"/>
          <w:b w:val="false"/>
          <w:color w:val="000000"/>
          <w:sz w:val="22"/>
        </w:rPr>
        <w:t>means any Material Domestic Subsidiary or any Material Foreign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 xml:space="preserve">means the earliest to occur of (a) </w:t>
      </w:r>
      <w:r>
        <w:rPr>
          <w:rFonts w:ascii="Times New Roman;sans-serif" w:hAnsi="Times New Roman;sans-serif"/>
          <w:b w:val="false"/>
          <w:strike/>
          <w:color w:val="FF0000"/>
          <w:sz w:val="22"/>
        </w:rPr>
        <w:t>October</w:t>
      </w:r>
      <w:r>
        <w:rPr>
          <w:rFonts w:ascii="Times New Roman;sans-serif" w:hAnsi="Times New Roman;sans-serif"/>
          <w:b w:val="false"/>
          <w:color w:val="0000FF"/>
          <w:sz w:val="22"/>
          <w:u w:val="single"/>
        </w:rPr>
        <w:t>April</w:t>
      </w:r>
      <w:r>
        <w:rPr>
          <w:color w:val="000000"/>
        </w:rPr>
        <w:t> </w:t>
      </w:r>
      <w:r>
        <w:rPr>
          <w:rFonts w:ascii="Times New Roman;sans-serif" w:hAnsi="Times New Roman;sans-serif"/>
          <w:b w:val="false"/>
          <w:color w:val="000000"/>
          <w:sz w:val="22"/>
        </w:rPr>
        <w:t xml:space="preserve">30, </w:t>
      </w:r>
      <w:r>
        <w:rPr>
          <w:rFonts w:ascii="Times New Roman;sans-serif" w:hAnsi="Times New Roman;sans-serif"/>
          <w:b w:val="false"/>
          <w:strike/>
          <w:color w:val="FF0000"/>
          <w:sz w:val="22"/>
        </w:rPr>
        <w:t>2025</w:t>
      </w:r>
      <w:r>
        <w:rPr>
          <w:rFonts w:ascii="Times New Roman;sans-serif" w:hAnsi="Times New Roman;sans-serif"/>
          <w:b w:val="false"/>
          <w:color w:val="0000FF"/>
          <w:sz w:val="22"/>
          <w:u w:val="single"/>
        </w:rPr>
        <w:t>2029</w:t>
      </w:r>
      <w:r>
        <w:rPr>
          <w:rFonts w:ascii="Times New Roman;sans-serif" w:hAnsi="Times New Roman;sans-serif"/>
          <w:b w:val="false"/>
          <w:color w:val="000000"/>
          <w:sz w:val="22"/>
        </w:rPr>
        <w:t xml:space="preserve">, (b) the date of termination by the Company pursuant to </w:t>
      </w:r>
      <w:r>
        <w:rPr>
          <w:rFonts w:ascii="Times New Roman;sans-serif" w:hAnsi="Times New Roman;sans-serif"/>
          <w:b w:val="false"/>
          <w:color w:val="000000"/>
          <w:sz w:val="22"/>
          <w:u w:val="single"/>
        </w:rPr>
        <w:t>Section 2.6</w:t>
      </w:r>
      <w:r>
        <w:rPr>
          <w:rFonts w:ascii="Times New Roman;sans-serif" w:hAnsi="Times New Roman;sans-serif"/>
          <w:b w:val="false"/>
          <w:color w:val="000000"/>
          <w:sz w:val="22"/>
        </w:rPr>
        <w:t xml:space="preserve">, and (c) the date of termination by the Administrative Agent on behalf of the Lenders pursuant to </w:t>
      </w:r>
      <w:r>
        <w:rPr>
          <w:rFonts w:ascii="Times New Roman;sans-serif" w:hAnsi="Times New Roman;sans-serif"/>
          <w:b w:val="false"/>
          <w:color w:val="000000"/>
          <w:sz w:val="22"/>
          <w:u w:val="single"/>
        </w:rPr>
        <w:t>Section 11.2(a)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Measurement Period” means the period of the four fiscal quarters most recently ended for which the Borrower has delivered financial statements pursuant to Section 7.1(a) or (b).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 and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 to which the Company or any ERISA Affiliate is making, or is accruing an obligation to make, or has accrued an obligation to make contributions within the preceding six (6) years.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Net Income</w:t>
      </w:r>
      <w:r>
        <w:rPr>
          <w:color w:val="000000"/>
        </w:rPr>
        <w:t xml:space="preserve">” </w:t>
      </w:r>
      <w:r>
        <w:rPr>
          <w:rFonts w:ascii="Times New Roman;sans-serif" w:hAnsi="Times New Roman;sans-serif"/>
          <w:b w:val="false"/>
          <w:color w:val="000000"/>
          <w:sz w:val="22"/>
        </w:rPr>
        <w:t xml:space="preserve">means, with respect to the Company and its Restricted Subsidiaries, for any period of determination, the net income (or loss) of the Company and its Restricted Subsidiaries for such period, determined on a Consolidated basis in accordance with GAAP;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there shall be excluded from Net Income (a) the net income (or loss) of any Person (other than a Restricted Subsidiary which shall be subject to clause (c) below), in which the Company or any of its Restricted Subsidiaries has a joint interest with a third party, except to the extent such net income is actually paid to the Company or any of its Restricted Subsidiaries by dividend or other distribution during such period, (b) the net income (or loss) of any Person accrued prior to the date it becomes a Restricted Subsidiary of such Person or is merged into or consolidated with such Person or any of its Restricted Subsidiaries or that Person’s assets are acquired by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236"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Person or any of its Restricted Subsidiaries except to the extent included pursuant to the foregoing clause (a), (c) the net income (if positive) of any Restricted Subsidiary to the extent that the declaration or payment of dividends or similar distributions by such Restricted Subsidiary to the Company or any of its Restricted Subsidiaries of such net income (i) is not at the time permitted by operation of the terms of its charter or any agreement, instrument, judgment, decree, order, statute rule or governmental regulation applicable to such Restricted Subsidiary or (ii) would be subject to any taxes payable on such dividends or distributions.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Net Leverage Ratio</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9.1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Net Proceeds</w:t>
      </w:r>
      <w:r>
        <w:rPr>
          <w:color w:val="000000"/>
        </w:rPr>
        <w:t xml:space="preserve">” </w:t>
      </w:r>
      <w:r>
        <w:rPr>
          <w:rFonts w:ascii="Times New Roman;sans-serif" w:hAnsi="Times New Roman;sans-serif"/>
          <w:b w:val="false"/>
          <w:color w:val="000000"/>
          <w:sz w:val="22"/>
        </w:rPr>
        <w:t>means, with respect to any Prepayment Event, (a) the cash proceeds received in respect of such event including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a portion thereof)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the Company’s chief financial officer, corporate controller, treasurer or assistant treasurer).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Lender</w:t>
      </w:r>
      <w:r>
        <w:rPr>
          <w:color w:val="000000"/>
        </w:rPr>
        <w:t xml:space="preserve">” </w:t>
      </w:r>
      <w:r>
        <w:rPr>
          <w:rFonts w:ascii="Times New Roman;sans-serif" w:hAnsi="Times New Roman;sans-serif"/>
          <w:b w:val="false"/>
          <w:color w:val="000000"/>
          <w:sz w:val="22"/>
        </w:rPr>
        <w:t xml:space="preserve">means any bank, financial institution or investment fund committing to make Extensions of Credit pursuant to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that was not a Lender as of the applicable Revolving Credit Increase Effective Date or Incremental Term Loan Effective Date relating to such Extensions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Zealand Dollar</w:t>
      </w:r>
      <w:r>
        <w:rPr>
          <w:color w:val="000000"/>
        </w:rPr>
        <w:t xml:space="preserve">” </w:t>
      </w:r>
      <w:r>
        <w:rPr>
          <w:rFonts w:ascii="Times New Roman;sans-serif" w:hAnsi="Times New Roman;sans-serif"/>
          <w:b w:val="false"/>
          <w:color w:val="000000"/>
          <w:sz w:val="22"/>
        </w:rPr>
        <w:t>means the lawful currency of New Zealand.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 xml:space="preserve">means any Lender that does not approve any consent, waiver, amendment, modification or termination that (i) requires the approval of all Lenders or all affected Lenders in accordance with the terms of </w:t>
      </w:r>
      <w:r>
        <w:rPr>
          <w:rFonts w:ascii="Times New Roman;sans-serif" w:hAnsi="Times New Roman;sans-serif"/>
          <w:b w:val="false"/>
          <w:color w:val="000000"/>
          <w:sz w:val="22"/>
          <w:u w:val="single"/>
        </w:rPr>
        <w:t>Section 13.2</w:t>
      </w:r>
      <w:r>
        <w:rPr>
          <w:color w:val="000000"/>
        </w:rPr>
        <w:t xml:space="preserve"> </w:t>
      </w:r>
      <w:r>
        <w:rPr>
          <w:rFonts w:ascii="Times New Roman;sans-serif" w:hAnsi="Times New Roman;sans-serif"/>
          <w:b w:val="false"/>
          <w:color w:val="000000"/>
          <w:sz w:val="22"/>
        </w:rPr>
        <w:t>and (ii) has been approved by the Required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each Lender that is not a Defaulting Lender at such time.</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Non-LIBOR Quoted Currency</w:t>
      </w:r>
      <w:r>
        <w:rPr>
          <w:strike/>
          <w:color w:val="FF0000"/>
        </w:rPr>
        <w:t xml:space="preserve">” </w:t>
      </w:r>
      <w:r>
        <w:rPr>
          <w:rFonts w:ascii="Times New Roman;sans-serif" w:hAnsi="Times New Roman;sans-serif"/>
          <w:b w:val="false"/>
          <w:strike/>
          <w:color w:val="FF0000"/>
          <w:sz w:val="22"/>
        </w:rPr>
        <w:t>means any currency other than a LIBOR Quoted Currency.</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Non-SOFR Successor Rate” has the meaning specified in Section 4.8(c).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Notes</w:t>
      </w:r>
      <w:r>
        <w:rPr>
          <w:color w:val="000000"/>
        </w:rPr>
        <w:t xml:space="preserve">” </w:t>
      </w:r>
      <w:r>
        <w:rPr>
          <w:rFonts w:ascii="Times New Roman;sans-serif" w:hAnsi="Times New Roman;sans-serif"/>
          <w:b w:val="false"/>
          <w:color w:val="000000"/>
          <w:sz w:val="22"/>
        </w:rPr>
        <w:t>means a Revolving Credit Note, Term Loan Note, Swingline Note, or Incremental Term Loan Note, if 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Notice of Account Designation</w:t>
      </w:r>
      <w:r>
        <w:rPr>
          <w:color w:val="000000"/>
        </w:rPr>
        <w:t xml:space="preserve">” </w:t>
      </w:r>
      <w:r>
        <w:rPr>
          <w:rFonts w:ascii="Times New Roman;sans-serif" w:hAnsi="Times New Roman;sans-serif"/>
          <w:b w:val="false"/>
          <w:color w:val="000000"/>
          <w:sz w:val="22"/>
        </w:rPr>
        <w:t xml:space="preserve">a notice substantially in the form of </w:t>
      </w:r>
      <w:r>
        <w:rPr>
          <w:rFonts w:ascii="Times New Roman;sans-serif" w:hAnsi="Times New Roman;sans-serif"/>
          <w:b/>
          <w:i/>
          <w:color w:val="000000"/>
          <w:sz w:val="22"/>
        </w:rPr>
        <w:t>Exhibit C</w:t>
      </w:r>
      <w:r>
        <w:rPr>
          <w:color w:val="000000"/>
        </w:rPr>
        <w:t xml:space="preserve"> </w:t>
      </w:r>
      <w:r>
        <w:rPr>
          <w:rFonts w:ascii="Times New Roman;sans-serif" w:hAnsi="Times New Roman;sans-serif"/>
          <w:b w:val="false"/>
          <w:color w:val="000000"/>
          <w:sz w:val="22"/>
        </w:rPr>
        <w:t xml:space="preserve">irrevocably authorizing the Administrative Agent to disburse the proceeds of each borrowing requested pursuant to </w:t>
      </w:r>
      <w:r>
        <w:rPr>
          <w:rFonts w:ascii="Times New Roman;sans-serif" w:hAnsi="Times New Roman;sans-serif"/>
          <w:b w:val="false"/>
          <w:color w:val="000000"/>
          <w:sz w:val="22"/>
          <w:u w:val="single"/>
        </w:rPr>
        <w:t>Section 2.2</w:t>
      </w:r>
      <w:r>
        <w:rPr>
          <w:color w:val="000000"/>
        </w:rPr>
        <w:t> </w:t>
      </w:r>
      <w:r>
        <w:rPr>
          <w:rFonts w:ascii="Times New Roman;sans-serif" w:hAnsi="Times New Roman;sans-serif"/>
          <w:b w:val="false"/>
          <w:color w:val="000000"/>
          <w:sz w:val="22"/>
        </w:rPr>
        <w:t>in Same Day Funds by crediting or wiring such proceeds to the deposit account(s) of the applicable Borrower identified in such notice.</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23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Notice of Prepayment</w:t>
      </w:r>
      <w:r>
        <w:rPr>
          <w:color w:val="000000"/>
        </w:rPr>
        <w:t xml:space="preserve">” </w:t>
      </w:r>
      <w:r>
        <w:rPr>
          <w:rFonts w:ascii="Times New Roman;sans-serif" w:hAnsi="Times New Roman;sans-serif"/>
          <w:b w:val="false"/>
          <w:color w:val="000000"/>
          <w:sz w:val="22"/>
        </w:rPr>
        <w:t xml:space="preserve">means a notice of prepayment with respect to a Loan, which shall be substantially in the form of </w:t>
      </w:r>
      <w:r>
        <w:rPr>
          <w:rFonts w:ascii="Times New Roman;sans-serif" w:hAnsi="Times New Roman;sans-serif"/>
          <w:b/>
          <w:i/>
          <w:color w:val="000000"/>
          <w:sz w:val="22"/>
        </w:rPr>
        <w:t>Exhibit D</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 xml:space="preserve">means, in each case, whether now in existence or hereafter arising: (a) the principal of and interest on (including interest accruing after the filing of any bankruptcy or similar petition) the Loans, (b) the L/C Obligations, (c) all Bank Product Debt and (d) all other fees and commissions (including attorneys’ fees), charges, indebtedness, loans, liabilities, financial accommodations, obligations, covenants and duties owing by the Company or any of its Restricted Subsidiaries to the Lenders or the Administrative Agent, in each case under any Loan Document or otherwise, with respect to any Loan or Letter of Credit of every kind, nature and description, direct or indirect, absolute or contingent, due or to become due, contractual or tortious, liquidated or unliquidated, and whether or not evidenced by any note;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“Obligations” of a Guarantor shall exclude any Excluded Hedging Obligations of such Guarantor.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U.S. Department of the Treasury’s Office of Foreign Assets Control.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Officer’s Compliance Certificate</w:t>
      </w:r>
      <w:r>
        <w:rPr>
          <w:color w:val="000000"/>
        </w:rPr>
        <w:t xml:space="preserve">” </w:t>
      </w:r>
      <w:r>
        <w:rPr>
          <w:rFonts w:ascii="Times New Roman;sans-serif" w:hAnsi="Times New Roman;sans-serif"/>
          <w:b w:val="false"/>
          <w:color w:val="000000"/>
          <w:sz w:val="22"/>
        </w:rPr>
        <w:t xml:space="preserve">means a certificate of the chief financial officer, corporate controller, assistant treasurer or the treasurer of the Company substantially in the form of </w:t>
      </w:r>
      <w:r>
        <w:rPr>
          <w:rFonts w:ascii="Times New Roman;sans-serif" w:hAnsi="Times New Roman;sans-serif"/>
          <w:b/>
          <w:i/>
          <w:color w:val="000000"/>
          <w:sz w:val="22"/>
        </w:rPr>
        <w:t>Exhibit F</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Operating Lease</w:t>
      </w:r>
      <w:r>
        <w:rPr>
          <w:color w:val="000000"/>
        </w:rPr>
        <w:t xml:space="preserve">” </w:t>
      </w:r>
      <w:r>
        <w:rPr>
          <w:rFonts w:ascii="Times New Roman;sans-serif" w:hAnsi="Times New Roman;sans-serif"/>
          <w:b w:val="false"/>
          <w:color w:val="000000"/>
          <w:sz w:val="22"/>
        </w:rPr>
        <w:t>means, as to any Person as determined in accordance with GAAP, any lease of property (whether real, personal or mixed) by such Person as lessee which is not a Capital Lease.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4.12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Outstanding Amount</w:t>
      </w:r>
      <w:r>
        <w:rPr>
          <w:color w:val="000000"/>
        </w:rPr>
        <w:t xml:space="preserve">” </w:t>
      </w:r>
      <w:r>
        <w:rPr>
          <w:rFonts w:ascii="Times New Roman;sans-serif" w:hAnsi="Times New Roman;sans-serif"/>
          <w:b w:val="false"/>
          <w:color w:val="000000"/>
          <w:sz w:val="22"/>
        </w:rPr>
        <w:t>means (a) with respect to Term Loans, Revolving Credit Loans and Swingline Loans on any date, the Dollar Amount of the aggregate outstanding principal amount thereof after giving effect to any borrowings and prepayments or repayments of Term Loans, Revolving Credit Loans and Swingline Loans, as the case may be, occurring on such date; and (b) with respect to any L/C Obligations on any date, the Dollar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Overnight Rate</w:t>
      </w:r>
      <w:r>
        <w:rPr>
          <w:color w:val="000000"/>
        </w:rPr>
        <w:t xml:space="preserve">” </w:t>
      </w:r>
      <w:r>
        <w:rPr>
          <w:rFonts w:ascii="Times New Roman;sans-serif" w:hAnsi="Times New Roman;sans-serif"/>
          <w:b w:val="false"/>
          <w:color w:val="000000"/>
          <w:sz w:val="22"/>
        </w:rPr>
        <w:t xml:space="preserve">means, for any day, (a) with respect to any amount denominated in Dollars, the greater of (i) the Federal Funds Rate and (ii) an overnight rate determined by the Administrative Agent, an Issuing Lender, or the Swingline Lender, as the case may be, in accordance with banking industry rules on interbank compensation, and (b) with respect to any amount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23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 overnight rate determined by the Administrative Agent or an Issuing Lender, as the case may be, in accordance with banking industry rules on interbank compensation.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13.9(d)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13.9(d)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shall mean the Uniting and Strengthening America by Providing Appropriate Tools Required to Intercept and Obstruct Terrorism (USA PATRIOT</w:t>
      </w:r>
      <w:r>
        <w:rPr>
          <w:strike/>
          <w:color w:val="FF0000"/>
        </w:rPr>
        <w:t xml:space="preserve"> </w:t>
      </w:r>
      <w:r>
        <w:rPr>
          <w:rFonts w:ascii="Times New Roman;sans-serif" w:hAnsi="Times New Roman;sans-serif"/>
          <w:b w:val="false"/>
          <w:strike/>
          <w:color w:val="FF0000"/>
          <w:sz w:val="22"/>
        </w:rPr>
        <w:t>ACT</w:t>
      </w:r>
      <w:r>
        <w:rPr>
          <w:rFonts w:ascii="Times New Roman;sans-serif" w:hAnsi="Times New Roman;sans-serif"/>
          <w:b w:val="false"/>
          <w:color w:val="000000"/>
          <w:sz w:val="22"/>
        </w:rPr>
        <w:t>) Act of 2001 (Title III of Pub. L. No. 107-56 (signed into law October 26, 2001)), as amended or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Payment Event of Default</w:t>
      </w:r>
      <w:r>
        <w:rPr>
          <w:color w:val="000000"/>
        </w:rPr>
        <w:t xml:space="preserve">” </w:t>
      </w:r>
      <w:r>
        <w:rPr>
          <w:rFonts w:ascii="Times New Roman;sans-serif" w:hAnsi="Times New Roman;sans-serif"/>
          <w:b w:val="false"/>
          <w:color w:val="000000"/>
          <w:sz w:val="22"/>
        </w:rPr>
        <w:t xml:space="preserve">means any Event of Default specified in </w:t>
      </w:r>
      <w:r>
        <w:rPr>
          <w:rFonts w:ascii="Times New Roman;sans-serif" w:hAnsi="Times New Roman;sans-serif"/>
          <w:b w:val="false"/>
          <w:color w:val="000000"/>
          <w:sz w:val="22"/>
          <w:u w:val="single"/>
        </w:rPr>
        <w:t>Section 11.1(a)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or any successor agency.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Pension Plan</w:t>
      </w:r>
      <w:r>
        <w:rPr>
          <w:color w:val="000000"/>
        </w:rPr>
        <w:t xml:space="preserve">” </w:t>
      </w:r>
      <w:r>
        <w:rPr>
          <w:rFonts w:ascii="Times New Roman;sans-serif" w:hAnsi="Times New Roman;sans-serif"/>
          <w:b w:val="false"/>
          <w:color w:val="000000"/>
          <w:sz w:val="22"/>
        </w:rPr>
        <w:t>means any Employee Benefit Plan, other than a Multiemployer Plan, which is subject to the provisions of Title IV of ERISA or Section 412 of the Code and which (a) is maintained, sponsored or contributed to by the Company or any ERISA Affiliates or (b) has at any time within the preceding six (6) years been maintained, sponsored or contributed to by the Company or any of its current or former ERISA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Acquisitions</w:t>
      </w:r>
      <w:r>
        <w:rPr>
          <w:color w:val="000000"/>
        </w:rPr>
        <w:t xml:space="preserve">” </w:t>
      </w:r>
      <w:r>
        <w:rPr>
          <w:rFonts w:ascii="Times New Roman;sans-serif" w:hAnsi="Times New Roman;sans-serif"/>
          <w:b w:val="false"/>
          <w:color w:val="000000"/>
          <w:sz w:val="22"/>
        </w:rPr>
        <w:t>means</w:t>
      </w:r>
      <w:r>
        <w:rPr>
          <w:rFonts w:ascii="Times New Roman;sans-serif" w:hAnsi="Times New Roman;sans-serif"/>
          <w:b w:val="false"/>
          <w:color w:val="0000FF"/>
          <w:sz w:val="22"/>
          <w:u w:val="single"/>
        </w:rPr>
        <w:t>, subject to Section 1.3,</w:t>
      </w:r>
      <w:r>
        <w:rPr>
          <w:color w:val="000000"/>
        </w:rPr>
        <w:t xml:space="preserve"> </w:t>
      </w:r>
      <w:r>
        <w:rPr>
          <w:rFonts w:ascii="Times New Roman;sans-serif" w:hAnsi="Times New Roman;sans-serif"/>
          <w:b w:val="false"/>
          <w:color w:val="000000"/>
          <w:sz w:val="22"/>
        </w:rPr>
        <w:t xml:space="preserve">the acquisitions permitted pursuant to </w:t>
      </w:r>
      <w:r>
        <w:rPr>
          <w:rFonts w:ascii="Times New Roman;sans-serif" w:hAnsi="Times New Roman;sans-serif"/>
          <w:b w:val="false"/>
          <w:color w:val="000000"/>
          <w:sz w:val="22"/>
          <w:u w:val="single"/>
        </w:rPr>
        <w:t>Section 10.3(g)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Liens</w:t>
      </w:r>
      <w:r>
        <w:rPr>
          <w:color w:val="000000"/>
        </w:rPr>
        <w:t xml:space="preserve">” </w:t>
      </w:r>
      <w:r>
        <w:rPr>
          <w:rFonts w:ascii="Times New Roman;sans-serif" w:hAnsi="Times New Roman;sans-serif"/>
          <w:b w:val="false"/>
          <w:color w:val="000000"/>
          <w:sz w:val="22"/>
        </w:rPr>
        <w:t xml:space="preserve">means the Liens permitted pursuant to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Platform</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7.3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Pledge Agreement</w:t>
      </w:r>
      <w:r>
        <w:rPr>
          <w:color w:val="000000"/>
        </w:rPr>
        <w:t xml:space="preserve">” </w:t>
      </w:r>
      <w:r>
        <w:rPr>
          <w:rFonts w:ascii="Times New Roman;sans-serif" w:hAnsi="Times New Roman;sans-serif"/>
          <w:b w:val="false"/>
          <w:color w:val="000000"/>
          <w:sz w:val="22"/>
        </w:rPr>
        <w:t xml:space="preserve">means that certain amended and restated pledge agreement of even date herewith executed by the Credit Parties in favor of the Administrative Agent for the ratable benefit of itself and the Lenders, substantially in the form of </w:t>
      </w:r>
      <w:r>
        <w:rPr>
          <w:rFonts w:ascii="Times New Roman;sans-serif" w:hAnsi="Times New Roman;sans-serif"/>
          <w:b/>
          <w:i/>
          <w:color w:val="000000"/>
          <w:sz w:val="22"/>
        </w:rPr>
        <w:t>Exhibit I</w:t>
      </w:r>
      <w:r>
        <w:rPr>
          <w:rFonts w:ascii="Times New Roman;sans-serif" w:hAnsi="Times New Roman;sans-serif"/>
          <w:b w:val="false"/>
          <w:color w:val="000000"/>
          <w:sz w:val="22"/>
        </w:rPr>
        <w:t>,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Pounds Sterling</w:t>
      </w:r>
      <w:r>
        <w:rPr>
          <w:color w:val="000000"/>
        </w:rPr>
        <w:t xml:space="preserve">” </w:t>
      </w:r>
      <w:r>
        <w:rPr>
          <w:rFonts w:ascii="Times New Roman;sans-serif" w:hAnsi="Times New Roman;sans-serif"/>
          <w:b w:val="false"/>
          <w:color w:val="000000"/>
          <w:sz w:val="22"/>
        </w:rPr>
        <w:t>means the lawful currency of the United Kingdom.</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Pre-Adjustment Successor Rate</w:t>
      </w:r>
      <w:r>
        <w:rPr>
          <w:strike/>
          <w:color w:val="FF0000"/>
        </w:rPr>
        <w:t xml:space="preserve">” </w:t>
      </w:r>
      <w:r>
        <w:rPr>
          <w:rFonts w:ascii="Times New Roman;sans-serif" w:hAnsi="Times New Roman;sans-serif"/>
          <w:b w:val="false"/>
          <w:strike/>
          <w:color w:val="FF0000"/>
          <w:sz w:val="22"/>
        </w:rPr>
        <w:t xml:space="preserve">has the meaning assigned to such term in </w:t>
      </w:r>
      <w:r>
        <w:rPr>
          <w:rFonts w:ascii="Times New Roman;sans-serif" w:hAnsi="Times New Roman;sans-serif"/>
          <w:b w:val="false"/>
          <w:strike/>
          <w:color w:val="FF0000"/>
          <w:sz w:val="22"/>
          <w:u w:val="single"/>
        </w:rPr>
        <w:t>Section 4.8(c)</w:t>
      </w:r>
      <w:r>
        <w:rPr>
          <w:rFonts w:ascii="Times New Roman;sans-serif" w:hAnsi="Times New Roman;sans-serif"/>
          <w:b w:val="false"/>
          <w:strike/>
          <w:color w:val="FF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Prepayment Event</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any sale, transfer or other disposition (including pursuant to a sale and leaseback transaction) of any property or asset of any Credit Party in excess of $15,000,000 with respect to any individual sale, transfer or disposition, or $20,000,000 in the aggregate with respect to all such sales, transfers and assignments, in each case during a Fiscal Year, other than dispositions described in </w:t>
      </w:r>
      <w:r>
        <w:rPr>
          <w:rFonts w:ascii="Times New Roman;sans-serif" w:hAnsi="Times New Roman;sans-serif"/>
          <w:b w:val="false"/>
          <w:color w:val="000000"/>
          <w:sz w:val="22"/>
          <w:u w:val="single"/>
        </w:rPr>
        <w:t>Section 10.5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the incurrence by the Company or any Restricted Subsidiary of any Indebtedness for borrowed money, other than Indebtedness permitted under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239"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Adjustments</w:t>
      </w:r>
      <w:r>
        <w:rPr>
          <w:color w:val="000000"/>
        </w:rPr>
        <w:t xml:space="preserve">” </w:t>
      </w:r>
      <w:r>
        <w:rPr>
          <w:rFonts w:ascii="Times New Roman;sans-serif" w:hAnsi="Times New Roman;sans-serif"/>
          <w:b w:val="false"/>
          <w:color w:val="000000"/>
          <w:sz w:val="22"/>
        </w:rPr>
        <w:t xml:space="preserve">means adjustments to EBITDA reflecting any </w:t>
      </w:r>
      <w:r>
        <w:rPr>
          <w:rFonts w:ascii="Times New Roman;sans-serif" w:hAnsi="Times New Roman;sans-serif"/>
          <w:b w:val="false"/>
          <w:strike/>
          <w:color w:val="FF0000"/>
          <w:sz w:val="22"/>
        </w:rPr>
        <w:t>non-recurring</w:t>
      </w:r>
      <w:r>
        <w:rPr>
          <w:rFonts w:ascii="Times New Roman;sans-serif" w:hAnsi="Times New Roman;sans-serif"/>
          <w:b w:val="false"/>
          <w:color w:val="0000FF"/>
          <w:sz w:val="22"/>
          <w:u w:val="single"/>
        </w:rPr>
        <w:t>non-recurring</w:t>
      </w:r>
      <w:r>
        <w:rPr>
          <w:color w:val="000000"/>
        </w:rPr>
        <w:t xml:space="preserve"> </w:t>
      </w:r>
      <w:r>
        <w:rPr>
          <w:rFonts w:ascii="Times New Roman;sans-serif" w:hAnsi="Times New Roman;sans-serif"/>
          <w:b w:val="false"/>
          <w:color w:val="000000"/>
          <w:sz w:val="22"/>
        </w:rPr>
        <w:t xml:space="preserve">costs, any extraordinary expenses, any synergies, cost savings, operating expense reductions or other operating improvements in connection with </w:t>
      </w:r>
      <w:r>
        <w:rPr>
          <w:rFonts w:ascii="Times New Roman;sans-serif" w:hAnsi="Times New Roman;sans-serif"/>
          <w:b w:val="false"/>
          <w:strike/>
          <w:color w:val="FF0000"/>
          <w:sz w:val="22"/>
        </w:rPr>
        <w:t>such Permitted Acquisitions</w:t>
      </w:r>
      <w:r>
        <w:rPr>
          <w:rFonts w:ascii="Times New Roman;sans-serif" w:hAnsi="Times New Roman;sans-serif"/>
          <w:b w:val="false"/>
          <w:color w:val="0000FF"/>
          <w:sz w:val="22"/>
          <w:u w:val="single"/>
        </w:rPr>
        <w:t>any Investment permitted by Section 10.3</w:t>
      </w:r>
      <w:r>
        <w:rPr>
          <w:color w:val="000000"/>
        </w:rPr>
        <w:t xml:space="preserve"> </w:t>
      </w:r>
      <w:r>
        <w:rPr>
          <w:rFonts w:ascii="Times New Roman;sans-serif" w:hAnsi="Times New Roman;sans-serif"/>
          <w:b w:val="false"/>
          <w:color w:val="000000"/>
          <w:sz w:val="22"/>
        </w:rPr>
        <w:t xml:space="preserve">and such other adjustments reasonably acceptable to the Administrative Agent in connection with any </w:t>
      </w:r>
      <w:r>
        <w:rPr>
          <w:rFonts w:ascii="Times New Roman;sans-serif" w:hAnsi="Times New Roman;sans-serif"/>
          <w:b w:val="false"/>
          <w:strike/>
          <w:color w:val="FF0000"/>
          <w:sz w:val="22"/>
        </w:rPr>
        <w:t>Permitted Acquisitions</w:t>
      </w:r>
      <w:r>
        <w:rPr>
          <w:rFonts w:ascii="Times New Roman;sans-serif" w:hAnsi="Times New Roman;sans-serif"/>
          <w:b w:val="false"/>
          <w:color w:val="0000FF"/>
          <w:sz w:val="22"/>
          <w:u w:val="single"/>
        </w:rPr>
        <w:t>such Investment</w:t>
      </w:r>
      <w:r>
        <w:rPr>
          <w:color w:val="000000"/>
        </w:rPr>
        <w:t xml:space="preserve"> </w:t>
      </w:r>
      <w:r>
        <w:rPr>
          <w:rFonts w:ascii="Times New Roman;sans-serif" w:hAnsi="Times New Roman;sans-serif"/>
          <w:b w:val="false"/>
          <w:color w:val="000000"/>
          <w:sz w:val="22"/>
        </w:rPr>
        <w:t xml:space="preserve">and any asset disposition permitted pursuant to </w:t>
      </w:r>
      <w:r>
        <w:rPr>
          <w:rFonts w:ascii="Times New Roman;sans-serif" w:hAnsi="Times New Roman;sans-serif"/>
          <w:b w:val="false"/>
          <w:color w:val="0000FF"/>
          <w:sz w:val="22"/>
          <w:u w:val="single"/>
        </w:rPr>
        <w:t xml:space="preserve">Section 10.4 or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closed during such period that are reasonably identifiable and factually supportable and otherwise calculated on a basis consistent with GAAP and Regulation </w:t>
      </w:r>
      <w:r>
        <w:rPr>
          <w:rFonts w:ascii="Times New Roman;sans-serif" w:hAnsi="Times New Roman;sans-serif"/>
          <w:b w:val="false"/>
          <w:strike/>
          <w:color w:val="FF0000"/>
          <w:sz w:val="22"/>
        </w:rPr>
        <w:t>S-X</w:t>
      </w:r>
      <w:r>
        <w:rPr>
          <w:rFonts w:ascii="Times New Roman;sans-serif" w:hAnsi="Times New Roman;sans-serif"/>
          <w:b w:val="false"/>
          <w:color w:val="0000FF"/>
          <w:sz w:val="22"/>
          <w:u w:val="single"/>
        </w:rPr>
        <w:t>S-X</w:t>
      </w:r>
      <w:r>
        <w:rPr>
          <w:color w:val="000000"/>
        </w:rPr>
        <w:t xml:space="preserve"> </w:t>
      </w:r>
      <w:r>
        <w:rPr>
          <w:rFonts w:ascii="Times New Roman;sans-serif" w:hAnsi="Times New Roman;sans-serif"/>
          <w:b w:val="false"/>
          <w:color w:val="000000"/>
          <w:sz w:val="22"/>
        </w:rPr>
        <w:t>of the Securities Exchange Act of 1934, as amended, or as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QFC Credit Support</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13.26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Qualified Capital Stock</w:t>
      </w:r>
      <w:r>
        <w:rPr>
          <w:color w:val="000000"/>
        </w:rPr>
        <w:t xml:space="preserve">” </w:t>
      </w:r>
      <w:r>
        <w:rPr>
          <w:rFonts w:ascii="Times New Roman;sans-serif" w:hAnsi="Times New Roman;sans-serif"/>
          <w:b w:val="false"/>
          <w:color w:val="000000"/>
          <w:sz w:val="22"/>
        </w:rPr>
        <w:t>means any Capital Stock that is not Disqualified Capital Stock.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Rate Determination Date</w:t>
      </w:r>
      <w:r>
        <w:rPr>
          <w:color w:val="000000"/>
        </w:rPr>
        <w:t xml:space="preserve">” </w:t>
      </w:r>
      <w:r>
        <w:rPr>
          <w:rFonts w:ascii="Times New Roman;sans-serif" w:hAnsi="Times New Roman;sans-serif"/>
          <w:b w:val="false"/>
          <w:color w:val="000000"/>
          <w:sz w:val="22"/>
        </w:rPr>
        <w:t xml:space="preserve">means two (2) Business Days prior to the commencement of such Interest Period (or such other day as is generally treated as the rate fixing day by market practice in such interbank market, as determined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such market practice is not administratively feasible for the Administrative Agent, then “Rate Determination Date” means such other day as otherwise reasonably determined by the Administrative Agent).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Ratio Incremental Revolving Amount” the meaning assigned thereto in Section 2.8(c)(v).</w:t>
      </w:r>
    </w:p>
    <w:p>
      <w:pPr>
        <w:pStyle w:val="TextBody"/>
        <w:bidi w:val="0"/>
        <w:spacing w:lineRule="auto" w:line="288" w:before="0" w:after="240"/>
        <w:jc w:val="both"/>
        <w:rPr>
          <w:color w:val="0000FF"/>
          <w:u w:val="single"/>
        </w:rPr>
      </w:pPr>
      <w:r>
        <w:rPr>
          <w:color w:val="0000FF"/>
          <w:u w:val="single"/>
        </w:rPr>
        <w:t>“</w:t>
      </w:r>
      <w:r>
        <w:rPr>
          <w:rFonts w:ascii="Times New Roman;sans-serif" w:hAnsi="Times New Roman;sans-serif"/>
          <w:b w:val="false"/>
          <w:color w:val="0000FF"/>
          <w:sz w:val="22"/>
          <w:u w:val="single"/>
        </w:rPr>
        <w:t>Ratio Incremental Term Loan Amount” the meaning assigned thereto in Section 2.9(c)(v).</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means the Administrative Agent, any Lender, any Issuing Lender or any other recipient of any payment to be made by or on account of any obligation of any Credit Party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13.9(c)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Reimbursement Obligation</w:t>
      </w:r>
      <w:r>
        <w:rPr>
          <w:color w:val="000000"/>
        </w:rPr>
        <w:t xml:space="preserve">” </w:t>
      </w:r>
      <w:r>
        <w:rPr>
          <w:rFonts w:ascii="Times New Roman;sans-serif" w:hAnsi="Times New Roman;sans-serif"/>
          <w:b w:val="false"/>
          <w:color w:val="000000"/>
          <w:sz w:val="22"/>
        </w:rPr>
        <w:t xml:space="preserve">means the obligation of the Borrowers to reimburse the Issuing Lenders pursuant to </w:t>
      </w:r>
      <w:r>
        <w:rPr>
          <w:rFonts w:ascii="Times New Roman;sans-serif" w:hAnsi="Times New Roman;sans-serif"/>
          <w:b w:val="false"/>
          <w:color w:val="000000"/>
          <w:sz w:val="22"/>
          <w:u w:val="single"/>
        </w:rPr>
        <w:t>Section 2.3(c)</w:t>
      </w:r>
      <w:r>
        <w:rPr>
          <w:color w:val="000000"/>
        </w:rPr>
        <w:t xml:space="preserve"> </w:t>
      </w:r>
      <w:r>
        <w:rPr>
          <w:rFonts w:ascii="Times New Roman;sans-serif" w:hAnsi="Times New Roman;sans-serif"/>
          <w:b w:val="false"/>
          <w:color w:val="000000"/>
          <w:sz w:val="22"/>
        </w:rPr>
        <w:t>for amounts drawn under Letters of Credit.</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Related Adjustment</w:t>
      </w:r>
      <w:r>
        <w:rPr>
          <w:strike/>
          <w:color w:val="FF0000"/>
        </w:rPr>
        <w:t xml:space="preserve">” </w:t>
      </w:r>
      <w:r>
        <w:rPr>
          <w:rFonts w:ascii="Times New Roman;sans-serif" w:hAnsi="Times New Roman;sans-serif"/>
          <w:b w:val="false"/>
          <w:strike/>
          <w:color w:val="FF0000"/>
          <w:sz w:val="22"/>
        </w:rPr>
        <w:t xml:space="preserve">means, in determining any Dollar LIBOR Successor Rate, the first relevant available alternative set forth in the order below that can be determined by the Administrative Agent applicable to such Dollar LIBOR Successor Rate: </w:t>
      </w:r>
    </w:p>
    <w:p>
      <w:pPr>
        <w:pStyle w:val="TextBody"/>
        <w:bidi w:val="0"/>
        <w:spacing w:lineRule="auto" w:line="288" w:before="0" w:after="24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 xml:space="preserve">(a) 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 selected by the Administrative Agent from time to time in its reasonable discretion or (y) solely with respect to Term SOFR, if not currently published, which was previously so recommended for Term SOFR and published on an information service acceptable to the Administrative Agent; or </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240"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(b) 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Person, such Person’s Affiliates and the directors, officers, employees, agents, consultants, service providers and advisors of such Person and of such Person’s Affiliates.</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Relevant Governmental Body</w:t>
      </w:r>
      <w:r>
        <w:rPr>
          <w:strike/>
          <w:color w:val="FF0000"/>
        </w:rPr>
        <w:t xml:space="preserve">” </w:t>
      </w:r>
      <w:r>
        <w:rPr>
          <w:rFonts w:ascii="Times New Roman;sans-serif" w:hAnsi="Times New Roman;sans-serif"/>
          <w:b w:val="false"/>
          <w:strike/>
          <w:color w:val="FF0000"/>
          <w:sz w:val="22"/>
        </w:rPr>
        <w:t xml:space="preserve">means the Federal Reserve Board and/or </w:t>
      </w:r>
      <w:r>
        <w:rPr>
          <w:rFonts w:ascii="Times New Roman;sans-serif" w:hAnsi="Times New Roman;sans-serif"/>
          <w:b w:val="false"/>
          <w:strike/>
          <w:color w:val="008000"/>
          <w:sz w:val="22"/>
        </w:rPr>
        <w:t>the Federal Reserve Bank of New York</w:t>
      </w:r>
      <w:r>
        <w:rPr>
          <w:rFonts w:ascii="Times New Roman;sans-serif" w:hAnsi="Times New Roman;sans-serif"/>
          <w:b w:val="false"/>
          <w:strike/>
          <w:color w:val="FF0000"/>
          <w:sz w:val="22"/>
        </w:rPr>
        <w:t xml:space="preserve">, or a committee officially endorsed or convened by the Federal Reserve Board and/or the Federal Reserve Bank of New York. </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Relevant Rate” means with respect to any Extension of Credit denominated in (a) Dollars, SOFR, (b) Pounds Sterling, SONIA, (c) euros, EURIBOR, (d) Canadian Dollars, the Term CORRA Rate, (e) Australian Dollars, BBSY, (h) </w:t>
      </w:r>
      <w:r>
        <w:rPr>
          <w:rFonts w:ascii="Times New Roman;sans-serif" w:hAnsi="Times New Roman;sans-serif"/>
          <w:b w:val="false"/>
          <w:color w:val="008000"/>
          <w:sz w:val="22"/>
          <w:u w:val="single"/>
        </w:rPr>
        <w:t>New Zealand Dollars, BKBM,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means, at any date, any combination of Lenders who hold in the aggregate more than fifty percent (50%) of the sum of (a) the Commitments and (b) the aggregate outstanding Extensions of Credit under the Term Loan and the Incremental Term Loans, or, if the Credit Facility has been terminated pursuant to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 xml:space="preserve">, any combination of Lenders holding more than fifty percent (50%) of the aggregate Extensions of Credit;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Commitment of, and the portion of the Extensions of Credit, as applicable, held or deemed held by, any Defaulting Lender shall be excluded for purposes of making a determination of the Required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Required Revolving Credit Lenders</w:t>
      </w:r>
      <w:r>
        <w:rPr>
          <w:color w:val="000000"/>
        </w:rPr>
        <w:t xml:space="preserve">” </w:t>
      </w:r>
      <w:r>
        <w:rPr>
          <w:rFonts w:ascii="Times New Roman;sans-serif" w:hAnsi="Times New Roman;sans-serif"/>
          <w:b w:val="false"/>
          <w:color w:val="000000"/>
          <w:sz w:val="22"/>
        </w:rPr>
        <w:t xml:space="preserve">means, at any date, any combination of Lenders who hold in the aggregate more than fifty percent (50%) of the Revolving Credit Commitments, or, if the Credit Facility has been terminated pursuant to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 xml:space="preserve">, any combination of Lenders holding more than fifty percent (50%) of the aggregate Revolving Credit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Revolving Credit Commitment of, and the portion of the Revolving Credit Loans, as applicable, held or deemed held by, any Defaulting Lender shall be excluded for purposes of making a determination of the Required Revolving Credit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Rescindable Amount</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4.4(b)(ii)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Resignation Effective Date</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12.6(a)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 xml:space="preserve">means the chief executive officer, president, chief financial officer, treasurer, assistant treasurer or controller, solely for purposes of the delivery of incumbency certificates pursuant to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the secretary or any assistant secretary of a Credit Party and, solely for purposes of notices given pursuant to Article II, any other officer or employee of the applicable Credit Party so designated by any of the foregoing officers in a notice to the Administrative Agent or any other officer or employee of the applicable Credit Party designated in or pursuant to an agreement between the applicable Credit Party and the Administrative Agent. Any document delivered hereunder that is signed by a Responsible Officer of a Credit Party shall be conclusively presumed to have been authorized by all necessary corporate, partnership and/or other action on the part of such Credit Party and such Responsible Officer shall be conclusively presumed to have acted on behalf of such Credit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Restricted Subsidiary</w:t>
      </w:r>
      <w:r>
        <w:rPr>
          <w:color w:val="000000"/>
        </w:rPr>
        <w:t xml:space="preserve">” </w:t>
      </w:r>
      <w:r>
        <w:rPr>
          <w:rFonts w:ascii="Times New Roman;sans-serif" w:hAnsi="Times New Roman;sans-serif"/>
          <w:b w:val="false"/>
          <w:color w:val="000000"/>
          <w:sz w:val="22"/>
        </w:rPr>
        <w:t>means, at the date of any determination, any Subsidiary of the Company that is not an Unrestricted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241"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Commitment</w:t>
      </w:r>
      <w:r>
        <w:rPr>
          <w:color w:val="000000"/>
        </w:rPr>
        <w:t xml:space="preserve">” </w:t>
      </w:r>
      <w:r>
        <w:rPr>
          <w:rFonts w:ascii="Times New Roman;sans-serif" w:hAnsi="Times New Roman;sans-serif"/>
          <w:b w:val="false"/>
          <w:color w:val="000000"/>
          <w:sz w:val="22"/>
        </w:rPr>
        <w:t>means the Dollar Tranche Revolving Credit Commitment and the Designated Currency Tranche Revolving Credit Commitment.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Commitment Percentage</w:t>
      </w:r>
      <w:r>
        <w:rPr>
          <w:color w:val="000000"/>
        </w:rPr>
        <w:t xml:space="preserve">” </w:t>
      </w:r>
      <w:r>
        <w:rPr>
          <w:rFonts w:ascii="Times New Roman;sans-serif" w:hAnsi="Times New Roman;sans-serif"/>
          <w:b w:val="false"/>
          <w:color w:val="000000"/>
          <w:sz w:val="22"/>
        </w:rPr>
        <w:t>means, as to any Revolving Credit Lender at any time, the ratio of (a) the amount of the Revolving Credit Commitment of such Revolving Credit Lender to (b) the Revolving Credit Commitments of all Revolving Credit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Facility</w:t>
      </w:r>
      <w:r>
        <w:rPr>
          <w:color w:val="000000"/>
        </w:rPr>
        <w:t xml:space="preserve">” </w:t>
      </w:r>
      <w:r>
        <w:rPr>
          <w:rFonts w:ascii="Times New Roman;sans-serif" w:hAnsi="Times New Roman;sans-serif"/>
          <w:b w:val="false"/>
          <w:color w:val="000000"/>
          <w:sz w:val="22"/>
        </w:rPr>
        <w:t>means the Dollar Tranche Revolving Credit Facility and the Designated Currency Tranche Revolving Credit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Increase Effective Date</w:t>
      </w:r>
      <w:r>
        <w:rPr>
          <w:color w:val="000000"/>
        </w:rPr>
        <w:t xml:space="preserve">” </w:t>
      </w:r>
      <w:r>
        <w:rPr>
          <w:rFonts w:ascii="Times New Roman;sans-serif" w:hAnsi="Times New Roman;sans-serif"/>
          <w:b w:val="false"/>
          <w:color w:val="000000"/>
          <w:sz w:val="22"/>
        </w:rPr>
        <w:t xml:space="preserve">means the date, which shall be a Business Day, on or prior to the date that is three (3) months prior to the Maturity Date, but no earlier than thirty (30) days after any Revolving Credit Increase Notification Date (unless a shorter period is agreed to by all affected Increasing Revolving Lenders), on which each of the Increasing Revolving Lenders increase (or, in the case of New Lenders, provide) their respective Revolving Credit Commitments to the Borrowers pursuant to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Increase Notification</w:t>
      </w:r>
      <w:r>
        <w:rPr>
          <w:color w:val="000000"/>
        </w:rPr>
        <w:t xml:space="preserve">” </w:t>
      </w:r>
      <w:r>
        <w:rPr>
          <w:rFonts w:ascii="Times New Roman;sans-serif" w:hAnsi="Times New Roman;sans-serif"/>
          <w:b w:val="false"/>
          <w:color w:val="000000"/>
          <w:sz w:val="22"/>
        </w:rPr>
        <w:t xml:space="preserve">means the written notice by the Company of its desire to increase the Revolving Credit Commitment pursuant to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Increase Notification Date</w:t>
      </w:r>
      <w:r>
        <w:rPr>
          <w:color w:val="000000"/>
        </w:rPr>
        <w:t xml:space="preserve">” </w:t>
      </w:r>
      <w:r>
        <w:rPr>
          <w:rFonts w:ascii="Times New Roman;sans-serif" w:hAnsi="Times New Roman;sans-serif"/>
          <w:b w:val="false"/>
          <w:color w:val="000000"/>
          <w:sz w:val="22"/>
        </w:rPr>
        <w:t>means the date on which the Revolving Credit Increase Notification is received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Lender</w:t>
      </w:r>
      <w:r>
        <w:rPr>
          <w:color w:val="000000"/>
        </w:rPr>
        <w:t xml:space="preserve">” </w:t>
      </w:r>
      <w:r>
        <w:rPr>
          <w:rFonts w:ascii="Times New Roman;sans-serif" w:hAnsi="Times New Roman;sans-serif"/>
          <w:b w:val="false"/>
          <w:color w:val="000000"/>
          <w:sz w:val="22"/>
        </w:rPr>
        <w:t>means any Dollar Tranche Revolving Credit Lender or Designated Currency Tranche Revolving Credit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Loans</w:t>
      </w:r>
      <w:r>
        <w:rPr>
          <w:color w:val="000000"/>
        </w:rPr>
        <w:t xml:space="preserve">” </w:t>
      </w:r>
      <w:r>
        <w:rPr>
          <w:rFonts w:ascii="Times New Roman;sans-serif" w:hAnsi="Times New Roman;sans-serif"/>
          <w:b w:val="false"/>
          <w:color w:val="000000"/>
          <w:sz w:val="22"/>
        </w:rPr>
        <w:t>means any Dollar Tranche Revolving Credit Loans or Designated Currency Tranche Revolving Credit Loans, as the context requires.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Note</w:t>
      </w:r>
      <w:r>
        <w:rPr>
          <w:color w:val="000000"/>
        </w:rPr>
        <w:t xml:space="preserve">” </w:t>
      </w:r>
      <w:r>
        <w:rPr>
          <w:rFonts w:ascii="Times New Roman;sans-serif" w:hAnsi="Times New Roman;sans-serif"/>
          <w:b w:val="false"/>
          <w:color w:val="000000"/>
          <w:sz w:val="22"/>
        </w:rPr>
        <w:t>means a Dollar Tranche Revolving Credit Note or Designated Currency Tranche Revolving Credit Note,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Financial Services LLC, a subsidiary of S&amp;P Global Inc., and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Same Day Funds</w:t>
      </w:r>
      <w:r>
        <w:rPr>
          <w:color w:val="000000"/>
        </w:rPr>
        <w:t xml:space="preserve">” </w:t>
      </w:r>
      <w:r>
        <w:rPr>
          <w:rFonts w:ascii="Times New Roman;sans-serif" w:hAnsi="Times New Roman;sans-serif"/>
          <w:b w:val="false"/>
          <w:color w:val="000000"/>
          <w:sz w:val="22"/>
        </w:rPr>
        <w:t xml:space="preserve">means (a) with respect to disbursements and payments in Dollars, immediately available funds, and (b) with respect to disbursements and payments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same day or other funds as may be determined by the Administrative Agent or the applicable Issuing Lender, as the case may be, to be customary in the place of disbursement or payment for the settlement of international banking transactions in the relevant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 xml:space="preserve">means any </w:t>
      </w:r>
      <w:r>
        <w:rPr>
          <w:rFonts w:ascii="Times New Roman;sans-serif" w:hAnsi="Times New Roman;sans-serif"/>
          <w:b w:val="false"/>
          <w:strike/>
          <w:color w:val="FF0000"/>
          <w:sz w:val="22"/>
        </w:rPr>
        <w:t>sanction</w:t>
      </w:r>
      <w:r>
        <w:rPr>
          <w:rFonts w:ascii="Times New Roman;sans-serif" w:hAnsi="Times New Roman;sans-serif"/>
          <w:b w:val="false"/>
          <w:color w:val="0000FF"/>
          <w:sz w:val="22"/>
          <w:u w:val="single"/>
        </w:rPr>
        <w:t>economic or financial sanctions or trade embargoes imposed,</w:t>
      </w:r>
      <w:r>
        <w:rPr>
          <w:color w:val="000000"/>
        </w:rPr>
        <w:t xml:space="preserve"> </w:t>
      </w:r>
      <w:r>
        <w:rPr>
          <w:rFonts w:ascii="Times New Roman;sans-serif" w:hAnsi="Times New Roman;sans-serif"/>
          <w:b w:val="false"/>
          <w:color w:val="000000"/>
          <w:sz w:val="22"/>
        </w:rPr>
        <w:t xml:space="preserve">administered or enforced by the United States Government (including, without limitation, OFAC), the United Nations Security Council, the EU, </w:t>
      </w:r>
      <w:r>
        <w:rPr>
          <w:rFonts w:ascii="Times New Roman;sans-serif" w:hAnsi="Times New Roman;sans-serif"/>
          <w:b w:val="false"/>
          <w:strike/>
          <w:color w:val="FF0000"/>
          <w:sz w:val="22"/>
        </w:rPr>
        <w:t>Her</w:t>
      </w:r>
      <w:r>
        <w:rPr>
          <w:rFonts w:ascii="Times New Roman;sans-serif" w:hAnsi="Times New Roman;sans-serif"/>
          <w:b w:val="false"/>
          <w:color w:val="0000FF"/>
          <w:sz w:val="22"/>
          <w:u w:val="single"/>
        </w:rPr>
        <w:t>His</w:t>
      </w:r>
      <w:r>
        <w:rPr>
          <w:color w:val="000000"/>
        </w:rPr>
        <w:t xml:space="preserve"> </w:t>
      </w:r>
      <w:r>
        <w:rPr>
          <w:rFonts w:ascii="Times New Roman;sans-serif" w:hAnsi="Times New Roman;sans-serif"/>
          <w:b w:val="false"/>
          <w:color w:val="000000"/>
          <w:sz w:val="22"/>
        </w:rPr>
        <w:t>Majesty’s Treasury or other relevant sanctions authority having jurisdiction over the Company and its Subsidiaries</w:t>
      </w:r>
      <w:r>
        <w:rPr>
          <w:color w:val="0000FF"/>
          <w:u w:val="single"/>
        </w:rPr>
        <w:t xml:space="preserve"> </w:t>
      </w:r>
      <w:r>
        <w:rPr>
          <w:rFonts w:ascii="Times New Roman;sans-serif" w:hAnsi="Times New Roman;sans-serif"/>
          <w:b w:val="false"/>
          <w:color w:val="0000FF"/>
          <w:sz w:val="22"/>
          <w:u w:val="single"/>
        </w:rPr>
        <w:t>except to the extent contrary to Applicable Laws of the United States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Scheduled Unavailability Date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4.8(c)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Screen Rate</w:t>
      </w:r>
      <w:r>
        <w:rPr>
          <w:strike/>
          <w:color w:val="FF0000"/>
        </w:rPr>
        <w:t xml:space="preserve">” </w:t>
      </w:r>
      <w:r>
        <w:rPr>
          <w:rFonts w:ascii="Times New Roman;sans-serif" w:hAnsi="Times New Roman;sans-serif"/>
          <w:b w:val="false"/>
          <w:strike/>
          <w:color w:val="FF0000"/>
          <w:sz w:val="22"/>
        </w:rPr>
        <w:t xml:space="preserve">means the Applicable Reference Rate quote for an Applicable Currency on the applicable screen page the Administrative Agent designates to determine such Applicable Reference Rate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242"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for such Applicable Currency (or such other commercially available source providing such quotations for such Applicable Currency as may be designated by the Administrative Agent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Security Documents</w:t>
      </w:r>
      <w:r>
        <w:rPr>
          <w:color w:val="000000"/>
        </w:rPr>
        <w:t xml:space="preserve">” </w:t>
      </w:r>
      <w:r>
        <w:rPr>
          <w:rFonts w:ascii="Times New Roman;sans-serif" w:hAnsi="Times New Roman;sans-serif"/>
          <w:b w:val="false"/>
          <w:color w:val="000000"/>
          <w:sz w:val="22"/>
        </w:rPr>
        <w:t>means the collective reference to the Guaranty Agreement, the Pledge Agreement and each other agreement or writing pursuant to which any Credit Party purports to pledge or grant a security interest in Capital Stock securing the Obligations or any such Person purports to guaranty the payment and/or performance of the Obligations, in each case,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Senior Officer</w:t>
      </w:r>
      <w:r>
        <w:rPr>
          <w:color w:val="000000"/>
        </w:rPr>
        <w:t xml:space="preserve">” </w:t>
      </w:r>
      <w:r>
        <w:rPr>
          <w:rFonts w:ascii="Times New Roman;sans-serif" w:hAnsi="Times New Roman;sans-serif"/>
          <w:b w:val="false"/>
          <w:color w:val="000000"/>
          <w:sz w:val="22"/>
        </w:rPr>
        <w:t>means the chief executive officer, president or chief financial officer of the Company.</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SOFR</w:t>
      </w:r>
      <w:r>
        <w:rPr>
          <w:strike/>
          <w:color w:val="FF0000"/>
        </w:rPr>
        <w:t xml:space="preserve">” </w:t>
      </w:r>
      <w:r>
        <w:rPr>
          <w:rFonts w:ascii="Times New Roman;sans-serif" w:hAnsi="Times New Roman;sans-serif"/>
          <w:b w:val="false"/>
          <w:strike/>
          <w:color w:val="FF0000"/>
          <w:sz w:val="22"/>
        </w:rPr>
        <w:t xml:space="preserve">with respect to any Business Day means the secured overnight financing rate published for such day </w:t>
      </w:r>
      <w:r>
        <w:rPr>
          <w:rFonts w:ascii="Times New Roman;sans-serif" w:hAnsi="Times New Roman;sans-serif"/>
          <w:b w:val="false"/>
          <w:strike/>
          <w:color w:val="008000"/>
          <w:sz w:val="22"/>
        </w:rPr>
        <w:t>by the Federal Reserve Bank of New York</w:t>
      </w:r>
      <w:r>
        <w:rPr>
          <w:rFonts w:ascii="Times New Roman;sans-serif" w:hAnsi="Times New Roman;sans-serif"/>
          <w:b w:val="false"/>
          <w:strike/>
          <w:color w:val="FF0000"/>
          <w:sz w:val="22"/>
        </w:rPr>
        <w:t xml:space="preserve">, as the administrator of the benchmark (or a successor administrator) on the Federal Reserve Bank of New York’s website (or any successor source) at approximately 8:00 a.m. (New York City time) on the immediately succeeding Business Day and, in each case, that has been selected or recommended by the Relevant Governmental Body. </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SOFR” means the Secured Overnight Financing Rate as administered by </w:t>
      </w:r>
      <w:r>
        <w:rPr>
          <w:rFonts w:ascii="Times New Roman;sans-serif" w:hAnsi="Times New Roman;sans-serif"/>
          <w:b w:val="false"/>
          <w:color w:val="008000"/>
          <w:sz w:val="22"/>
          <w:u w:val="single"/>
        </w:rPr>
        <w:t xml:space="preserve">the Federal Reserve Bank of New York </w:t>
      </w:r>
      <w:r>
        <w:rPr>
          <w:rFonts w:ascii="Times New Roman;sans-serif" w:hAnsi="Times New Roman;sans-serif"/>
          <w:b w:val="false"/>
          <w:color w:val="0000FF"/>
          <w:sz w:val="22"/>
          <w:u w:val="single"/>
        </w:rPr>
        <w:t>(or a successor administrator).</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SOFR Adjustment” means 0.10% (10 basis points).</w:t>
      </w:r>
    </w:p>
    <w:p>
      <w:pPr>
        <w:pStyle w:val="TextBody"/>
        <w:bidi w:val="0"/>
        <w:spacing w:lineRule="auto" w:line="288" w:before="0" w:after="240"/>
        <w:jc w:val="both"/>
        <w:rPr>
          <w:color w:val="0000FF"/>
          <w:u w:val="single"/>
        </w:rPr>
      </w:pPr>
      <w:r>
        <w:rPr>
          <w:color w:val="0000FF"/>
          <w:u w:val="single"/>
        </w:rPr>
        <w:t>“</w:t>
      </w:r>
      <w:r>
        <w:rPr>
          <w:rFonts w:ascii="Times New Roman;sans-serif" w:hAnsi="Times New Roman;sans-serif"/>
          <w:b w:val="false"/>
          <w:color w:val="0000FF"/>
          <w:sz w:val="22"/>
          <w:u w:val="single"/>
        </w:rPr>
        <w:t>SOFR Scheduled Unavailability Date” has the meaning specified in Section 4.8(b).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Solvent</w:t>
      </w:r>
      <w:r>
        <w:rPr>
          <w:color w:val="000000"/>
        </w:rPr>
        <w:t xml:space="preserve">” </w:t>
      </w:r>
      <w:r>
        <w:rPr>
          <w:rFonts w:ascii="Times New Roman;sans-serif" w:hAnsi="Times New Roman;sans-serif"/>
          <w:b w:val="false"/>
          <w:color w:val="000000"/>
          <w:sz w:val="22"/>
        </w:rPr>
        <w:t>means, with respect to any Person on a particular date, that any such Person (a) has capital sufficient to carry on its business and transactions and all business and transactions in which it is about to engage and is able to pay its debts as they mature, (b) has assets having a value, both at fair valuation and at present fair saleable value, greater than the amount required to pay its probable liabilities (including contingencies), and (c) does not believe that it will incur debts or liabilities beyond its ability to pay such debts or liabilities as they mature.</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SONIA” means, with respect to any applicable determination date, the Sterling Overnight Index Average Reference Rate published on the fifth (5</w:t>
      </w:r>
      <w:r>
        <w:rPr>
          <w:rFonts w:ascii="Times New Roman;sans-serif" w:hAnsi="Times New Roman;sans-serif"/>
          <w:b w:val="false"/>
          <w:color w:val="0000FF"/>
          <w:sz w:val="14"/>
          <w:u w:val="single"/>
        </w:rPr>
        <w:t>th</w:t>
      </w:r>
      <w:r>
        <w:rPr>
          <w:rFonts w:ascii="Times New Roman;sans-serif" w:hAnsi="Times New Roman;sans-serif"/>
          <w:b w:val="false"/>
          <w:color w:val="0000FF"/>
          <w:sz w:val="22"/>
          <w:u w:val="single"/>
        </w:rPr>
        <w:t xml:space="preserve">) Business Day preceding such date on the applicable Reuters </w:t>
      </w:r>
      <w:r>
        <w:rPr>
          <w:rFonts w:ascii="Times New Roman;sans-serif" w:hAnsi="Times New Roman;sans-serif"/>
          <w:b w:val="false"/>
          <w:color w:val="008000"/>
          <w:sz w:val="22"/>
          <w:u w:val="single"/>
        </w:rPr>
        <w:t>screen page (or such other commercially available source providing such quotations as may be designated by the Administrative Agent from time to time)</w:t>
      </w:r>
      <w:r>
        <w:rPr>
          <w:rFonts w:ascii="Times New Roman;sans-serif" w:hAnsi="Times New Roman;sans-serif"/>
          <w:b w:val="false"/>
          <w:color w:val="0000FF"/>
          <w:sz w:val="22"/>
          <w:u w:val="single"/>
        </w:rPr>
        <w:t>; provided however that if such determination date is not a Business Day, SONIA means such rate that applied on the first Business Day immediately prior thereto.</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SONIA Adjustment” means, with respect to SONIA, 0.0326% per annum (3.26 basis points).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Special Notice Currency</w:t>
      </w:r>
      <w:r>
        <w:rPr>
          <w:color w:val="000000"/>
        </w:rPr>
        <w:t xml:space="preserve">” </w:t>
      </w:r>
      <w:r>
        <w:rPr>
          <w:rFonts w:ascii="Times New Roman;sans-serif" w:hAnsi="Times New Roman;sans-serif"/>
          <w:b w:val="false"/>
          <w:color w:val="000000"/>
          <w:sz w:val="22"/>
        </w:rPr>
        <w:t xml:space="preserve">means at any time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other than the currency of a country that is a member of the Organization for Economic Cooperation and Development at such time located in North America or Europe.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Credit Party</w:t>
      </w:r>
      <w:r>
        <w:rPr>
          <w:color w:val="000000"/>
        </w:rPr>
        <w:t xml:space="preserve">” </w:t>
      </w:r>
      <w:r>
        <w:rPr>
          <w:rFonts w:ascii="Times New Roman;sans-serif" w:hAnsi="Times New Roman;sans-serif"/>
          <w:b w:val="false"/>
          <w:color w:val="000000"/>
          <w:sz w:val="22"/>
        </w:rPr>
        <w:t>shall mean each Credit Party that is, at the time on which the relevant Guaranty Agreement or grant of the relevant security interest under the Loan Documents by such Credit Party becomes effective with respect to a Hedging Obligation, a corporation, partnership, proprietorship, organization, trust or other entity that would not be an “eligible contract participant” under the Commodity Exchange Act at such time but for the effect of Section 2.12 of the Guaranty Agreement.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243"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Specified Purchase Agreement Representations” means, with respect to any Permitted Acquisition or other Investment, such of the representations and warranties made by, or with respect to, the applicable entity to be acquired and its Subsidiaries (if any) in the applicable definitive agreement relating to such Permitted Acquisition or Investment as are material to the interests of the lenders providing the applicable Indebtedness, but only to the extent that the Borrowers (or their applicable Affiliates) have the right to terminate its (or their) obligations under such agreement, or to decline to consummate such transaction, as a result of a breach of any one or more of such representations and warranties in such agreement</w:t>
      </w:r>
      <w:r>
        <w:rPr>
          <w:rFonts w:ascii="Times New Roman;sans-serif" w:hAnsi="Times New Roman;sans-serif"/>
          <w:b w:val="false"/>
          <w:color w:val="008000"/>
          <w:sz w:val="22"/>
          <w:u w:val="single"/>
        </w:rPr>
        <w:t xml:space="preserve">, in each case, without any </w:t>
      </w:r>
      <w:r>
        <w:rPr>
          <w:rFonts w:ascii="Times New Roman;sans-serif" w:hAnsi="Times New Roman;sans-serif"/>
          <w:b w:val="false"/>
          <w:color w:val="0000FF"/>
          <w:sz w:val="22"/>
          <w:u w:val="single"/>
        </w:rPr>
        <w:t>liability to, and without resulting in the payment of any fees, liquidated damages or other amounts by, the Borrowers (or their Affiliates or Subsidiaries).</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Specified Representations” means the representations and warranties made in Sections 6.1(a)(i) (as to valid existence of the Credit Parties) and (a)(ii), Section 6.1(c), Section 6.1(d)(ii), Section 6.1(j), Section 6.1(k), Section 6.1(p) (as of the date of the applicable Incremental Term Loans immediately after giving effect to the incurrence thereof and to the consummation of the applicable Acquisition or other Investment and the incurrence of any Indebtedness, grant of any Liens or making of any dividend or distribution in connection therewith), Section 6.1(v), Section 6.1(w) and Section 6.1(z) (but only with respect to (i) assets with respect to which a lien may be perfected by the filing of a financing statement under the Uniform Commercial Code, (ii) the pledge and perfection of security interests in equity interests of the Borrowers’ material, wholly owned Domestic Subsidiaries (excluding delivery of stock certificates of any Person acquired pursuant to the applicable Permitted Acquisition or Investment to the extent not received from the seller under the definitive agreement relating to such Permitted Acquisition or Investment) and (iii) other assets a security interest in which can be provided and perfected after the Borrowers’ use of commercially reasonable efforts to do so or without undue burden or expense).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Subordinated Indebtedness</w:t>
      </w:r>
      <w:r>
        <w:rPr>
          <w:color w:val="000000"/>
        </w:rPr>
        <w:t xml:space="preserve">” </w:t>
      </w:r>
      <w:r>
        <w:rPr>
          <w:rFonts w:ascii="Times New Roman;sans-serif" w:hAnsi="Times New Roman;sans-serif"/>
          <w:b w:val="false"/>
          <w:color w:val="000000"/>
          <w:sz w:val="22"/>
        </w:rPr>
        <w:t>means the collective reference to any Indebtedness of the Company or any Restricted Subsidiary subordinated in right and time of payment to the Obligations on subordination terms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means as to any Person, any corporation, partnership, limited liability company or other entity of which more than fifty percent (50%) of the outstanding Capital Stock having ordinary voting power to elect a majority of the board of directors or other managers of such corporation, partnership, limited liability company or other entity is at the time owned by or the management is otherwise controlled by such Person (irrespective of whether, at the time, Capital Stock of any other class or classes of such corporation, partnership, limited liability company or other entity shall have or might have voting power by reason of the happening of any contingency). Unless otherwise qualified references to “Subsidiary” or “Subsidiaries” herein shall refer to those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 Borrower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Successor Rate</w:t>
      </w:r>
      <w:r>
        <w:rPr>
          <w:color w:val="000000"/>
        </w:rPr>
        <w:t xml:space="preserve">” </w:t>
      </w:r>
      <w:r>
        <w:rPr>
          <w:rFonts w:ascii="Times New Roman;sans-serif" w:hAnsi="Times New Roman;sans-serif"/>
          <w:b w:val="false"/>
          <w:strike/>
          <w:color w:val="FF0000"/>
          <w:sz w:val="22"/>
        </w:rPr>
        <w:t>means the Dollar LIBOR Successor Rate or any Foreign Currency Successor Rate, as applicable</w:t>
      </w:r>
      <w:r>
        <w:rPr>
          <w:rFonts w:ascii="Times New Roman;sans-serif" w:hAnsi="Times New Roman;sans-serif"/>
          <w:b w:val="false"/>
          <w:color w:val="0000FF"/>
          <w:sz w:val="22"/>
          <w:u w:val="single"/>
        </w:rPr>
        <w:t>has the meaning specified in Section 4.8(c)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 xml:space="preserve">Successor Rate </w:t>
      </w:r>
      <w:r>
        <w:rPr>
          <w:rFonts w:ascii="Times New Roman;sans-serif" w:hAnsi="Times New Roman;sans-serif"/>
          <w:b w:val="false"/>
          <w:strike/>
          <w:color w:val="008000"/>
          <w:sz w:val="22"/>
          <w:u w:val="single"/>
        </w:rPr>
        <w:t>Conforming Changes</w:t>
      </w:r>
      <w:r>
        <w:rPr>
          <w:strike/>
          <w:color w:val="008000"/>
        </w:rPr>
        <w:t xml:space="preserve">” </w:t>
      </w:r>
      <w:r>
        <w:rPr>
          <w:rFonts w:ascii="Times New Roman;sans-serif" w:hAnsi="Times New Roman;sans-serif"/>
          <w:b w:val="false"/>
          <w:strike/>
          <w:color w:val="008000"/>
          <w:sz w:val="22"/>
        </w:rPr>
        <w:t xml:space="preserve">means, with respect to any proposed Successor Rate for an </w:t>
      </w:r>
      <w:r>
        <w:rPr>
          <w:rFonts w:ascii="Times New Roman;sans-serif" w:hAnsi="Times New Roman;sans-serif"/>
          <w:b w:val="false"/>
          <w:strike/>
          <w:color w:val="FF0000"/>
          <w:sz w:val="22"/>
        </w:rPr>
        <w:t xml:space="preserve">Applicable Currency, </w:t>
      </w:r>
      <w:r>
        <w:rPr>
          <w:rFonts w:ascii="Times New Roman;sans-serif" w:hAnsi="Times New Roman;sans-serif"/>
          <w:b w:val="false"/>
          <w:strike/>
          <w:color w:val="008000"/>
          <w:sz w:val="22"/>
        </w:rPr>
        <w:t xml:space="preserve">any conforming changes to the </w:t>
      </w:r>
      <w:r>
        <w:rPr>
          <w:rFonts w:ascii="Times New Roman;sans-serif" w:hAnsi="Times New Roman;sans-serif"/>
          <w:b w:val="false"/>
          <w:strike/>
          <w:color w:val="FF0000"/>
          <w:sz w:val="22"/>
        </w:rPr>
        <w:t>definition of Base Rate, Interest Period</w:t>
      </w:r>
      <w:r>
        <w:rPr>
          <w:rFonts w:ascii="Times New Roman;sans-serif" w:hAnsi="Times New Roman;sans-serif"/>
          <w:b w:val="false"/>
          <w:strike/>
          <w:color w:val="008000"/>
          <w:sz w:val="22"/>
        </w:rPr>
        <w:t xml:space="preserve">, timing and frequency of determining rates and making payments of interest and other technical, administrative or operational matters (including, for the avoidance of doubt, the </w:t>
      </w:r>
      <w:r>
        <w:rPr>
          <w:rFonts w:ascii="Times New Roman;sans-serif" w:hAnsi="Times New Roman;sans-serif"/>
          <w:b w:val="false"/>
          <w:strike/>
          <w:color w:val="FF0000"/>
          <w:sz w:val="22"/>
        </w:rPr>
        <w:t>definition of Business Day</w:t>
      </w:r>
      <w:r>
        <w:rPr>
          <w:rFonts w:ascii="Times New Roman;sans-serif" w:hAnsi="Times New Roman;sans-serif"/>
          <w:b w:val="false"/>
          <w:strike/>
          <w:color w:val="008000"/>
          <w:sz w:val="22"/>
        </w:rPr>
        <w:t xml:space="preserve">, timing of borrowing requests or prepayment, conversion or continuation notices and length of lookback periods) as may be appropriate, in the discretion of the Administrative Agent, to reflect the adoption and implementation of such </w:t>
      </w:r>
      <w:r>
        <w:rPr>
          <w:rFonts w:ascii="Times New Roman;sans-serif" w:hAnsi="Times New Roman;sans-serif"/>
          <w:b w:val="false"/>
          <w:strike/>
          <w:color w:val="FF0000"/>
          <w:sz w:val="22"/>
        </w:rPr>
        <w:t xml:space="preserve">Successor Rate </w:t>
      </w:r>
      <w:r>
        <w:rPr>
          <w:rFonts w:ascii="Times New Roman;sans-serif" w:hAnsi="Times New Roman;sans-serif"/>
          <w:b w:val="false"/>
          <w:strike/>
          <w:color w:val="008000"/>
          <w:sz w:val="22"/>
        </w:rPr>
        <w:t xml:space="preserve">and to permit the administration thereof by the Administrative Agent in a manner substantially consistent with market practice for such </w:t>
      </w:r>
      <w:r>
        <w:rPr>
          <w:rFonts w:ascii="Times New Roman;sans-serif" w:hAnsi="Times New Roman;sans-serif"/>
          <w:b w:val="false"/>
          <w:strike/>
          <w:color w:val="FF0000"/>
          <w:sz w:val="22"/>
        </w:rPr>
        <w:t xml:space="preserve">Applicable </w:t>
      </w:r>
      <w:r>
        <w:rPr>
          <w:rFonts w:ascii="Times New Roman;sans-serif" w:hAnsi="Times New Roman;sans-serif"/>
          <w:b w:val="false"/>
          <w:strike/>
          <w:color w:val="008000"/>
          <w:sz w:val="22"/>
        </w:rPr>
        <w:t xml:space="preserve">Currency (or, if the Administrative Agent determines that adoption of any portion of such market practice </w:t>
      </w:r>
      <w:r>
        <w:rPr>
          <w:rFonts w:ascii="Times New Roman;sans-serif" w:hAnsi="Times New Roman;sans-serif"/>
          <w:b w:val="false"/>
          <w:strike/>
          <w:color w:val="FF0000"/>
          <w:sz w:val="22"/>
        </w:rPr>
        <w:t xml:space="preserve">for such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244"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FF0000"/>
          <w:sz w:val="22"/>
        </w:rPr>
        <w:t xml:space="preserve">Currency </w:t>
      </w:r>
      <w:r>
        <w:rPr>
          <w:rFonts w:ascii="Times New Roman;sans-serif" w:hAnsi="Times New Roman;sans-serif"/>
          <w:b w:val="false"/>
          <w:strike/>
          <w:color w:val="008000"/>
          <w:sz w:val="22"/>
        </w:rPr>
        <w:t xml:space="preserve">is not administratively feasible or that no market practice for the administration of such </w:t>
      </w:r>
      <w:r>
        <w:rPr>
          <w:rFonts w:ascii="Times New Roman;sans-serif" w:hAnsi="Times New Roman;sans-serif"/>
          <w:b w:val="false"/>
          <w:strike/>
          <w:color w:val="FF0000"/>
          <w:sz w:val="22"/>
        </w:rPr>
        <w:t xml:space="preserve">Successor Rate for such Applicable </w:t>
      </w:r>
      <w:r>
        <w:rPr>
          <w:rFonts w:ascii="Times New Roman;sans-serif" w:hAnsi="Times New Roman;sans-serif"/>
          <w:b w:val="false"/>
          <w:strike/>
          <w:color w:val="008000"/>
          <w:sz w:val="22"/>
        </w:rPr>
        <w:t>Currency exists, in such other manner of administration as the Administrative Agent determines is reasonably necessary in connection with the administration of this Agreement and any other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Supported QFC</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13.26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Sustainability Assurance Provider” means an independent sustainability assurance provider agreed between the Company and the Sustainability Coordinator (each acting reasonably).</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Sustainability Coordinator” means, collectively, (a) BAS, and (b) each other Lender (or Affiliate of a Lender) that is appointed as a sustainability coordinator by the Company and reasonably acceptable to BAS, in each case, its capacity as sustainability coordinator hereunder.</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Sustainability Linked Loan Principles” means the Sustainability Linked Loan Principles as published by the Loan Market Association, Asia Pacific Loan Market Association and Loan Syndications &amp; Trading Association (and as updated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Swingline Commitment</w:t>
      </w:r>
      <w:r>
        <w:rPr>
          <w:color w:val="000000"/>
        </w:rPr>
        <w:t xml:space="preserve">” </w:t>
      </w:r>
      <w:r>
        <w:rPr>
          <w:rFonts w:ascii="Times New Roman;sans-serif" w:hAnsi="Times New Roman;sans-serif"/>
          <w:b w:val="false"/>
          <w:color w:val="000000"/>
          <w:sz w:val="22"/>
        </w:rPr>
        <w:t>means the lesser of (a) Fifty Million Dollars ($50,000,000) and (b) the Dollar Tranche Revolving Credit Commitment.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Swingline Facility</w:t>
      </w:r>
      <w:r>
        <w:rPr>
          <w:color w:val="000000"/>
        </w:rPr>
        <w:t xml:space="preserve">” </w:t>
      </w:r>
      <w:r>
        <w:rPr>
          <w:rFonts w:ascii="Times New Roman;sans-serif" w:hAnsi="Times New Roman;sans-serif"/>
          <w:b w:val="false"/>
          <w:color w:val="000000"/>
          <w:sz w:val="22"/>
        </w:rPr>
        <w:t xml:space="preserve">means the swingline facility established pursuant to </w:t>
      </w:r>
      <w:r>
        <w:rPr>
          <w:rFonts w:ascii="Times New Roman;sans-serif" w:hAnsi="Times New Roman;sans-serif"/>
          <w:b w:val="false"/>
          <w:color w:val="000000"/>
          <w:sz w:val="22"/>
          <w:u w:val="single"/>
        </w:rPr>
        <w:t>Section 2.4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Swingline Lender</w:t>
      </w:r>
      <w:r>
        <w:rPr>
          <w:color w:val="000000"/>
        </w:rPr>
        <w:t xml:space="preserve">” </w:t>
      </w:r>
      <w:r>
        <w:rPr>
          <w:rFonts w:ascii="Times New Roman;sans-serif" w:hAnsi="Times New Roman;sans-serif"/>
          <w:b w:val="false"/>
          <w:color w:val="000000"/>
          <w:sz w:val="22"/>
        </w:rPr>
        <w:t>means Bank of America, through itself or through one of its designated Affiliates or branch offices,</w:t>
      </w:r>
      <w:r>
        <w:rPr>
          <w:color w:val="000000"/>
        </w:rPr>
        <w:t xml:space="preserve"> </w:t>
      </w:r>
      <w:r>
        <w:rPr>
          <w:rFonts w:ascii="Times New Roman;sans-serif" w:hAnsi="Times New Roman;sans-serif"/>
          <w:b w:val="false"/>
          <w:color w:val="000000"/>
          <w:sz w:val="22"/>
        </w:rPr>
        <w:t>in its capacity as provider of Swingline Loans, or any successor swingline lender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Swingline Loan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Swingline Loan Notice</w:t>
      </w:r>
      <w:r>
        <w:rPr>
          <w:color w:val="000000"/>
        </w:rPr>
        <w:t xml:space="preserve">” </w:t>
      </w:r>
      <w:r>
        <w:rPr>
          <w:rFonts w:ascii="Times New Roman;sans-serif" w:hAnsi="Times New Roman;sans-serif"/>
          <w:b w:val="false"/>
          <w:color w:val="000000"/>
          <w:sz w:val="22"/>
        </w:rPr>
        <w:t xml:space="preserve">means a notice of a request for Swingline Loans pursuant to </w:t>
      </w:r>
      <w:r>
        <w:rPr>
          <w:rFonts w:ascii="Times New Roman;sans-serif" w:hAnsi="Times New Roman;sans-serif"/>
          <w:b w:val="false"/>
          <w:color w:val="000000"/>
          <w:sz w:val="22"/>
          <w:u w:val="single"/>
        </w:rPr>
        <w:t>Section 2.4(b)</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i/>
          <w:color w:val="000000"/>
          <w:sz w:val="22"/>
        </w:rPr>
        <w:t>Exhibit E</w:t>
      </w:r>
      <w:r>
        <w:rPr>
          <w:color w:val="000000"/>
        </w:rPr>
        <w:t xml:space="preserve"> </w:t>
      </w:r>
      <w:r>
        <w:rPr>
          <w:rFonts w:ascii="Times New Roman;sans-serif" w:hAnsi="Times New Roman;sans-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Swingline Note</w:t>
      </w:r>
      <w:r>
        <w:rPr>
          <w:color w:val="000000"/>
        </w:rPr>
        <w:t xml:space="preserve">” </w:t>
      </w:r>
      <w:r>
        <w:rPr>
          <w:rFonts w:ascii="Times New Roman;sans-serif" w:hAnsi="Times New Roman;sans-serif"/>
          <w:b w:val="false"/>
          <w:color w:val="000000"/>
          <w:sz w:val="22"/>
        </w:rPr>
        <w:t xml:space="preserve">means a promissory note made by the Company in favor of the Swingline Lender evidencing Swingline Loans made by the Swingline Lender, substantially in the form of </w:t>
      </w:r>
      <w:r>
        <w:rPr>
          <w:rFonts w:ascii="Times New Roman;sans-serif" w:hAnsi="Times New Roman;sans-serif"/>
          <w:b/>
          <w:i/>
          <w:color w:val="000000"/>
          <w:sz w:val="22"/>
        </w:rPr>
        <w:t xml:space="preserve">Exhibit A-2 </w:t>
      </w:r>
      <w:r>
        <w:rPr>
          <w:rFonts w:ascii="Times New Roman;sans-serif" w:hAnsi="Times New Roman;sans-serif"/>
          <w:b w:val="false"/>
          <w:color w:val="000000"/>
          <w:sz w:val="22"/>
        </w:rPr>
        <w:t>hereto, and any amendments, supplements and modifications thereto, any substitutes therefor, and any replacements, restatements, renewals or extension thereof, in whole or in part.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Synthetic Lease</w:t>
      </w:r>
      <w:r>
        <w:rPr>
          <w:color w:val="000000"/>
        </w:rPr>
        <w:t xml:space="preserve">” </w:t>
      </w:r>
      <w:r>
        <w:rPr>
          <w:rFonts w:ascii="Times New Roman;sans-serif" w:hAnsi="Times New Roman;sans-serif"/>
          <w:b w:val="false"/>
          <w:color w:val="000000"/>
          <w:sz w:val="22"/>
        </w:rPr>
        <w:t>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TARGET2</w:t>
      </w:r>
      <w:r>
        <w:rPr>
          <w:strike/>
          <w:color w:val="FF0000"/>
        </w:rPr>
        <w:t xml:space="preserve">” </w:t>
      </w:r>
      <w:r>
        <w:rPr>
          <w:rFonts w:ascii="Times New Roman;sans-serif" w:hAnsi="Times New Roman;sans-serif"/>
          <w:b w:val="false"/>
          <w:strike/>
          <w:color w:val="FF0000"/>
          <w:sz w:val="22"/>
        </w:rPr>
        <w:t>means the Trans-European Automated Real-time Gross Settlement Express Transfer payment system which utilizes a single shared platform and which was launched on November 19, 2007.</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T2” means the real time gross settlement system operated by the Eurosystem, or any successor system.</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245"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TARGET Day</w:t>
      </w:r>
      <w:r>
        <w:rPr>
          <w:color w:val="000000"/>
        </w:rPr>
        <w:t xml:space="preserve">” </w:t>
      </w:r>
      <w:r>
        <w:rPr>
          <w:rFonts w:ascii="Times New Roman;sans-serif" w:hAnsi="Times New Roman;sans-serif"/>
          <w:b w:val="false"/>
          <w:color w:val="000000"/>
          <w:sz w:val="22"/>
        </w:rPr>
        <w:t xml:space="preserve">means any day on which </w:t>
      </w:r>
      <w:r>
        <w:rPr>
          <w:rFonts w:ascii="Times New Roman;sans-serif" w:hAnsi="Times New Roman;sans-serif"/>
          <w:b w:val="false"/>
          <w:strike/>
          <w:color w:val="FF0000"/>
          <w:sz w:val="22"/>
        </w:rPr>
        <w:t>TARGET2 (or, if such payment system ceases to be operative, such other payment system, if any, </w:t>
      </w:r>
      <w:r>
        <w:rPr>
          <w:rFonts w:ascii="Times New Roman;sans-serif" w:hAnsi="Times New Roman;sans-serif"/>
          <w:b w:val="false"/>
          <w:strike/>
          <w:color w:val="008000"/>
          <w:sz w:val="22"/>
        </w:rPr>
        <w:t xml:space="preserve">reasonably determined by the Administrative Agent </w:t>
      </w:r>
      <w:r>
        <w:rPr>
          <w:rFonts w:ascii="Times New Roman;sans-serif" w:hAnsi="Times New Roman;sans-serif"/>
          <w:b w:val="false"/>
          <w:strike/>
          <w:color w:val="FF0000"/>
          <w:sz w:val="22"/>
        </w:rPr>
        <w:t>to be a suitable replacement)</w:t>
      </w:r>
      <w:r>
        <w:rPr>
          <w:rFonts w:ascii="Times New Roman;sans-serif" w:hAnsi="Times New Roman;sans-serif"/>
          <w:b w:val="false"/>
          <w:color w:val="0000FF"/>
          <w:sz w:val="22"/>
          <w:u w:val="single"/>
        </w:rPr>
        <w:t>T2</w:t>
      </w:r>
      <w:r>
        <w:rPr>
          <w:color w:val="000000"/>
        </w:rPr>
        <w:t xml:space="preserve"> </w:t>
      </w:r>
      <w:r>
        <w:rPr>
          <w:rFonts w:ascii="Times New Roman;sans-serif" w:hAnsi="Times New Roman;sans-serif"/>
          <w:b w:val="false"/>
          <w:color w:val="000000"/>
          <w:sz w:val="22"/>
        </w:rPr>
        <w:t>is open for the settlement of payments in euro.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Term CORRA Adjustment” means (a) 0.29547% (29.547 basis points) for an Interest Period of one-month’s duration and (b) 0.32138% (32.138 basis points) for an Interest Period of three-months’ duration.</w:t>
      </w:r>
    </w:p>
    <w:p>
      <w:pPr>
        <w:pStyle w:val="TextBody"/>
        <w:bidi w:val="0"/>
        <w:spacing w:lineRule="auto" w:line="288" w:before="0" w:after="240"/>
        <w:ind w:left="0" w:right="0" w:firstLine="720"/>
        <w:jc w:val="both"/>
        <w:rPr>
          <w:color w:val="008000"/>
          <w:u w:val="single"/>
        </w:rPr>
      </w:pPr>
      <w:r>
        <w:rPr>
          <w:color w:val="008000"/>
          <w:u w:val="single"/>
        </w:rPr>
        <w:t>“</w:t>
      </w:r>
      <w:r>
        <w:rPr>
          <w:rFonts w:ascii="Times New Roman;sans-serif" w:hAnsi="Times New Roman;sans-serif"/>
          <w:b w:val="false"/>
          <w:color w:val="008000"/>
          <w:sz w:val="22"/>
          <w:u w:val="single"/>
        </w:rPr>
        <w:t>Term Loan” means the term loan made to the Company pursuant to Section 2.1(c).</w:t>
      </w:r>
    </w:p>
    <w:p>
      <w:pPr>
        <w:pStyle w:val="TextBody"/>
        <w:bidi w:val="0"/>
        <w:spacing w:lineRule="auto" w:line="288" w:before="0" w:after="240"/>
        <w:ind w:left="0" w:right="0" w:firstLine="720"/>
        <w:jc w:val="both"/>
        <w:rPr>
          <w:color w:val="008000"/>
          <w:u w:val="single"/>
        </w:rPr>
      </w:pPr>
      <w:r>
        <w:rPr>
          <w:color w:val="008000"/>
          <w:u w:val="single"/>
        </w:rPr>
        <w:t>“</w:t>
      </w:r>
      <w:r>
        <w:rPr>
          <w:rFonts w:ascii="Times New Roman;sans-serif" w:hAnsi="Times New Roman;sans-serif"/>
          <w:b w:val="false"/>
          <w:color w:val="008000"/>
          <w:sz w:val="22"/>
          <w:u w:val="single"/>
        </w:rPr>
        <w:t>Term Loan Commitment” means (a) as to any Term Loan Lender, the obligation of such Term Loan Lender to make the Term Loan for the account of the Company hereunder in an aggregate principal amount at any time outstanding not to exceed the amount set forth opposite such Term Loan Lender’s name on Schedule 1.1(b), as such Term Loan Commitment may be reduced at any time or from time to time pursuant to the terms hereof, and (b) as to all Term Loan Lenders, the aggregate commitment of all Term Loan Lenders to make the Term Loan, as such amount may be reduced at any time or from time to time pursuant to the terms hereof.</w:t>
      </w:r>
    </w:p>
    <w:p>
      <w:pPr>
        <w:pStyle w:val="TextBody"/>
        <w:bidi w:val="0"/>
        <w:spacing w:lineRule="auto" w:line="288" w:before="0" w:after="240"/>
        <w:ind w:left="0" w:right="0" w:firstLine="720"/>
        <w:jc w:val="both"/>
        <w:rPr>
          <w:color w:val="008000"/>
          <w:u w:val="single"/>
        </w:rPr>
      </w:pPr>
      <w:r>
        <w:rPr>
          <w:color w:val="008000"/>
          <w:u w:val="single"/>
        </w:rPr>
        <w:t>“</w:t>
      </w:r>
      <w:r>
        <w:rPr>
          <w:rFonts w:ascii="Times New Roman;sans-serif" w:hAnsi="Times New Roman;sans-serif"/>
          <w:b w:val="false"/>
          <w:color w:val="008000"/>
          <w:sz w:val="22"/>
          <w:u w:val="single"/>
        </w:rPr>
        <w:t>Term Loan Commitment Percentage” means, as to any Term Loan Lender at any time, the ratio of (a) the amount of the Term Loan Commitment of such Term Loan Lender to (b) the Term Loan Commitments of all Term Loan Lenders.</w:t>
      </w:r>
    </w:p>
    <w:p>
      <w:pPr>
        <w:pStyle w:val="TextBody"/>
        <w:bidi w:val="0"/>
        <w:spacing w:lineRule="auto" w:line="288" w:before="0" w:after="240"/>
        <w:ind w:left="0" w:right="0" w:firstLine="720"/>
        <w:jc w:val="both"/>
        <w:rPr>
          <w:color w:val="008000"/>
          <w:u w:val="single"/>
        </w:rPr>
      </w:pPr>
      <w:r>
        <w:rPr>
          <w:color w:val="008000"/>
          <w:u w:val="single"/>
        </w:rPr>
        <w:t>“</w:t>
      </w:r>
      <w:r>
        <w:rPr>
          <w:rFonts w:ascii="Times New Roman;sans-serif" w:hAnsi="Times New Roman;sans-serif"/>
          <w:b w:val="false"/>
          <w:color w:val="008000"/>
          <w:sz w:val="22"/>
          <w:u w:val="single"/>
        </w:rPr>
        <w:t>Term Loan Credit Facility” means the term loan credit facility established pursuant to Article II, but excluding the Revolving Credit Facility, the Swingline Facility, and any Incremental Term Loan Facility.</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8000"/>
          <w:sz w:val="22"/>
          <w:u w:val="single"/>
        </w:rPr>
        <w:t>Term Loan Lender” means any Lender with a Term Loan Commitment</w:t>
      </w:r>
      <w:r>
        <w:rPr>
          <w:rFonts w:ascii="Times New Roman;sans-serif" w:hAnsi="Times New Roman;sans-serif"/>
          <w:b w:val="false"/>
          <w:color w:val="0000FF"/>
          <w:sz w:val="22"/>
          <w:u w:val="single"/>
        </w:rPr>
        <w:t>.</w:t>
      </w:r>
    </w:p>
    <w:p>
      <w:pPr>
        <w:pStyle w:val="TextBody"/>
        <w:bidi w:val="0"/>
        <w:spacing w:lineRule="auto" w:line="288" w:before="0" w:after="240"/>
        <w:ind w:left="0" w:right="0" w:firstLine="720"/>
        <w:jc w:val="both"/>
        <w:rPr/>
      </w:pPr>
      <w:r>
        <w:rPr>
          <w:color w:val="008000"/>
          <w:u w:val="single"/>
        </w:rPr>
        <w:t>“</w:t>
      </w:r>
      <w:r>
        <w:rPr>
          <w:rFonts w:ascii="Times New Roman;sans-serif" w:hAnsi="Times New Roman;sans-serif"/>
          <w:b w:val="false"/>
          <w:color w:val="008000"/>
          <w:sz w:val="22"/>
          <w:u w:val="single"/>
        </w:rPr>
        <w:t xml:space="preserve">Term Loan Note” means a promissory note made by the Company in favor of a Term Loan Lender evidencing the portion of the Term Loan made by such Term Loan Lender, substantially in the form of </w:t>
      </w:r>
      <w:r>
        <w:rPr>
          <w:rFonts w:ascii="Times New Roman;sans-serif" w:hAnsi="Times New Roman;sans-serif"/>
          <w:b/>
          <w:i/>
          <w:color w:val="008000"/>
          <w:sz w:val="22"/>
          <w:u w:val="single"/>
        </w:rPr>
        <w:t xml:space="preserve">Exhibit A-3 </w:t>
      </w:r>
      <w:r>
        <w:rPr>
          <w:rFonts w:ascii="Times New Roman;sans-serif" w:hAnsi="Times New Roman;sans-serif"/>
          <w:b w:val="false"/>
          <w:color w:val="008000"/>
          <w:sz w:val="22"/>
          <w:u w:val="single"/>
        </w:rPr>
        <w:t>hereto, and any amendments, supplements and modifications thereto, any substitutes therefor, and any replacements, restatements, renewals or extension thereof, in whole or in part.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Term SOFR” means:</w:t>
      </w:r>
    </w:p>
    <w:p>
      <w:pPr>
        <w:pStyle w:val="TextBody"/>
        <w:bidi w:val="0"/>
        <w:spacing w:lineRule="auto" w:line="288" w:before="0" w:after="240"/>
        <w:ind w:left="0" w:right="0" w:firstLine="72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pStyle w:val="TextBody"/>
        <w:bidi w:val="0"/>
        <w:spacing w:lineRule="auto" w:line="288" w:before="0" w:after="240"/>
        <w:ind w:left="0" w:right="0" w:firstLine="720"/>
        <w:jc w:val="both"/>
        <w:rPr/>
      </w:pPr>
      <w:r>
        <w:rPr>
          <w:rFonts w:ascii="Times New Roman;sans-serif" w:hAnsi="Times New Roman;sans-serif"/>
          <w:b w:val="false"/>
          <w:color w:val="0000FF"/>
          <w:sz w:val="22"/>
          <w:u w:val="single"/>
        </w:rPr>
        <w:t xml:space="preserve">(b)    for any interest </w:t>
      </w:r>
      <w:r>
        <w:rPr>
          <w:rFonts w:ascii="Times New Roman;sans-serif" w:hAnsi="Times New Roman;sans-serif"/>
          <w:b w:val="false"/>
          <w:color w:val="008000"/>
          <w:sz w:val="22"/>
          <w:u w:val="single"/>
        </w:rPr>
        <w:t xml:space="preserve">calculation with respect to a Base Rate Loan on any date, the rate per annum equal to the </w:t>
      </w:r>
      <w:r>
        <w:rPr>
          <w:rFonts w:ascii="Times New Roman;sans-serif" w:hAnsi="Times New Roman;sans-serif"/>
          <w:b w:val="false"/>
          <w:color w:val="0000FF"/>
          <w:sz w:val="22"/>
          <w:u w:val="single"/>
        </w:rPr>
        <w:t xml:space="preserve">Term SOFR Screen Rate two U.S. Government Securities </w:t>
      </w:r>
      <w:r>
        <w:rPr>
          <w:rFonts w:ascii="Times New Roman;sans-serif" w:hAnsi="Times New Roman;sans-serif"/>
          <w:b w:val="false"/>
          <w:color w:val="008000"/>
          <w:sz w:val="22"/>
          <w:u w:val="single"/>
        </w:rPr>
        <w:t xml:space="preserve">Business Days prior to such date </w:t>
      </w:r>
      <w:r>
        <w:rPr>
          <w:rFonts w:ascii="Times New Roman;sans-serif" w:hAnsi="Times New Roman;sans-serif"/>
          <w:b w:val="false"/>
          <w:color w:val="0000FF"/>
          <w:sz w:val="22"/>
          <w:u w:val="single"/>
        </w:rPr>
        <w:t>with a term of one month commencing that day; provided that if the rate is not published prior to 11:00 a.m. on such determination date then Term SOFR means the Term SOFR Screen Rate on the first U.S.</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246"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Government Securities Business Day immediately prior thereto, in each case, plus the SOFR Adjustment for such term;</w:t>
      </w:r>
    </w:p>
    <w:p>
      <w:pPr>
        <w:pStyle w:val="TextBody"/>
        <w:bidi w:val="0"/>
        <w:spacing w:lineRule="auto" w:line="288" w:before="0" w:after="24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provided that if Term SOFR determined in accordance with either of the foregoing provisions (a) or (b) of this definition would otherwise be less than zero, Term SOFR shall be deemed zero for purposes of this Agreement.</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Term SOFR Loan” means </w:t>
      </w:r>
      <w:r>
        <w:rPr>
          <w:rFonts w:ascii="Times New Roman;sans-serif" w:hAnsi="Times New Roman;sans-serif"/>
          <w:b w:val="false"/>
          <w:color w:val="008000"/>
          <w:sz w:val="22"/>
          <w:u w:val="single"/>
        </w:rPr>
        <w:t xml:space="preserve">Loan that bears interest at a rate based on clause (a) of the definition of </w:t>
      </w:r>
      <w:r>
        <w:rPr>
          <w:rFonts w:ascii="Times New Roman;sans-serif" w:hAnsi="Times New Roman;sans-serif"/>
          <w:b w:val="false"/>
          <w:color w:val="0000FF"/>
          <w:sz w:val="22"/>
          <w:u w:val="single"/>
        </w:rPr>
        <w:t>Term SOFR.</w:t>
      </w:r>
    </w:p>
    <w:p>
      <w:pPr>
        <w:pStyle w:val="TextBody"/>
        <w:bidi w:val="0"/>
        <w:spacing w:lineRule="auto" w:line="288" w:before="0" w:after="240"/>
        <w:ind w:left="0" w:right="0" w:firstLine="720"/>
        <w:jc w:val="both"/>
        <w:rPr/>
      </w:pPr>
      <w:r>
        <w:rPr>
          <w:color w:val="0000FF"/>
          <w:u w:val="single"/>
        </w:rPr>
        <w:t>“</w:t>
      </w:r>
      <w:r>
        <w:rPr>
          <w:rFonts w:ascii="Times New Roman;sans-serif" w:hAnsi="Times New Roman;sans-serif"/>
          <w:b w:val="false"/>
          <w:color w:val="0000FF"/>
          <w:sz w:val="22"/>
          <w:u w:val="single"/>
        </w:rPr>
        <w:t xml:space="preserve">Term SOFR Screen Rate” means the forward-looking SOFR term rate administered by CME (or any successor administrator satisfactory to the Administrative Agent) and published on the applicable Reuters </w:t>
      </w:r>
      <w:r>
        <w:rPr>
          <w:rFonts w:ascii="Times New Roman;sans-serif" w:hAnsi="Times New Roman;sans-serif"/>
          <w:b w:val="false"/>
          <w:color w:val="008000"/>
          <w:sz w:val="22"/>
          <w:u w:val="single"/>
        </w:rPr>
        <w:t>screen page (or such other commercially available source providing such quotations as may be designated by the Administrative Agent from time to time)</w:t>
      </w:r>
      <w:r>
        <w:rPr>
          <w:rFonts w:ascii="Times New Roman;sans-serif" w:hAnsi="Times New Roman;sans-serif"/>
          <w:b w:val="false"/>
          <w:color w:val="0000FF"/>
          <w:sz w:val="22"/>
          <w:u w:val="single"/>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Termination Event</w:t>
      </w:r>
      <w:r>
        <w:rPr>
          <w:color w:val="000000"/>
        </w:rPr>
        <w:t xml:space="preserve">” </w:t>
      </w:r>
      <w:r>
        <w:rPr>
          <w:rFonts w:ascii="Times New Roman;sans-serif" w:hAnsi="Times New Roman;sans-serif"/>
          <w:b w:val="false"/>
          <w:color w:val="000000"/>
          <w:sz w:val="22"/>
        </w:rPr>
        <w:t xml:space="preserve">means except for any such event or condition that would not reasonably be expected to have a Material Adverse Effect: (a) with respect to a Pension Plan, a “Reportable Event” described in Section 4043 of ERISA for which the notice requirement has not been waived by the PBGC, or (b) the withdrawal of the Company or any ERISA Affiliate from a Pension Plan during a plan year in which it was a “substantial employer” as defined in Section 4001(a)(2)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with respect to a Credit Party, the imposition of a Lien pursuant to Section 430(k) of the Code or Section 303(k) of ERISA, or (g) the partial or complete withdrawal of the Company or of any ERISA Affiliate from a Multiemployer Plan if there is any potential withdrawal liability would reasonably be expected to be asserted by such plan thereof, or (h) any event or condition which results in the </w:t>
      </w:r>
      <w:r>
        <w:rPr>
          <w:rFonts w:ascii="Times New Roman;sans-serif" w:hAnsi="Times New Roman;sans-serif"/>
          <w:b w:val="false"/>
          <w:strike/>
          <w:color w:val="FF0000"/>
          <w:sz w:val="22"/>
        </w:rPr>
        <w:t xml:space="preserve">reorganization or </w:t>
      </w:r>
      <w:r>
        <w:rPr>
          <w:rFonts w:ascii="Times New Roman;sans-serif" w:hAnsi="Times New Roman;sans-serif"/>
          <w:b w:val="false"/>
          <w:color w:val="000000"/>
          <w:sz w:val="22"/>
        </w:rPr>
        <w:t>insolvency of a Multiemployer Plan under Sections 4241 or 4245 of ERISA, or (i) any event or condition which results in the termination of a Multiemployer Plan under Section 4041A of ERISA or the institution by PBGC of proceedings to terminate a Multiemployer Plan under Section 4042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Termination Value</w:t>
      </w:r>
      <w:r>
        <w:rPr>
          <w:color w:val="000000"/>
        </w:rPr>
        <w:t xml:space="preserve">” </w:t>
      </w:r>
      <w:r>
        <w:rPr>
          <w:rFonts w:ascii="Times New Roman;sans-serif" w:hAnsi="Times New Roman;sans-serif"/>
          <w:b w:val="false"/>
          <w:color w:val="000000"/>
          <w:sz w:val="22"/>
        </w:rPr>
        <w:t>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pStyle w:val="TextBody"/>
        <w:bidi w:val="0"/>
        <w:spacing w:lineRule="auto" w:line="288" w:before="0" w:after="240"/>
        <w:ind w:left="0" w:right="0" w:firstLine="720"/>
        <w:jc w:val="both"/>
        <w:rPr/>
      </w:pPr>
      <w:r>
        <w:rPr>
          <w:strike/>
          <w:color w:val="008000"/>
        </w:rPr>
        <w:t>“</w:t>
      </w:r>
      <w:r>
        <w:rPr>
          <w:rFonts w:ascii="Times New Roman;sans-serif" w:hAnsi="Times New Roman;sans-serif"/>
          <w:b w:val="false"/>
          <w:strike/>
          <w:color w:val="008000"/>
          <w:sz w:val="22"/>
          <w:u w:val="single"/>
        </w:rPr>
        <w:t>Term Loan</w:t>
      </w:r>
      <w:r>
        <w:rPr>
          <w:strike/>
          <w:color w:val="008000"/>
        </w:rPr>
        <w:t xml:space="preserve">” </w:t>
      </w:r>
      <w:r>
        <w:rPr>
          <w:rFonts w:ascii="Times New Roman;sans-serif" w:hAnsi="Times New Roman;sans-serif"/>
          <w:b w:val="false"/>
          <w:strike/>
          <w:color w:val="008000"/>
          <w:sz w:val="22"/>
        </w:rPr>
        <w:t xml:space="preserve">means the term loan made to the Company pursuant to </w:t>
      </w:r>
      <w:r>
        <w:rPr>
          <w:rFonts w:ascii="Times New Roman;sans-serif" w:hAnsi="Times New Roman;sans-serif"/>
          <w:b w:val="false"/>
          <w:strike/>
          <w:color w:val="008000"/>
          <w:sz w:val="22"/>
          <w:u w:val="single"/>
        </w:rPr>
        <w:t>Section 2.1(c</w:t>
      </w:r>
      <w:r>
        <w:rPr>
          <w:rFonts w:ascii="Times New Roman;sans-serif" w:hAnsi="Times New Roman;sans-serif"/>
          <w:b w:val="false"/>
          <w:strike/>
          <w:color w:val="008000"/>
          <w:sz w:val="22"/>
        </w:rPr>
        <w:t>).</w:t>
      </w:r>
    </w:p>
    <w:p>
      <w:pPr>
        <w:pStyle w:val="TextBody"/>
        <w:bidi w:val="0"/>
        <w:spacing w:lineRule="auto" w:line="288" w:before="0" w:after="240"/>
        <w:ind w:left="0" w:right="0" w:firstLine="720"/>
        <w:jc w:val="both"/>
        <w:rPr/>
      </w:pPr>
      <w:r>
        <w:rPr>
          <w:strike/>
          <w:color w:val="008000"/>
        </w:rPr>
        <w:t>“</w:t>
      </w:r>
      <w:r>
        <w:rPr>
          <w:rFonts w:ascii="Times New Roman;sans-serif" w:hAnsi="Times New Roman;sans-serif"/>
          <w:b w:val="false"/>
          <w:strike/>
          <w:color w:val="008000"/>
          <w:sz w:val="22"/>
          <w:u w:val="single"/>
        </w:rPr>
        <w:t>Term Loan Commitment</w:t>
      </w:r>
      <w:r>
        <w:rPr>
          <w:strike/>
          <w:color w:val="008000"/>
        </w:rPr>
        <w:t xml:space="preserve">” </w:t>
      </w:r>
      <w:r>
        <w:rPr>
          <w:rFonts w:ascii="Times New Roman;sans-serif" w:hAnsi="Times New Roman;sans-serif"/>
          <w:b w:val="false"/>
          <w:strike/>
          <w:color w:val="008000"/>
          <w:sz w:val="22"/>
        </w:rPr>
        <w:t xml:space="preserve">means (a) as to any Term Loan Lender, the obligation of such Term Loan Lender to make the Term Loan for the account of the Company hereunder in an aggregate principal amount at any time outstanding not to exceed the amount set forth opposite such Term Loan Lender’s name on </w:t>
      </w:r>
      <w:r>
        <w:rPr>
          <w:rFonts w:ascii="Times New Roman;sans-serif" w:hAnsi="Times New Roman;sans-serif"/>
          <w:b w:val="false"/>
          <w:strike/>
          <w:color w:val="008000"/>
          <w:sz w:val="22"/>
          <w:u w:val="single"/>
        </w:rPr>
        <w:t>Schedule 1.1(b)</w:t>
      </w:r>
      <w:r>
        <w:rPr>
          <w:rFonts w:ascii="Times New Roman;sans-serif" w:hAnsi="Times New Roman;sans-serif"/>
          <w:b w:val="false"/>
          <w:strike/>
          <w:color w:val="008000"/>
          <w:sz w:val="22"/>
        </w:rPr>
        <w:t>, as such Term Loan Commitment may be reduced at any time or from time to time pursuant to the terms hereof, and (b) as to all Term Loan Lenders, the aggregate commitment of all Term Loan Lenders to make the Term Loan, as such amount may be reduced at any time or from time to time pursuant to the terms hereof.</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247"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strike/>
          <w:color w:val="008000"/>
        </w:rPr>
        <w:t>“</w:t>
      </w:r>
      <w:r>
        <w:rPr>
          <w:rFonts w:ascii="Times New Roman;sans-serif" w:hAnsi="Times New Roman;sans-serif"/>
          <w:b w:val="false"/>
          <w:strike/>
          <w:color w:val="008000"/>
          <w:sz w:val="22"/>
          <w:u w:val="single"/>
        </w:rPr>
        <w:t>Term Loan Commitment Percentage</w:t>
      </w:r>
      <w:r>
        <w:rPr>
          <w:strike/>
          <w:color w:val="008000"/>
        </w:rPr>
        <w:t xml:space="preserve">” </w:t>
      </w:r>
      <w:r>
        <w:rPr>
          <w:rFonts w:ascii="Times New Roman;sans-serif" w:hAnsi="Times New Roman;sans-serif"/>
          <w:b w:val="false"/>
          <w:strike/>
          <w:color w:val="008000"/>
          <w:sz w:val="22"/>
        </w:rPr>
        <w:t>means, as to any Term Loan Lender at any time, the ratio of (a) the amount of the Term Loan Commitment of such Term Loan Lender to (b) the Term Loan Commitments of all Term Loan Lenders.</w:t>
      </w:r>
    </w:p>
    <w:p>
      <w:pPr>
        <w:pStyle w:val="TextBody"/>
        <w:bidi w:val="0"/>
        <w:spacing w:lineRule="auto" w:line="288" w:before="0" w:after="240"/>
        <w:ind w:left="0" w:right="0" w:firstLine="720"/>
        <w:jc w:val="both"/>
        <w:rPr/>
      </w:pPr>
      <w:r>
        <w:rPr>
          <w:strike/>
          <w:color w:val="008000"/>
        </w:rPr>
        <w:t>“</w:t>
      </w:r>
      <w:r>
        <w:rPr>
          <w:rFonts w:ascii="Times New Roman;sans-serif" w:hAnsi="Times New Roman;sans-serif"/>
          <w:b w:val="false"/>
          <w:strike/>
          <w:color w:val="008000"/>
          <w:sz w:val="22"/>
          <w:u w:val="single"/>
        </w:rPr>
        <w:t>Term Loan Credit Facility</w:t>
      </w:r>
      <w:r>
        <w:rPr>
          <w:strike/>
          <w:color w:val="008000"/>
        </w:rPr>
        <w:t xml:space="preserve">” </w:t>
      </w:r>
      <w:r>
        <w:rPr>
          <w:rFonts w:ascii="Times New Roman;sans-serif" w:hAnsi="Times New Roman;sans-serif"/>
          <w:b w:val="false"/>
          <w:strike/>
          <w:color w:val="008000"/>
          <w:sz w:val="22"/>
        </w:rPr>
        <w:t xml:space="preserve">means the term loan credit facility established pursuant to </w:t>
      </w:r>
      <w:r>
        <w:rPr>
          <w:rFonts w:ascii="Times New Roman;sans-serif" w:hAnsi="Times New Roman;sans-serif"/>
          <w:b w:val="false"/>
          <w:strike/>
          <w:color w:val="008000"/>
          <w:sz w:val="22"/>
          <w:u w:val="single"/>
        </w:rPr>
        <w:t>Article II</w:t>
      </w:r>
      <w:r>
        <w:rPr>
          <w:rFonts w:ascii="Times New Roman;sans-serif" w:hAnsi="Times New Roman;sans-serif"/>
          <w:b w:val="false"/>
          <w:strike/>
          <w:color w:val="008000"/>
          <w:sz w:val="22"/>
        </w:rPr>
        <w:t>, but excluding the Revolving Credit Facility, the Swingline Facility, and any Incremental Term Loan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strike/>
          <w:color w:val="008000"/>
          <w:sz w:val="22"/>
          <w:u w:val="single"/>
        </w:rPr>
        <w:t>Term Loan Lender</w:t>
      </w:r>
      <w:r>
        <w:rPr>
          <w:strike/>
          <w:color w:val="008000"/>
        </w:rPr>
        <w:t xml:space="preserve">” </w:t>
      </w:r>
      <w:r>
        <w:rPr>
          <w:rFonts w:ascii="Times New Roman;sans-serif" w:hAnsi="Times New Roman;sans-serif"/>
          <w:b w:val="false"/>
          <w:strike/>
          <w:color w:val="008000"/>
          <w:sz w:val="22"/>
        </w:rPr>
        <w:t>means any Lender with a Term Loan Commitment</w:t>
      </w:r>
      <w:r>
        <w:rPr>
          <w:rFonts w:ascii="Times New Roman;sans-serif" w:hAnsi="Times New Roman;sans-serif"/>
          <w:b w:val="false"/>
          <w:color w:val="0000FF"/>
          <w:sz w:val="22"/>
          <w:u w:val="single"/>
        </w:rPr>
        <w:t>Third Amendment Effective Date” means April 30, 2024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strike/>
          <w:color w:val="008000"/>
        </w:rPr>
        <w:t>“</w:t>
      </w:r>
      <w:r>
        <w:rPr>
          <w:rFonts w:ascii="Times New Roman;sans-serif" w:hAnsi="Times New Roman;sans-serif"/>
          <w:b w:val="false"/>
          <w:strike/>
          <w:color w:val="008000"/>
          <w:sz w:val="22"/>
          <w:u w:val="single"/>
        </w:rPr>
        <w:t>Term Loan Note</w:t>
      </w:r>
      <w:r>
        <w:rPr>
          <w:strike/>
          <w:color w:val="008000"/>
        </w:rPr>
        <w:t xml:space="preserve">” </w:t>
      </w:r>
      <w:r>
        <w:rPr>
          <w:rFonts w:ascii="Times New Roman;sans-serif" w:hAnsi="Times New Roman;sans-serif"/>
          <w:b w:val="false"/>
          <w:strike/>
          <w:color w:val="008000"/>
          <w:sz w:val="22"/>
        </w:rPr>
        <w:t xml:space="preserve">means a promissory note made by the Company in favor of a Term Loan Lender evidencing the portion of the Term Loan made by such Term Loan Lender, substantially in the form of </w:t>
      </w:r>
      <w:r>
        <w:rPr>
          <w:rFonts w:ascii="Times New Roman;sans-serif" w:hAnsi="Times New Roman;sans-serif"/>
          <w:b/>
          <w:i/>
          <w:strike/>
          <w:color w:val="008000"/>
          <w:sz w:val="22"/>
        </w:rPr>
        <w:t xml:space="preserve">Exhibit A-3 </w:t>
      </w:r>
      <w:r>
        <w:rPr>
          <w:rFonts w:ascii="Times New Roman;sans-serif" w:hAnsi="Times New Roman;sans-serif"/>
          <w:b w:val="false"/>
          <w:strike/>
          <w:color w:val="008000"/>
          <w:sz w:val="22"/>
        </w:rPr>
        <w:t>hereto, and any amendments, supplements and modifications thereto, any substitutes therefor, and any replacements, restatements, renewals or extension thereof, in whole or in part.</w:t>
      </w:r>
    </w:p>
    <w:p>
      <w:pPr>
        <w:pStyle w:val="TextBody"/>
        <w:bidi w:val="0"/>
        <w:spacing w:lineRule="auto" w:line="288" w:before="0" w:after="240"/>
        <w:ind w:left="0" w:right="0" w:firstLine="720"/>
        <w:jc w:val="both"/>
        <w:rPr/>
      </w:pPr>
      <w:r>
        <w:rPr>
          <w:strike/>
          <w:color w:val="FF0000"/>
        </w:rPr>
        <w:t>“</w:t>
      </w:r>
      <w:r>
        <w:rPr>
          <w:rFonts w:ascii="Times New Roman;sans-serif" w:hAnsi="Times New Roman;sans-serif"/>
          <w:b w:val="false"/>
          <w:strike/>
          <w:color w:val="FF0000"/>
          <w:sz w:val="22"/>
          <w:u w:val="single"/>
        </w:rPr>
        <w:t>Term SOFR</w:t>
      </w:r>
      <w:r>
        <w:rPr>
          <w:strike/>
          <w:color w:val="FF0000"/>
        </w:rPr>
        <w:t xml:space="preserve">” </w:t>
      </w:r>
      <w:r>
        <w:rPr>
          <w:rFonts w:ascii="Times New Roman;sans-serif" w:hAnsi="Times New Roman;sans-serif"/>
          <w:b w:val="false"/>
          <w:strike/>
          <w:color w:val="FF0000"/>
          <w:sz w:val="22"/>
        </w:rPr>
        <w:t>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Total Assets</w:t>
      </w:r>
      <w:r>
        <w:rPr>
          <w:color w:val="000000"/>
        </w:rPr>
        <w:t xml:space="preserve">” </w:t>
      </w:r>
      <w:r>
        <w:rPr>
          <w:rFonts w:ascii="Times New Roman;sans-serif" w:hAnsi="Times New Roman;sans-serif"/>
          <w:b w:val="false"/>
          <w:color w:val="000000"/>
          <w:sz w:val="22"/>
        </w:rPr>
        <w:t>means the total assets of the Company and its Restricted Subsidiaries on a Consolidated basis.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Total Funded Net Indebtedness</w:t>
      </w:r>
      <w:r>
        <w:rPr>
          <w:color w:val="000000"/>
        </w:rPr>
        <w:t xml:space="preserve">” </w:t>
      </w:r>
      <w:r>
        <w:rPr>
          <w:rFonts w:ascii="Times New Roman;sans-serif" w:hAnsi="Times New Roman;sans-serif"/>
          <w:b w:val="false"/>
          <w:color w:val="000000"/>
          <w:sz w:val="22"/>
        </w:rPr>
        <w:t xml:space="preserve">means, as of any date of determination with respect to the Company and its Restricted Subsidiaries on a Consolidated basis without duplication, the sum of all Indebtedness of the Company and its Restricted Subsidiaries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(a) Indebtedness of the type described in clause (b) of the definition of Indebtedness, (b) Indebtedness of the type described in clause (d) of the definition of Indebtedness and (c) Cash on Hand,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in no event shall the deduction pursuant to this clause (c) exceed $</w:t>
      </w:r>
      <w:r>
        <w:rPr>
          <w:rFonts w:ascii="Times New Roman;sans-serif" w:hAnsi="Times New Roman;sans-serif"/>
          <w:b w:val="false"/>
          <w:strike/>
          <w:color w:val="FF0000"/>
          <w:sz w:val="22"/>
        </w:rPr>
        <w:t>100,000,000</w:t>
      </w:r>
      <w:r>
        <w:rPr>
          <w:rFonts w:ascii="Times New Roman;sans-serif" w:hAnsi="Times New Roman;sans-serif"/>
          <w:b w:val="false"/>
          <w:color w:val="0000FF"/>
          <w:sz w:val="22"/>
          <w:u w:val="single"/>
        </w:rPr>
        <w:t>150,000,000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Tranche</w:t>
      </w:r>
      <w:r>
        <w:rPr>
          <w:color w:val="000000"/>
        </w:rPr>
        <w:t xml:space="preserve">” </w:t>
      </w:r>
      <w:r>
        <w:rPr>
          <w:rFonts w:ascii="Times New Roman;sans-serif" w:hAnsi="Times New Roman;sans-serif"/>
          <w:b w:val="false"/>
          <w:color w:val="000000"/>
          <w:sz w:val="22"/>
        </w:rPr>
        <w:t>means the Dollar Tranche or the Designated Currency Tranche,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Transaction Costs</w:t>
      </w:r>
      <w:r>
        <w:rPr>
          <w:color w:val="000000"/>
        </w:rPr>
        <w:t xml:space="preserve">” </w:t>
      </w:r>
      <w:r>
        <w:rPr>
          <w:rFonts w:ascii="Times New Roman;sans-serif" w:hAnsi="Times New Roman;sans-serif"/>
          <w:b w:val="false"/>
          <w:color w:val="000000"/>
          <w:sz w:val="22"/>
        </w:rPr>
        <w:t xml:space="preserve">means, without duplication, all transaction fees, charges and other amounts related to (1) this Agreement and the other Loan Documents, and (2) any Permitted Acquisition, which fees, charges and other amounts shall include, without limitation, (a) any financing fees, merger and acquisition fees (including consulting, advisory or brokerage fees), legal fees and expenses, due diligence fees or any other reasonably related fees and expenses during such period in connection therewith, (b) the aggregate amount of all payments funded from the earnings of the Company and its Restricted Subsidiaries and made during such period in connection with any Permitted Acquisition, including, without limitation, indemnity payments, working capital and purchase price adjustments, earn outs or other contingent payments, and (c) restructuring and business optimization expenses, including any cost savings and synergies projected by the Company in good faith to be realized as a result of any such Permitted Acquisition and any non-recurring restructuring and integration costs and expenses approved by the Administrative Agent in its sole discretion;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w:t>
      </w:r>
      <w:r>
        <w:rPr>
          <w:rFonts w:ascii="Times New Roman;sans-serif" w:hAnsi="Times New Roman;sans-serif"/>
          <w:b w:val="false"/>
          <w:strike/>
          <w:color w:val="FF0000"/>
          <w:sz w:val="22"/>
        </w:rPr>
        <w:t xml:space="preserve">(i) all such Transaction Costs </w:t>
      </w:r>
      <w:r>
        <w:rPr>
          <w:rFonts w:ascii="Times New Roman;sans-serif" w:hAnsi="Times New Roman;sans-serif"/>
          <w:b w:val="false"/>
          <w:strike/>
          <w:color w:val="008000"/>
          <w:sz w:val="22"/>
        </w:rPr>
        <w:t xml:space="preserve">shall be included, if at all, in any determination of EBITDA during the four consecutive quarter period following the applicable </w:t>
      </w:r>
      <w:r>
        <w:rPr>
          <w:rFonts w:ascii="Times New Roman;sans-serif" w:hAnsi="Times New Roman;sans-serif"/>
          <w:b w:val="false"/>
          <w:strike/>
          <w:color w:val="FF0000"/>
          <w:sz w:val="22"/>
        </w:rPr>
        <w:t xml:space="preserve">acquisition </w:t>
      </w:r>
      <w:r>
        <w:rPr>
          <w:rFonts w:ascii="Times New Roman;sans-serif" w:hAnsi="Times New Roman;sans-serif"/>
          <w:b w:val="false"/>
          <w:strike/>
          <w:color w:val="008000"/>
          <w:sz w:val="22"/>
        </w:rPr>
        <w:t xml:space="preserve">(including, without limitation, the quarter in which such </w:t>
      </w:r>
      <w:r>
        <w:rPr>
          <w:rFonts w:ascii="Times New Roman;sans-serif" w:hAnsi="Times New Roman;sans-serif"/>
          <w:b w:val="false"/>
          <w:strike/>
          <w:color w:val="FF0000"/>
          <w:sz w:val="22"/>
        </w:rPr>
        <w:t xml:space="preserve">acquisition occurs), and (ii) </w:t>
      </w:r>
      <w:r>
        <w:rPr>
          <w:rFonts w:ascii="Times New Roman;sans-serif" w:hAnsi="Times New Roman;sans-serif"/>
          <w:b w:val="false"/>
          <w:color w:val="000000"/>
          <w:sz w:val="22"/>
        </w:rPr>
        <w:t xml:space="preserve">with respect to any Permitted Acquisition subject hereto, the aggregate amount of cash Transaction Costs in respect of such Permitted Acquisition that may be added back to EBITDA shall not exceed 10%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248"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pro forma</w:t>
      </w:r>
      <w:r>
        <w:rPr>
          <w:color w:val="000000"/>
        </w:rPr>
        <w:t xml:space="preserve"> </w:t>
      </w:r>
      <w:r>
        <w:rPr>
          <w:rFonts w:ascii="Times New Roman;sans-serif" w:hAnsi="Times New Roman;sans-serif"/>
          <w:b w:val="false"/>
          <w:color w:val="000000"/>
          <w:sz w:val="22"/>
        </w:rPr>
        <w:t>Consolidated EBITDA for the Company and its Restricted Subsidiaries (giving effect to such Permitted Acquisition).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 xml:space="preserve">means, with respect to a Loan, its character as a </w:t>
      </w:r>
      <w:r>
        <w:rPr>
          <w:rFonts w:ascii="Times New Roman;sans-serif" w:hAnsi="Times New Roman;sans-serif"/>
          <w:b w:val="false"/>
          <w:strike/>
          <w:color w:val="FF0000"/>
          <w:sz w:val="22"/>
        </w:rPr>
        <w:t>Base</w:t>
      </w:r>
      <w:r>
        <w:rPr>
          <w:rFonts w:ascii="Times New Roman;sans-serif" w:hAnsi="Times New Roman;sans-serif"/>
          <w:b w:val="false"/>
          <w:color w:val="0000FF"/>
          <w:sz w:val="22"/>
          <w:u w:val="single"/>
        </w:rPr>
        <w:t>Term SOFR Loan, a Daily SOFR Loan, a Base Rate Loan, a Designated Currency Daily</w:t>
      </w:r>
      <w:r>
        <w:rPr>
          <w:color w:val="000000"/>
        </w:rPr>
        <w:t xml:space="preserve"> </w:t>
      </w:r>
      <w:r>
        <w:rPr>
          <w:rFonts w:ascii="Times New Roman;sans-serif" w:hAnsi="Times New Roman;sans-serif"/>
          <w:b w:val="false"/>
          <w:color w:val="000000"/>
          <w:sz w:val="22"/>
        </w:rPr>
        <w:t xml:space="preserve">Rate Loan or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Rate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means the Uniform Commercial Code as in effect in the State of New York or appropriate governing state, as amended or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UCP</w:t>
      </w:r>
      <w:r>
        <w:rPr>
          <w:color w:val="000000"/>
        </w:rPr>
        <w:t xml:space="preserve">” </w:t>
      </w:r>
      <w:r>
        <w:rPr>
          <w:rFonts w:ascii="Times New Roman;sans-serif" w:hAnsi="Times New Roman;sans-serif"/>
          <w:b w:val="false"/>
          <w:color w:val="000000"/>
          <w:sz w:val="22"/>
        </w:rPr>
        <w:t>means the Uniform Customs and Practice for Documentary Credits (1993 Revision), effective January, 1994 International Chamber of Commerce Publication No. 500.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United States</w:t>
      </w:r>
      <w:r>
        <w:rPr>
          <w:color w:val="000000"/>
        </w:rPr>
        <w:t xml:space="preserve">” </w:t>
      </w:r>
      <w:r>
        <w:rPr>
          <w:rFonts w:ascii="Times New Roman;sans-serif" w:hAnsi="Times New Roman;sans-serif"/>
          <w:b w:val="false"/>
          <w:color w:val="000000"/>
          <w:sz w:val="22"/>
        </w:rPr>
        <w:t>means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Unreimbursed Amount</w:t>
      </w:r>
      <w:r>
        <w:rPr>
          <w:color w:val="000000"/>
        </w:rPr>
        <w:t xml:space="preserve">” </w:t>
      </w:r>
      <w:r>
        <w:rPr>
          <w:rFonts w:ascii="Times New Roman;sans-serif" w:hAnsi="Times New Roman;sans-serif"/>
          <w:b w:val="false"/>
          <w:color w:val="000000"/>
          <w:sz w:val="22"/>
        </w:rPr>
        <w:t xml:space="preserve">has the meaning assigned thereto in </w:t>
      </w:r>
      <w:r>
        <w:rPr>
          <w:rFonts w:ascii="Times New Roman;sans-serif" w:hAnsi="Times New Roman;sans-serif"/>
          <w:b w:val="false"/>
          <w:color w:val="000000"/>
          <w:sz w:val="22"/>
          <w:u w:val="single"/>
        </w:rPr>
        <w:t>Section 2.3(c)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Unrestricted Subsidiary</w:t>
      </w:r>
      <w:r>
        <w:rPr>
          <w:color w:val="000000"/>
        </w:rPr>
        <w:t xml:space="preserve">” </w:t>
      </w:r>
      <w:r>
        <w:rPr>
          <w:rFonts w:ascii="Times New Roman;sans-serif" w:hAnsi="Times New Roman;sans-serif"/>
          <w:b w:val="false"/>
          <w:color w:val="000000"/>
          <w:sz w:val="22"/>
        </w:rPr>
        <w:t xml:space="preserve">means (a) any Subsidiary of the Company designated by the Company as an “Unrestricted Subsidiary” pursuant to </w:t>
      </w:r>
      <w:r>
        <w:rPr>
          <w:rFonts w:ascii="Times New Roman;sans-serif" w:hAnsi="Times New Roman;sans-serif"/>
          <w:b w:val="false"/>
          <w:color w:val="000000"/>
          <w:sz w:val="22"/>
          <w:u w:val="single"/>
        </w:rPr>
        <w:t>Section 8.14</w:t>
      </w:r>
      <w:r>
        <w:rPr>
          <w:color w:val="000000"/>
        </w:rPr>
        <w:t xml:space="preserve"> </w:t>
      </w:r>
      <w:r>
        <w:rPr>
          <w:rFonts w:ascii="Times New Roman;sans-serif" w:hAnsi="Times New Roman;sans-serif"/>
          <w:b w:val="false"/>
          <w:color w:val="000000"/>
          <w:sz w:val="22"/>
        </w:rPr>
        <w:t>and (b) any direct or indirect Subsidiary of a Subsidiary described in the foregoing clause (a).</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Special Resolution Regimes</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13.26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Tax Compliance Certificate</w:t>
      </w:r>
      <w:r>
        <w:rPr>
          <w:color w:val="000000"/>
        </w:rPr>
        <w:t xml:space="preserve">” </w:t>
      </w:r>
      <w:r>
        <w:rPr>
          <w:rFonts w:ascii="Times New Roman;sans-serif" w:hAnsi="Times New Roman;sans-serif"/>
          <w:b w:val="false"/>
          <w:color w:val="000000"/>
          <w:sz w:val="22"/>
        </w:rPr>
        <w:t xml:space="preserve">has the meaning assigned to such term in </w:t>
      </w:r>
      <w:r>
        <w:rPr>
          <w:rFonts w:ascii="Times New Roman;sans-serif" w:hAnsi="Times New Roman;sans-serif"/>
          <w:b w:val="false"/>
          <w:color w:val="000000"/>
          <w:sz w:val="22"/>
          <w:u w:val="single"/>
        </w:rPr>
        <w:t>Section 4.11(e)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Wholly</w:t>
      </w:r>
      <w:r>
        <w:rPr>
          <w:rFonts w:ascii="Times New Roman;sans-serif" w:hAnsi="Times New Roman;sans-serif"/>
          <w:b w:val="false"/>
          <w:strike/>
          <w:color w:val="FF0000"/>
          <w:sz w:val="22"/>
        </w:rPr>
        <w:t>-</w:t>
      </w:r>
      <w:r>
        <w:rPr>
          <w:color w:val="000000"/>
          <w:u w:val="single"/>
        </w:rPr>
        <w:t xml:space="preserve"> </w:t>
      </w:r>
      <w:r>
        <w:rPr>
          <w:rFonts w:ascii="Times New Roman;sans-serif" w:hAnsi="Times New Roman;sans-serif"/>
          <w:b w:val="false"/>
          <w:color w:val="000000"/>
          <w:sz w:val="22"/>
          <w:u w:val="single"/>
        </w:rPr>
        <w:t>Owned</w:t>
      </w:r>
      <w:r>
        <w:rPr>
          <w:color w:val="000000"/>
        </w:rPr>
        <w:t xml:space="preserve">” </w:t>
      </w:r>
      <w:r>
        <w:rPr>
          <w:rFonts w:ascii="Times New Roman;sans-serif" w:hAnsi="Times New Roman;sans-serif"/>
          <w:b w:val="false"/>
          <w:color w:val="000000"/>
          <w:sz w:val="22"/>
        </w:rPr>
        <w:t>means, with respect to a Subsidiary, that all of the shares of Capital Stock of such Subsidiary are, directly or indirectly, owned or controlled by the Company and/or one or more of its Wholly</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00"/>
          <w:sz w:val="22"/>
        </w:rPr>
        <w:t>Owned Subsidiaries (except for directors’ qualifying shares or other shares required by Applicable Law to be owned by a Person other than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Withholding Agent</w:t>
      </w:r>
      <w:r>
        <w:rPr>
          <w:color w:val="000000"/>
        </w:rPr>
        <w:t xml:space="preserve">” </w:t>
      </w:r>
      <w:r>
        <w:rPr>
          <w:rFonts w:ascii="Times New Roman;sans-serif" w:hAnsi="Times New Roman;sans-serif"/>
          <w:b w:val="false"/>
          <w:color w:val="000000"/>
          <w:sz w:val="22"/>
        </w:rPr>
        <w:t xml:space="preserve">means any Credit Party and the Administrative Agent.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strike/>
          <w:color w:val="FF0000"/>
          <w:sz w:val="22"/>
          <w:u w:val="single"/>
        </w:rPr>
        <w:t>Write-Down</w:t>
      </w:r>
      <w:r>
        <w:rPr>
          <w:rFonts w:ascii="Times New Roman;sans-serif" w:hAnsi="Times New Roman;sans-serif"/>
          <w:b w:val="false"/>
          <w:color w:val="0000FF"/>
          <w:sz w:val="22"/>
          <w:u w:val="single"/>
        </w:rPr>
        <w:t>Write-Down</w:t>
      </w:r>
      <w:r>
        <w:rPr>
          <w:color w:val="000000"/>
          <w:u w:val="single"/>
        </w:rPr>
        <w:t xml:space="preserve"> </w:t>
      </w:r>
      <w:r>
        <w:rPr>
          <w:rFonts w:ascii="Times New Roman;sans-serif" w:hAnsi="Times New Roman;sans-serif"/>
          <w:b w:val="false"/>
          <w:color w:val="000000"/>
          <w:sz w:val="22"/>
          <w:u w:val="single"/>
        </w:rPr>
        <w:t>and Conversion Powers</w:t>
      </w:r>
      <w:r>
        <w:rPr>
          <w:color w:val="000000"/>
        </w:rPr>
        <w:t xml:space="preserve">” </w:t>
      </w:r>
      <w:r>
        <w:rPr>
          <w:rFonts w:ascii="Times New Roman;sans-serif" w:hAnsi="Times New Roman;sans-serif"/>
          <w:b w:val="false"/>
          <w:color w:val="000000"/>
          <w:sz w:val="22"/>
        </w:rPr>
        <w:t xml:space="preserve">means, (a) with respect to any EEA Resolution Authority, the </w:t>
      </w:r>
      <w:r>
        <w:rPr>
          <w:rFonts w:ascii="Times New Roman;sans-serif" w:hAnsi="Times New Roman;sans-serif"/>
          <w:b w:val="false"/>
          <w:strike/>
          <w:color w:val="FF0000"/>
          <w:sz w:val="22"/>
        </w:rPr>
        <w:t>write-down</w:t>
      </w:r>
      <w:r>
        <w:rPr>
          <w:rFonts w:ascii="Times New Roman;sans-serif" w:hAnsi="Times New Roman;sans-serif"/>
          <w:b w:val="false"/>
          <w:color w:val="0000FF"/>
          <w:sz w:val="22"/>
          <w:u w:val="single"/>
        </w:rPr>
        <w:t>write-down</w:t>
      </w:r>
      <w:r>
        <w:rPr>
          <w:color w:val="000000"/>
        </w:rPr>
        <w:t xml:space="preserve"> </w:t>
      </w:r>
      <w:r>
        <w:rPr>
          <w:rFonts w:ascii="Times New Roman;sans-serif" w:hAnsi="Times New Roman;sans-serif"/>
          <w:b w:val="false"/>
          <w:color w:val="000000"/>
          <w:sz w:val="22"/>
        </w:rPr>
        <w:t xml:space="preserve">and conversion powers of such EEA Resolution Authority from time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249"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to time under the </w:t>
      </w:r>
      <w:r>
        <w:rPr>
          <w:rFonts w:ascii="Times New Roman;sans-serif" w:hAnsi="Times New Roman;sans-serif"/>
          <w:b w:val="false"/>
          <w:strike/>
          <w:color w:val="FF0000"/>
          <w:sz w:val="22"/>
        </w:rPr>
        <w:t>Bail-In</w:t>
      </w:r>
      <w:r>
        <w:rPr>
          <w:rFonts w:ascii="Times New Roman;sans-serif" w:hAnsi="Times New Roman;sans-serif"/>
          <w:b w:val="false"/>
          <w:color w:val="0000FF"/>
          <w:sz w:val="22"/>
          <w:u w:val="single"/>
        </w:rPr>
        <w:t>Bail-In</w:t>
      </w:r>
      <w:r>
        <w:rPr>
          <w:color w:val="000000"/>
        </w:rPr>
        <w:t xml:space="preserve"> </w:t>
      </w:r>
      <w:r>
        <w:rPr>
          <w:rFonts w:ascii="Times New Roman;sans-serif" w:hAnsi="Times New Roman;sans-serif"/>
          <w:b w:val="false"/>
          <w:color w:val="000000"/>
          <w:sz w:val="22"/>
        </w:rPr>
        <w:t xml:space="preserve">Legislation for the applicable EEA Member Country, which </w:t>
      </w:r>
      <w:r>
        <w:rPr>
          <w:rFonts w:ascii="Times New Roman;sans-serif" w:hAnsi="Times New Roman;sans-serif"/>
          <w:b w:val="false"/>
          <w:strike/>
          <w:color w:val="FF0000"/>
          <w:sz w:val="22"/>
        </w:rPr>
        <w:t>write-down</w:t>
      </w:r>
      <w:r>
        <w:rPr>
          <w:rFonts w:ascii="Times New Roman;sans-serif" w:hAnsi="Times New Roman;sans-serif"/>
          <w:b w:val="false"/>
          <w:color w:val="0000FF"/>
          <w:sz w:val="22"/>
          <w:u w:val="single"/>
        </w:rPr>
        <w:t>write-down</w:t>
      </w:r>
      <w:r>
        <w:rPr>
          <w:color w:val="000000"/>
        </w:rPr>
        <w:t xml:space="preserve"> </w:t>
      </w:r>
      <w:r>
        <w:rPr>
          <w:rFonts w:ascii="Times New Roman;sans-serif" w:hAnsi="Times New Roman;sans-serif"/>
          <w:b w:val="false"/>
          <w:color w:val="000000"/>
          <w:sz w:val="22"/>
        </w:rPr>
        <w:t xml:space="preserve">and conversion powers are described in the EU </w:t>
      </w:r>
      <w:r>
        <w:rPr>
          <w:rFonts w:ascii="Times New Roman;sans-serif" w:hAnsi="Times New Roman;sans-serif"/>
          <w:b w:val="false"/>
          <w:strike/>
          <w:color w:val="FF0000"/>
          <w:sz w:val="22"/>
        </w:rPr>
        <w:t>Bail-In</w:t>
      </w:r>
      <w:r>
        <w:rPr>
          <w:rFonts w:ascii="Times New Roman;sans-serif" w:hAnsi="Times New Roman;sans-serif"/>
          <w:b w:val="false"/>
          <w:color w:val="0000FF"/>
          <w:sz w:val="22"/>
          <w:u w:val="single"/>
        </w:rPr>
        <w:t>Bail-In</w:t>
      </w:r>
      <w:r>
        <w:rPr>
          <w:color w:val="000000"/>
        </w:rPr>
        <w:t xml:space="preserve"> </w:t>
      </w:r>
      <w:r>
        <w:rPr>
          <w:rFonts w:ascii="Times New Roman;sans-serif" w:hAnsi="Times New Roman;sans-serif"/>
          <w:b w:val="false"/>
          <w:color w:val="000000"/>
          <w:sz w:val="22"/>
        </w:rPr>
        <w:t xml:space="preserve">Legislation Schedule, and (b) with respect to the United Kingdom, any powers of the applicable Resolution Authority under the </w:t>
      </w:r>
      <w:r>
        <w:rPr>
          <w:rFonts w:ascii="Times New Roman;sans-serif" w:hAnsi="Times New Roman;sans-serif"/>
          <w:b w:val="false"/>
          <w:strike/>
          <w:color w:val="FF0000"/>
          <w:sz w:val="22"/>
        </w:rPr>
        <w:t>Bail-In</w:t>
      </w:r>
      <w:r>
        <w:rPr>
          <w:rFonts w:ascii="Times New Roman;sans-serif" w:hAnsi="Times New Roman;sans-serif"/>
          <w:b w:val="false"/>
          <w:color w:val="0000FF"/>
          <w:sz w:val="22"/>
          <w:u w:val="single"/>
        </w:rPr>
        <w:t>Bail-In</w:t>
      </w:r>
      <w:r>
        <w:rPr>
          <w:color w:val="000000"/>
        </w:rPr>
        <w:t xml:space="preserve"> </w:t>
      </w:r>
      <w:r>
        <w:rPr>
          <w:rFonts w:ascii="Times New Roman;sans-serif" w:hAnsi="Times New Roman;sans-serif"/>
          <w:b w:val="false"/>
          <w:color w:val="000000"/>
          <w:sz w:val="22"/>
        </w:rPr>
        <w:t xml:space="preserve">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w:t>
      </w:r>
      <w:r>
        <w:rPr>
          <w:rFonts w:ascii="Times New Roman;sans-serif" w:hAnsi="Times New Roman;sans-serif"/>
          <w:b w:val="false"/>
          <w:strike/>
          <w:color w:val="FF0000"/>
          <w:sz w:val="22"/>
        </w:rPr>
        <w:t>Bail-In</w:t>
      </w:r>
      <w:r>
        <w:rPr>
          <w:rFonts w:ascii="Times New Roman;sans-serif" w:hAnsi="Times New Roman;sans-serif"/>
          <w:b w:val="false"/>
          <w:color w:val="0000FF"/>
          <w:sz w:val="22"/>
          <w:u w:val="single"/>
        </w:rPr>
        <w:t>Bail-In</w:t>
      </w:r>
      <w:r>
        <w:rPr>
          <w:color w:val="000000"/>
        </w:rPr>
        <w:t xml:space="preserve"> </w:t>
      </w:r>
      <w:r>
        <w:rPr>
          <w:rFonts w:ascii="Times New Roman;sans-serif" w:hAnsi="Times New Roman;sans-serif"/>
          <w:b w:val="false"/>
          <w:color w:val="000000"/>
          <w:sz w:val="22"/>
        </w:rPr>
        <w:t>Legislation that are related to or ancillary to any of those powers.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    </w:t>
      </w:r>
      <w:r>
        <w:rPr>
          <w:rFonts w:ascii="Times New Roman;sans-serif" w:hAnsi="Times New Roman;sans-serif"/>
          <w:b/>
          <w:color w:val="000000"/>
          <w:sz w:val="22"/>
          <w:u w:val="single"/>
        </w:rPr>
        <w:t>Other Definitions and Provisions</w:t>
      </w:r>
      <w:r>
        <w:rPr>
          <w:rFonts w:ascii="Times New Roman;sans-serif" w:hAnsi="Times New Roman;sans-serif"/>
          <w:b w:val="false"/>
          <w:color w:val="000000"/>
          <w:sz w:val="22"/>
        </w:rPr>
        <w:t>. With reference to this Agreement and each other Loan Document, unless otherwise specified herein or in such other Loan Document or unless the context requires otherwise: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any definition of or reference to any agreement, instrument or other document (including the Loan Documents, any formation document or governing document of a Credit Party) herein shall be construed as referring to such agreement, instrument or other document as from time to time amended, amended and restated, extended, restated, replaced, supplemented or otherwise modified from time to time (subject to any restrictions on such amendments, supplements or modifications set forth herein or in any other Loan Document), (f) any reference herein to any Person shall be construed to include such Person’s successors and assigns, (g) the words “hereto,” “herein”, “hereof” and “hereunder”, and words of similar import when used in any Loan Document, shall be construed to refer to such Loan Document in its entirety and not to any particular provision thereof, (h) all references in a Loan Document to Articles, Sections, Preliminary Statements, Exhibits and Schedules shall be construed to refer to Articles and Sections of, and Preliminary Statements, Exhibits and Schedules to, the Loan Document in which such references appear, (i) the words “asset” and “property” shall be construed to have the same meaning and effect and to refer to any and all tangible and intangible assets and properties, including cash, securities, accounts and contract rights, (j)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(k) in the computation of periods of time from a specified date to a later specified date, the word “from” means “from and including;” the words “to” and “until” each mean “to but excluding;” and the word “through” means “to and including”, (l) section headings herein and in the other Loan Documents are included for convenience of reference only and shall not affect the interpretation of this Agreement or any other Loan Document and (m) 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    </w:t>
      </w:r>
      <w:r>
        <w:rPr>
          <w:rFonts w:ascii="Times New Roman;sans-serif" w:hAnsi="Times New Roman;sans-serif"/>
          <w:b/>
          <w:color w:val="000000"/>
          <w:sz w:val="22"/>
          <w:u w:val="single"/>
        </w:rPr>
        <w:t>Accounting Terms</w:t>
      </w:r>
      <w:r>
        <w:rPr>
          <w:rFonts w:ascii="Times New Roman;sans-serif" w:hAnsi="Times New Roman;sans-serif"/>
          <w:b/>
          <w:color w:val="0000FF"/>
          <w:sz w:val="22"/>
          <w:u w:val="single"/>
        </w:rPr>
        <w:t>; Limited Condition Transactions</w:t>
      </w:r>
      <w:r>
        <w:rPr>
          <w:rFonts w:ascii="Times New Roman;sans-serif" w:hAnsi="Times New Roman;sans-serif"/>
          <w:b w:val="false"/>
          <w:color w:val="0000FF"/>
          <w:sz w:val="22"/>
          <w:u w:val="single"/>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Accounting Terms</w:t>
      </w:r>
      <w:r>
        <w:rPr>
          <w:rFonts w:ascii="Times New Roman;sans-serif" w:hAnsi="Times New Roman;sans-serif"/>
          <w:b w:val="false"/>
          <w:color w:val="000000"/>
          <w:sz w:val="22"/>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25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in conformity with, GAAP applied on a consistent basis, as in effect from time to time, applied in a manner consistent with that used in preparing the audited financial statements required by </w:t>
      </w:r>
      <w:r>
        <w:rPr>
          <w:rFonts w:ascii="Times New Roman;sans-serif" w:hAnsi="Times New Roman;sans-serif"/>
          <w:b w:val="false"/>
          <w:color w:val="000000"/>
          <w:sz w:val="22"/>
          <w:u w:val="single"/>
        </w:rPr>
        <w:t>Section 7.1(b)</w:t>
      </w:r>
      <w:r>
        <w:rPr>
          <w:rFonts w:ascii="Times New Roman;sans-serif" w:hAnsi="Times New Roman;sans-serif"/>
          <w:b w:val="false"/>
          <w:color w:val="000000"/>
          <w:sz w:val="22"/>
        </w:rPr>
        <w:t>, except as otherwise specifically prescribed herein. If the Company notifies the Administrative Agent that the Company requests an amendment to any provision hereof to eliminate the effect of any change occurring after the date hereof in GAAP (including the adoption of IFRS)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Accounting Changes</w:t>
      </w:r>
      <w:r>
        <w:rPr>
          <w:rFonts w:ascii="Times New Roman;sans-serif" w:hAnsi="Times New Roman;sans-serif"/>
          <w:b w:val="false"/>
          <w:color w:val="000000"/>
          <w:sz w:val="22"/>
        </w:rPr>
        <w:t xml:space="preserve">. If at any time any change in GAAP or change in the Company’s accounting practices under </w:t>
      </w:r>
      <w:r>
        <w:rPr>
          <w:rFonts w:ascii="Times New Roman;sans-serif" w:hAnsi="Times New Roman;sans-serif"/>
          <w:b w:val="false"/>
          <w:color w:val="000000"/>
          <w:sz w:val="22"/>
          <w:u w:val="single"/>
        </w:rPr>
        <w:t>Section 10.9</w:t>
      </w:r>
      <w:r>
        <w:rPr>
          <w:color w:val="000000"/>
        </w:rPr>
        <w:t xml:space="preserve"> </w:t>
      </w:r>
      <w:r>
        <w:rPr>
          <w:rFonts w:ascii="Times New Roman;sans-serif" w:hAnsi="Times New Roman;sans-serif"/>
          <w:b w:val="false"/>
          <w:color w:val="000000"/>
          <w:sz w:val="22"/>
        </w:rPr>
        <w:t xml:space="preserve">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or change in the Company’s accounting practices under </w:t>
      </w:r>
      <w:r>
        <w:rPr>
          <w:rFonts w:ascii="Times New Roman;sans-serif" w:hAnsi="Times New Roman;sans-serif"/>
          <w:b w:val="false"/>
          <w:color w:val="000000"/>
          <w:sz w:val="22"/>
          <w:u w:val="single"/>
        </w:rPr>
        <w:t>Section 10.9</w:t>
      </w:r>
      <w:r>
        <w:rPr>
          <w:color w:val="000000"/>
        </w:rPr>
        <w:t xml:space="preserve"> </w:t>
      </w:r>
      <w:r>
        <w:rPr>
          <w:rFonts w:ascii="Times New Roman;sans-serif" w:hAnsi="Times New Roman;sans-serif"/>
          <w:b w:val="false"/>
          <w:color w:val="000000"/>
          <w:sz w:val="22"/>
        </w:rPr>
        <w:t xml:space="preserve">(subject to the approval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until so amended, (i) such ratio or requirement shall continue to be computed in accordance with GAAP and the Company’s accounting practice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or change in the Company’s accounting practices.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Financial Accounting Standards Board Staff Position APB 14-1 to value any such Indebtedness in a reduced or bifurcated manner as described therein, and such Indebtedness shall at all times be valued at the full stated principal amount thereof.</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(c)    </w:t>
      </w:r>
      <w:r>
        <w:rPr>
          <w:rFonts w:ascii="Times New Roman;sans-serif" w:hAnsi="Times New Roman;sans-serif"/>
          <w:b w:val="false"/>
          <w:color w:val="0000FF"/>
          <w:sz w:val="22"/>
          <w:u w:val="single"/>
        </w:rPr>
        <w:t>Limited Condition Transactions. Notwithstanding anything to the contrary herein, in connection with any Limited Condition Transaction and, if applicable, the availability of the Incremental Term Loans that are to be used to finance such Limited Condition Transaction in accordance with this Section, then the following provisions shall apply:</w:t>
      </w:r>
    </w:p>
    <w:p>
      <w:pPr>
        <w:pStyle w:val="TextBody"/>
        <w:bidi w:val="0"/>
        <w:spacing w:lineRule="auto" w:line="288" w:before="0" w:after="240"/>
        <w:ind w:left="0" w:right="0" w:firstLine="360"/>
        <w:jc w:val="left"/>
        <w:rPr/>
      </w:pPr>
      <w:r>
        <w:rPr>
          <w:rFonts w:ascii="Times New Roman;sans-serif" w:hAnsi="Times New Roman;sans-serif"/>
          <w:b w:val="false"/>
          <w:color w:val="0000FF"/>
          <w:sz w:val="22"/>
        </w:rPr>
        <w:t>i.    </w:t>
      </w:r>
      <w:r>
        <w:rPr>
          <w:rFonts w:ascii="Times New Roman;sans-serif" w:hAnsi="Times New Roman;sans-serif"/>
          <w:b w:val="false"/>
          <w:color w:val="0000FF"/>
          <w:sz w:val="22"/>
          <w:u w:val="single"/>
        </w:rPr>
        <w:t xml:space="preserve">any condition to such Limited Condition Transaction or such Indebtedness that the Credit Parties be in compliance with the financial covenants set forth in Article IX immediately after giving effect to such Limited Condition Transaction and the incurrence of such Indebtedness on a pro forma basis recomputed as of the end of the Measurement Period shall be satisfied if the Credit Parties are in compliance with such financial covenants immediately after giving effect to such Limited Condition Transaction and the incurrence of any Indebtedness (other than revolving loans, Swingline Loans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25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and Letters of Credit) on a pro forma basis recomputed as of the end of the Measurement Period immediately prior to the LCT Test Date;</w:t>
      </w:r>
    </w:p>
    <w:p>
      <w:pPr>
        <w:pStyle w:val="TextBody"/>
        <w:bidi w:val="0"/>
        <w:spacing w:before="0" w:after="240"/>
        <w:jc w:val="both"/>
        <w:rPr/>
      </w:pPr>
      <w:r>
        <w:rPr/>
      </w:r>
    </w:p>
    <w:p>
      <w:pPr>
        <w:pStyle w:val="TextBody"/>
        <w:bidi w:val="0"/>
        <w:spacing w:lineRule="auto" w:line="288" w:before="0" w:after="240"/>
        <w:ind w:left="0" w:right="0" w:firstLine="360"/>
        <w:jc w:val="left"/>
        <w:rPr/>
      </w:pPr>
      <w:r>
        <w:rPr>
          <w:rFonts w:ascii="Times New Roman;sans-serif" w:hAnsi="Times New Roman;sans-serif"/>
          <w:b w:val="false"/>
          <w:color w:val="0000FF"/>
          <w:sz w:val="22"/>
        </w:rPr>
        <w:t>ii.    </w:t>
      </w:r>
      <w:r>
        <w:rPr>
          <w:rFonts w:ascii="Times New Roman;sans-serif" w:hAnsi="Times New Roman;sans-serif"/>
          <w:b w:val="false"/>
          <w:color w:val="0000FF"/>
          <w:sz w:val="22"/>
          <w:u w:val="single"/>
        </w:rPr>
        <w:t>any condition to the borrowing of Incremental Term Loans that the Net Leverage Ratio not exceed a specified level immediately after giving effect to the incurrence of such Incremental Term Loan on a pro forma basis recomputed as of the end of the Measurement Period shall be satisfied if the Credit Parties are in compliance with such Net Leverage Ratio immediately after giving effect to the incurrence of such Incremental Term Loans on a pro forma basis recomputed as of the end of the Measurement Period immediately prior to the LCT Test Date;</w:t>
      </w:r>
    </w:p>
    <w:p>
      <w:pPr>
        <w:pStyle w:val="TextBody"/>
        <w:bidi w:val="0"/>
        <w:spacing w:before="0" w:after="240"/>
        <w:jc w:val="both"/>
        <w:rPr/>
      </w:pPr>
      <w:r>
        <w:rPr/>
      </w:r>
    </w:p>
    <w:p>
      <w:pPr>
        <w:pStyle w:val="TextBody"/>
        <w:bidi w:val="0"/>
        <w:spacing w:lineRule="auto" w:line="288" w:before="0" w:after="240"/>
        <w:ind w:left="0" w:right="0" w:firstLine="360"/>
        <w:jc w:val="left"/>
        <w:rPr/>
      </w:pPr>
      <w:r>
        <w:rPr>
          <w:rFonts w:ascii="Times New Roman;sans-serif" w:hAnsi="Times New Roman;sans-serif"/>
          <w:b w:val="false"/>
          <w:color w:val="0000FF"/>
          <w:sz w:val="22"/>
        </w:rPr>
        <w:t>iii.    </w:t>
      </w:r>
      <w:r>
        <w:rPr>
          <w:rFonts w:ascii="Times New Roman;sans-serif" w:hAnsi="Times New Roman;sans-serif"/>
          <w:b w:val="false"/>
          <w:color w:val="0000FF"/>
          <w:sz w:val="22"/>
          <w:u w:val="single"/>
        </w:rPr>
        <w:t>any condition to such Limited Condition Transaction or such Indebtedness that requires that no Default or Event of Default shall have occurred and be continuing at the time of such Limited Condition Transaction or the incurrence of such Indebtedness shall be satisfied if (A) no Default or Event of Default (as applicable) shall have occurred and be continuing on the LCT Test Date and (B) no Event of Default under Section 11.1(a), 11.1(b), 11.1(j) or 11.1(k) shall have occurred and be continuing on the date of the consummation of such Limited Condition Transaction and the incurrence of such Indebtedness; and</w:t>
      </w:r>
    </w:p>
    <w:p>
      <w:pPr>
        <w:pStyle w:val="TextBody"/>
        <w:bidi w:val="0"/>
        <w:spacing w:lineRule="auto" w:line="288" w:before="0" w:after="240"/>
        <w:ind w:left="0" w:right="0" w:firstLine="360"/>
        <w:jc w:val="left"/>
        <w:rPr/>
      </w:pPr>
      <w:r>
        <w:rPr>
          <w:rFonts w:ascii="Times New Roman;sans-serif" w:hAnsi="Times New Roman;sans-serif"/>
          <w:b w:val="false"/>
          <w:color w:val="0000FF"/>
          <w:sz w:val="22"/>
        </w:rPr>
        <w:t>iv.    </w:t>
      </w:r>
      <w:r>
        <w:rPr>
          <w:rFonts w:ascii="Times New Roman;sans-serif" w:hAnsi="Times New Roman;sans-serif"/>
          <w:b w:val="false"/>
          <w:color w:val="0000FF"/>
          <w:sz w:val="22"/>
          <w:u w:val="single"/>
        </w:rPr>
        <w:t>any condition to such Limited Condition Transaction or such Indebtedness that the representations and warranties in Article VI or any other Loan Document, or which are contained in any document furnished at any time under or in connection herewith or therewith, shall be true and correct at the time of such Limited Condition Transaction or the incurrence of such Indebtedness shall be satisfied if (A) the representations and warranties in Article VI or any other Loan Document, or which are contained in any document furnished at any time under or in connection herewith or therewith, are true and correct as of the LCT Test Date and (B) the Specified Representations and the Specified Purchase Agreement Representations shall be true and correct in all material respects (or, if qualified by materiality or Material Adverse Effect, in all respects) on and as of the date of the consummation of such Limited Condition Transaction and the incurrence of such Indebtedness.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1.4    </w:t>
      </w:r>
      <w:r>
        <w:rPr>
          <w:rFonts w:ascii="Times New Roman;sans-serif" w:hAnsi="Times New Roman;sans-serif"/>
          <w:b/>
          <w:color w:val="000000"/>
          <w:sz w:val="22"/>
          <w:u w:val="single"/>
        </w:rPr>
        <w:t>UCC Terms</w:t>
      </w:r>
      <w:r>
        <w:rPr>
          <w:rFonts w:ascii="Times New Roman;sans-serif" w:hAnsi="Times New Roman;sans-serif"/>
          <w:b w:val="false"/>
          <w:color w:val="000000"/>
          <w:sz w:val="22"/>
        </w:rPr>
        <w:t>. Terms defined in the UCC in effect on the Closing Date and not otherwise defined herein shall, unless the context otherwise indicates, have the meanings provided by those definitions. Subject to the foregoing, the term “</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refers, as of any date of determination, to the UCC then in effect.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1.5    </w:t>
      </w:r>
      <w:r>
        <w:rPr>
          <w:rFonts w:ascii="Times New Roman;sans-serif" w:hAnsi="Times New Roman;sans-serif"/>
          <w:b/>
          <w:color w:val="000000"/>
          <w:sz w:val="22"/>
          <w:u w:val="single"/>
        </w:rPr>
        <w:t>Rounding</w:t>
      </w:r>
      <w:r>
        <w:rPr>
          <w:rFonts w:ascii="Times New Roman;sans-serif" w:hAnsi="Times New Roman;sans-serif"/>
          <w:b w:val="false"/>
          <w:color w:val="000000"/>
          <w:sz w:val="22"/>
        </w:rPr>
        <w:t xml:space="preserve">. Any financial ratios required to be maintained by the Company pursuant to this Agreement shall be calculated by dividing the appropriate component by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52"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88" w:before="0" w:after="240"/>
        <w:ind w:left="0" w:right="0" w:firstLine="720"/>
        <w:jc w:val="both"/>
        <w:rPr/>
      </w:pPr>
      <w:r>
        <w:rPr>
          <w:rFonts w:ascii="Times New Roman;sans-serif" w:hAnsi="Times New Roman;sans-serif"/>
          <w:b/>
          <w:strike/>
          <w:color w:val="FF0000"/>
          <w:sz w:val="22"/>
        </w:rPr>
        <w:t xml:space="preserve">SECTION 1.6 </w:t>
      </w:r>
      <w:r>
        <w:rPr>
          <w:rFonts w:ascii="Times New Roman;sans-serif" w:hAnsi="Times New Roman;sans-serif"/>
          <w:b/>
          <w:strike/>
          <w:color w:val="FF0000"/>
          <w:sz w:val="22"/>
          <w:u w:val="single"/>
        </w:rPr>
        <w:t>[Intentionally Omitted]</w:t>
      </w:r>
      <w:r>
        <w:rPr>
          <w:rFonts w:ascii="Times New Roman;sans-serif" w:hAnsi="Times New Roman;sans-serif"/>
          <w:b w:val="false"/>
          <w:strike/>
          <w:color w:val="FF0000"/>
          <w:sz w:val="22"/>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FF"/>
          <w:sz w:val="22"/>
          <w:u w:val="single"/>
        </w:rPr>
        <w:t>SECTION 1.1    Interest Rates</w:t>
      </w:r>
      <w:r>
        <w:rPr>
          <w:rFonts w:ascii="Times New Roman;sans-serif" w:hAnsi="Times New Roman;sans-serif"/>
          <w:b w:val="false"/>
          <w:color w:val="0000FF"/>
          <w:sz w:val="22"/>
          <w:u w:val="single"/>
        </w:rPr>
        <w:t xml:space="preserve">. </w:t>
      </w:r>
      <w:r>
        <w:rPr>
          <w:rFonts w:ascii="Times New Roman;sans-serif" w:hAnsi="Times New Roman;sans-serif"/>
          <w:b w:val="false"/>
          <w:color w:val="008000"/>
          <w:sz w:val="22"/>
          <w:u w:val="single"/>
        </w:rPr>
        <w:t xml:space="preserve">The Administrative Agent does not warrant, nor accept responsibility, nor shall the Administrative Agent have any liability with respect to the administration, submission or any other matter related to </w:t>
      </w:r>
      <w:r>
        <w:rPr>
          <w:rFonts w:ascii="Times New Roman;sans-serif" w:hAnsi="Times New Roman;sans-serif"/>
          <w:b w:val="false"/>
          <w:color w:val="0000FF"/>
          <w:sz w:val="22"/>
          <w:u w:val="single"/>
        </w:rPr>
        <w:t xml:space="preserve">any reference rate referred to herein </w:t>
      </w:r>
      <w:r>
        <w:rPr>
          <w:rFonts w:ascii="Times New Roman;sans-serif" w:hAnsi="Times New Roman;sans-serif"/>
          <w:b w:val="false"/>
          <w:color w:val="008000"/>
          <w:sz w:val="22"/>
          <w:u w:val="single"/>
        </w:rPr>
        <w:t xml:space="preserve">or with respect to any rate </w:t>
      </w:r>
      <w:r>
        <w:rPr>
          <w:rFonts w:ascii="Times New Roman;sans-serif" w:hAnsi="Times New Roman;sans-serif"/>
          <w:b w:val="false"/>
          <w:color w:val="0000FF"/>
          <w:sz w:val="22"/>
          <w:u w:val="single"/>
        </w:rPr>
        <w:t xml:space="preserve">(including, for the avoidance of doubt, the selection  of such rate and any related spread or other adjustment) </w:t>
      </w:r>
      <w:r>
        <w:rPr>
          <w:rFonts w:ascii="Times New Roman;sans-serif" w:hAnsi="Times New Roman;sans-serif"/>
          <w:b w:val="false"/>
          <w:color w:val="008000"/>
          <w:sz w:val="22"/>
          <w:u w:val="single"/>
        </w:rPr>
        <w:t xml:space="preserve">that is an alternative or replacement for or successor to any </w:t>
      </w:r>
      <w:r>
        <w:rPr>
          <w:rFonts w:ascii="Times New Roman;sans-serif" w:hAnsi="Times New Roman;sans-serif"/>
          <w:b w:val="false"/>
          <w:color w:val="0000FF"/>
          <w:sz w:val="22"/>
          <w:u w:val="single"/>
        </w:rPr>
        <w:t xml:space="preserve">such rate </w:t>
      </w:r>
      <w:r>
        <w:rPr>
          <w:rFonts w:ascii="Times New Roman;sans-serif" w:hAnsi="Times New Roman;sans-serif"/>
          <w:b w:val="false"/>
          <w:color w:val="008000"/>
          <w:sz w:val="22"/>
          <w:u w:val="single"/>
        </w:rPr>
        <w:t>(including, without limitation, any Successor Rate</w:t>
      </w:r>
      <w:r>
        <w:rPr>
          <w:rFonts w:ascii="Times New Roman;sans-serif" w:hAnsi="Times New Roman;sans-serif"/>
          <w:b w:val="false"/>
          <w:color w:val="0000FF"/>
          <w:sz w:val="22"/>
          <w:u w:val="single"/>
        </w:rPr>
        <w:t>) (or any component of any of the foregoing</w:t>
      </w:r>
      <w:r>
        <w:rPr>
          <w:rFonts w:ascii="Times New Roman;sans-serif" w:hAnsi="Times New Roman;sans-serif"/>
          <w:b w:val="false"/>
          <w:color w:val="008000"/>
          <w:sz w:val="22"/>
          <w:u w:val="single"/>
        </w:rPr>
        <w:t xml:space="preserve">) or the effect of any of the foregoing, or of any </w:t>
      </w:r>
      <w:r>
        <w:rPr>
          <w:rFonts w:ascii="Times New Roman;sans-serif" w:hAnsi="Times New Roman;sans-serif"/>
          <w:b w:val="false"/>
          <w:color w:val="0000FF"/>
          <w:sz w:val="22"/>
          <w:u w:val="single"/>
        </w:rPr>
        <w:t xml:space="preserve">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sans-serif" w:hAnsi="Times New Roman;sans-serif"/>
          <w:b/>
          <w:color w:val="0000FF"/>
          <w:sz w:val="22"/>
          <w:u w:val="single"/>
        </w:rPr>
        <w:t>(</w:t>
      </w:r>
      <w:r>
        <w:rPr>
          <w:rFonts w:ascii="Times New Roman;sans-serif" w:hAnsi="Times New Roman;sans-serif"/>
          <w:b w:val="false"/>
          <w:color w:val="0000FF"/>
          <w:sz w:val="22"/>
          <w:u w:val="single"/>
        </w:rPr>
        <w:t>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    </w:t>
      </w:r>
      <w:r>
        <w:rPr>
          <w:rFonts w:ascii="Times New Roman;sans-serif" w:hAnsi="Times New Roman;sans-serif"/>
          <w:b/>
          <w:color w:val="000000"/>
          <w:sz w:val="22"/>
          <w:u w:val="single"/>
        </w:rPr>
        <w:t>Letter of Credit Amounts</w:t>
      </w:r>
      <w:r>
        <w:rPr>
          <w:rFonts w:ascii="Times New Roman;sans-serif" w:hAnsi="Times New Roman;sans-serif"/>
          <w:b w:val="false"/>
          <w:color w:val="000000"/>
          <w:sz w:val="22"/>
        </w:rPr>
        <w:t xml:space="preserve">. Unless otherwise specified herein, the amount of a Letter of Credit at any time shall be deemed to be the Dollar Amount of the stated amount of such Letter of Credit in effect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with respect to any Letter of Credit that, by its terms or the terms of any Issuer Document related thereto, provides for one or more automatic increases in the stated amount thereof, the amount of such Letter of Credit shall be deemed to be the Dollar Amount of the maximum stated amount of such Letter of Credit after giving effect to all such increases, whether or not such maximum stated amount is in effect at such time.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    </w:t>
      </w:r>
      <w:r>
        <w:rPr>
          <w:rFonts w:ascii="Times New Roman;sans-serif" w:hAnsi="Times New Roman;sans-serif"/>
          <w:b/>
          <w:color w:val="000000"/>
          <w:sz w:val="22"/>
          <w:u w:val="single"/>
        </w:rPr>
        <w:t>Exchange Rates; Currency Equivalents</w:t>
      </w:r>
      <w:r>
        <w:rPr>
          <w:rFonts w:ascii="Times New Roman;sans-serif" w:hAnsi="Times New Roman;sans-serif"/>
          <w:b/>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strike/>
          <w:color w:val="FF0000"/>
          <w:sz w:val="22"/>
        </w:rPr>
        <w:t>(a)</w:t>
      </w:r>
      <w:r>
        <w:rPr>
          <w:rFonts w:ascii="Times New Roman;sans-serif" w:hAnsi="Times New Roman;sans-serif"/>
          <w:b w:val="false"/>
          <w:color w:val="000000"/>
          <w:sz w:val="22"/>
        </w:rPr>
        <w:t xml:space="preserve">The Administrative Agent or the applicable Issuing Lender, as applicable, shall determine the Exchange Rates as of each Computation Date to be used for calculating Dollar Amounts of Extensions of Credit and Outstanding Amounts denominated in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Currencies. Such Exchange Rates shall become effective as of such Computation Date and shall be the Exchange Rates employed in converting any amounts between the applicable currencies until the next Computation Date to occur. Except for purposes of financial statements delivered by Credit Parties hereunder or calculating financial covenants hereunder or except as otherwise provided herein, the applicable amount of any currency (other than Dollars) for purposes of the Loan Documents shall be such Dollar Amount as so determined by the Administrative Agent or the applicable Issuing Lender, as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strike/>
          <w:color w:val="FF0000"/>
          <w:sz w:val="22"/>
        </w:rPr>
        <w:t>(b)</w:t>
      </w:r>
      <w:r>
        <w:rPr>
          <w:rFonts w:ascii="Times New Roman;sans-serif" w:hAnsi="Times New Roman;sans-serif"/>
          <w:b w:val="false"/>
          <w:color w:val="000000"/>
          <w:sz w:val="22"/>
        </w:rPr>
        <w:t xml:space="preserve">Wherever in this Agreement in connection with an Extension of Credit, conversion, continuation or prepayment of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 or the issuance, amendment or extension of a Letter of Credit, an amount, such as a required minimum or multiple amount, is expressed in Dollars, but such Extension of Credit,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 xml:space="preserve">Designated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53"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FF"/>
          <w:sz w:val="22"/>
          <w:u w:val="single"/>
        </w:rPr>
        <w:t>Currency</w:t>
      </w:r>
      <w:r>
        <w:rPr>
          <w:color w:val="000000"/>
        </w:rPr>
        <w:t xml:space="preserve"> </w:t>
      </w:r>
      <w:r>
        <w:rPr>
          <w:rFonts w:ascii="Times New Roman;sans-serif" w:hAnsi="Times New Roman;sans-serif"/>
          <w:b w:val="false"/>
          <w:color w:val="000000"/>
          <w:sz w:val="22"/>
        </w:rPr>
        <w:t xml:space="preserve">Rate Loan or Letter of Credit is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such amount shall be the relevant Equivalent Amount of such Dollar amount (rounded to the nearest unit of such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with 0.5 of a unit being rounded upward), as determined by the Administrative Agent or the applicable Issuing Lender, as the case may be.</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(c)</w:t>
      </w:r>
      <w:r>
        <w:rPr>
          <w:rFonts w:ascii="Times New Roman;sans-serif" w:hAnsi="Times New Roman;sans-serif"/>
          <w:b w:val="false"/>
          <w:strike/>
          <w:color w:val="008000"/>
          <w:sz w:val="22"/>
        </w:rPr>
        <w:t xml:space="preserve">The Administrative Agent does not warrant, nor accept responsibility, nor shall the Administrative Agent have any liability with respect to the administration, submission or any other matter related to </w:t>
      </w:r>
      <w:r>
        <w:rPr>
          <w:rFonts w:ascii="Times New Roman;sans-serif" w:hAnsi="Times New Roman;sans-serif"/>
          <w:b w:val="false"/>
          <w:strike/>
          <w:color w:val="FF0000"/>
          <w:sz w:val="22"/>
        </w:rPr>
        <w:t xml:space="preserve">the rates in the definition of “Eurocurrency Rate” </w:t>
      </w:r>
      <w:r>
        <w:rPr>
          <w:rFonts w:ascii="Times New Roman;sans-serif" w:hAnsi="Times New Roman;sans-serif"/>
          <w:b w:val="false"/>
          <w:strike/>
          <w:color w:val="008000"/>
          <w:sz w:val="22"/>
        </w:rPr>
        <w:t xml:space="preserve">or with respect to any rate that is an alternative or replacement for or successor to any </w:t>
      </w:r>
      <w:r>
        <w:rPr>
          <w:rFonts w:ascii="Times New Roman;sans-serif" w:hAnsi="Times New Roman;sans-serif"/>
          <w:b w:val="false"/>
          <w:strike/>
          <w:color w:val="FF0000"/>
          <w:sz w:val="22"/>
        </w:rPr>
        <w:t xml:space="preserve">of such rates </w:t>
      </w:r>
      <w:r>
        <w:rPr>
          <w:rFonts w:ascii="Times New Roman;sans-serif" w:hAnsi="Times New Roman;sans-serif"/>
          <w:b w:val="false"/>
          <w:strike/>
          <w:color w:val="008000"/>
          <w:sz w:val="22"/>
        </w:rPr>
        <w:t xml:space="preserve">(including, without limitation, any Successor Rate) or the effect of any of the foregoing, or of any </w:t>
      </w:r>
      <w:r>
        <w:rPr>
          <w:rFonts w:ascii="Times New Roman;sans-serif" w:hAnsi="Times New Roman;sans-serif"/>
          <w:b w:val="false"/>
          <w:strike/>
          <w:color w:val="FF0000"/>
          <w:sz w:val="22"/>
        </w:rPr>
        <w:t>Successor Rate Conforming Changes.</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(c)    </w:t>
      </w:r>
      <w:r>
        <w:rPr>
          <w:rFonts w:ascii="Times New Roman;sans-serif" w:hAnsi="Times New Roman;sans-serif"/>
          <w:b w:val="false"/>
          <w:color w:val="0000FF"/>
          <w:sz w:val="22"/>
          <w:u w:val="single"/>
        </w:rPr>
        <w:t>[Reserved].</w:t>
      </w:r>
    </w:p>
    <w:p>
      <w:pPr>
        <w:pStyle w:val="TextBody"/>
        <w:bidi w:val="0"/>
        <w:spacing w:lineRule="auto" w:line="288" w:before="0" w:after="240"/>
        <w:ind w:left="0" w:right="0" w:firstLine="720"/>
        <w:jc w:val="both"/>
        <w:rPr/>
      </w:pPr>
      <w:r>
        <w:rPr>
          <w:rFonts w:ascii="Arial;sans-serif" w:hAnsi="Arial;sans-serif"/>
          <w:b w:val="false"/>
          <w:color w:val="000000"/>
          <w:sz w:val="22"/>
        </w:rPr>
        <w:t>(d)    </w:t>
      </w:r>
      <w:r>
        <w:rPr>
          <w:rFonts w:ascii="Times New Roman;sans-serif" w:hAnsi="Times New Roman;sans-serif"/>
          <w:b w:val="false"/>
          <w:color w:val="000000"/>
          <w:sz w:val="22"/>
        </w:rPr>
        <w:t>For purposes of determining compliance with any dollar basket contained herein, the Dollar Amount of such item shall be calculated at the time of incurrence or issuance thereof, unless otherwise agreed to by both the Company and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1.4    </w:t>
      </w:r>
      <w:r>
        <w:rPr>
          <w:rFonts w:ascii="Times New Roman;sans-serif" w:hAnsi="Times New Roman;sans-serif"/>
          <w:b/>
          <w:color w:val="000000"/>
          <w:sz w:val="22"/>
          <w:u w:val="single"/>
        </w:rPr>
        <w:t xml:space="preserve">Additional </w:t>
      </w:r>
      <w:r>
        <w:rPr>
          <w:rFonts w:ascii="Times New Roman;sans-serif" w:hAnsi="Times New Roman;sans-serif"/>
          <w:b/>
          <w:strike/>
          <w:color w:val="FF0000"/>
          <w:sz w:val="22"/>
          <w:u w:val="single"/>
        </w:rPr>
        <w:t>Foreign</w:t>
      </w:r>
      <w:r>
        <w:rPr>
          <w:rFonts w:ascii="Times New Roman;sans-serif" w:hAnsi="Times New Roman;sans-serif"/>
          <w:b/>
          <w:color w:val="0000FF"/>
          <w:sz w:val="22"/>
          <w:u w:val="single"/>
        </w:rPr>
        <w:t>Designated</w:t>
      </w:r>
      <w:r>
        <w:rPr>
          <w:color w:val="000000"/>
          <w:u w:val="single"/>
        </w:rPr>
        <w:t xml:space="preserve"> </w:t>
      </w:r>
      <w:r>
        <w:rPr>
          <w:rFonts w:ascii="Times New Roman;sans-serif" w:hAnsi="Times New Roman;sans-serif"/>
          <w:b/>
          <w:color w:val="000000"/>
          <w:sz w:val="22"/>
          <w:u w:val="single"/>
        </w:rPr>
        <w:t>Currencies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The Company may from time to time request that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Rate Loans be made and/or Letters of Credit be issued in a currency other than those specifically listed in the definition of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t>
      </w:r>
      <w:r>
        <w:rPr>
          <w:rFonts w:ascii="Times New Roman;sans-serif" w:hAnsi="Times New Roman;sans-serif"/>
          <w:b w:val="false"/>
          <w:strike/>
          <w:color w:val="FF0000"/>
          <w:sz w:val="22"/>
        </w:rPr>
        <w:t xml:space="preserve">(i) </w:t>
      </w:r>
      <w:r>
        <w:rPr>
          <w:rFonts w:ascii="Times New Roman;sans-serif" w:hAnsi="Times New Roman;sans-serif"/>
          <w:b w:val="false"/>
          <w:color w:val="000000"/>
          <w:sz w:val="22"/>
        </w:rPr>
        <w:t>such requested currency complies with the proviso in the definition of “</w:t>
      </w:r>
      <w:r>
        <w:rPr>
          <w:rFonts w:ascii="Times New Roman;sans-serif" w:hAnsi="Times New Roman;sans-serif"/>
          <w:b w:val="false"/>
          <w:strike/>
          <w:color w:val="FF0000"/>
          <w:sz w:val="22"/>
        </w:rPr>
        <w:t>Foreign Currency” and (ii) such requested currency shall only be treated as a “LIBOR Quoted Currency” to the extent that there is published LIBOR rate for such currency</w:t>
      </w:r>
      <w:r>
        <w:rPr>
          <w:rFonts w:ascii="Times New Roman;sans-serif" w:hAnsi="Times New Roman;sans-serif"/>
          <w:b w:val="false"/>
          <w:color w:val="0000FF"/>
          <w:sz w:val="22"/>
          <w:u w:val="single"/>
        </w:rPr>
        <w:t>Designated Currency”</w:t>
      </w:r>
      <w:r>
        <w:rPr>
          <w:rFonts w:ascii="Times New Roman;sans-serif" w:hAnsi="Times New Roman;sans-serif"/>
          <w:b w:val="false"/>
          <w:color w:val="000000"/>
          <w:sz w:val="22"/>
        </w:rPr>
        <w:t xml:space="preserve">. In the case of any such request with respect to the making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Rate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applicable Issuing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Any such request shall be made to the Administrative Agent not later than </w:t>
      </w:r>
      <w:r>
        <w:rPr>
          <w:rFonts w:ascii="Times New Roman;sans-serif" w:hAnsi="Times New Roman;sans-serif"/>
          <w:b w:val="false"/>
          <w:strike/>
          <w:color w:val="FF0000"/>
          <w:sz w:val="22"/>
        </w:rPr>
        <w:t>11:00 a.m</w:t>
      </w:r>
      <w:r>
        <w:rPr>
          <w:rFonts w:ascii="Times New Roman;sans-serif" w:hAnsi="Times New Roman;sans-serif"/>
          <w:b w:val="false"/>
          <w:color w:val="0000FF"/>
          <w:sz w:val="22"/>
          <w:u w:val="single"/>
        </w:rPr>
        <w:t>11:00 a.m</w:t>
      </w:r>
      <w:r>
        <w:rPr>
          <w:rFonts w:ascii="Times New Roman;sans-serif" w:hAnsi="Times New Roman;sans-serif"/>
          <w:b w:val="false"/>
          <w:color w:val="000000"/>
          <w:sz w:val="22"/>
        </w:rPr>
        <w:t xml:space="preserve">., ten (10) Business Days prior to the date of the desired Extension of Credit (or such other time or date as may be agreed by the Administrative Agent and, in the case of any such request pertaining to Letters of Credit, the applicable Issuing Lender, in its or their sole discretion). In the case of any such request pertaining to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Loans, the Administrative Agent shall promptly notify each Appropriate Lender thereof; and in the case of any such request pertaining to Letters of Credit, the Administrative Agent shall promptly notify the applicable Issuing Lender thereof. Each Appropriate Lender (in the case of any such request pertaining to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Loans) or the applicable Issuing Lender (in the case of a request pertaining to Letters of Credit) shall notify the Administrative Agent, not later than </w:t>
      </w:r>
      <w:r>
        <w:rPr>
          <w:rFonts w:ascii="Times New Roman;sans-serif" w:hAnsi="Times New Roman;sans-serif"/>
          <w:b w:val="false"/>
          <w:strike/>
          <w:color w:val="FF0000"/>
          <w:sz w:val="22"/>
        </w:rPr>
        <w:t>11:00 a.m</w:t>
      </w:r>
      <w:r>
        <w:rPr>
          <w:rFonts w:ascii="Times New Roman;sans-serif" w:hAnsi="Times New Roman;sans-serif"/>
          <w:b w:val="false"/>
          <w:color w:val="0000FF"/>
          <w:sz w:val="22"/>
          <w:u w:val="single"/>
        </w:rPr>
        <w:t>11:00 a.m</w:t>
      </w:r>
      <w:r>
        <w:rPr>
          <w:rFonts w:ascii="Times New Roman;sans-serif" w:hAnsi="Times New Roman;sans-serif"/>
          <w:b w:val="false"/>
          <w:color w:val="000000"/>
          <w:sz w:val="22"/>
        </w:rPr>
        <w:t xml:space="preserve">., five (5) Business Days after receipt of such request whether it consents, in its sole discretion, to the making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Rate Loans or the issuance of Letters of Credit, as the case may be, in such requested currency.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(c)    Any failure by a Lender or an Issuing Lender, as the case may be, to respond to such request within the time period specified in the preceding sentence shall be deemed to be a refusal by such Lender or such Issuing Lender, as the case may be, to permit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Loans to be made or Letters of Credit to be issued in such requested currency. If the Administrative Agent and all the Appropriate Lenders consent to making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54"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w:t>
      </w:r>
      <w:r>
        <w:rPr>
          <w:rFonts w:ascii="Times New Roman;sans-serif" w:hAnsi="Times New Roman;sans-serif"/>
          <w:b w:val="false"/>
          <w:strike/>
          <w:color w:val="FF0000"/>
          <w:sz w:val="22"/>
        </w:rPr>
        <w:t>Eurocurrency Rate for any Non-LIBOR Quoted</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w:t>
      </w:r>
      <w:r>
        <w:rPr>
          <w:rFonts w:ascii="Times New Roman;sans-serif" w:hAnsi="Times New Roman;sans-serif"/>
          <w:b w:val="false"/>
          <w:color w:val="0000FF"/>
          <w:sz w:val="22"/>
          <w:u w:val="single"/>
        </w:rPr>
        <w:t xml:space="preserve">Daily Rate or Designated Currency Term Rate </w:t>
      </w:r>
      <w:r>
        <w:rPr>
          <w:rFonts w:ascii="Times New Roman;sans-serif" w:hAnsi="Times New Roman;sans-serif"/>
          <w:b w:val="false"/>
          <w:color w:val="000000"/>
          <w:sz w:val="22"/>
        </w:rPr>
        <w:t xml:space="preserve">to the extent necessary to add the applicable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rate</w:t>
      </w:r>
      <w:r>
        <w:rPr>
          <w:color w:val="000000"/>
        </w:rPr>
        <w:t xml:space="preserve"> </w:t>
      </w:r>
      <w:r>
        <w:rPr>
          <w:rFonts w:ascii="Times New Roman;sans-serif" w:hAnsi="Times New Roman;sans-serif"/>
          <w:b w:val="false"/>
          <w:color w:val="000000"/>
          <w:sz w:val="22"/>
        </w:rPr>
        <w:t xml:space="preserve">for such currency </w:t>
      </w:r>
      <w:r>
        <w:rPr>
          <w:rFonts w:ascii="Times New Roman;sans-serif" w:hAnsi="Times New Roman;sans-serif"/>
          <w:b w:val="false"/>
          <w:color w:val="0000FF"/>
          <w:sz w:val="22"/>
          <w:u w:val="single"/>
        </w:rPr>
        <w:t xml:space="preserve">and any applicable adjustment for such rate </w:t>
      </w:r>
      <w:r>
        <w:rPr>
          <w:rFonts w:ascii="Times New Roman;sans-serif" w:hAnsi="Times New Roman;sans-serif"/>
          <w:b w:val="false"/>
          <w:color w:val="000000"/>
          <w:sz w:val="22"/>
        </w:rPr>
        <w:t xml:space="preserve">and (ii) to the extent the definition of </w:t>
      </w:r>
      <w:r>
        <w:rPr>
          <w:rFonts w:ascii="Times New Roman;sans-serif" w:hAnsi="Times New Roman;sans-serif"/>
          <w:b w:val="false"/>
          <w:strike/>
          <w:color w:val="FF0000"/>
          <w:sz w:val="22"/>
        </w:rPr>
        <w:t>Eurocurrency Rate reflects the appropriate interest rate for such currency or</w:t>
      </w:r>
      <w:r>
        <w:rPr>
          <w:rFonts w:ascii="Times New Roman;sans-serif" w:hAnsi="Times New Roman;sans-serif"/>
          <w:b w:val="false"/>
          <w:color w:val="0000FF"/>
          <w:sz w:val="22"/>
          <w:u w:val="single"/>
        </w:rPr>
        <w:t>Designated Currency Daily Rate or Designated Currency Term Rate, as applicable,</w:t>
      </w:r>
      <w:r>
        <w:rPr>
          <w:color w:val="000000"/>
        </w:rPr>
        <w:t xml:space="preserve"> </w:t>
      </w:r>
      <w:r>
        <w:rPr>
          <w:rFonts w:ascii="Times New Roman;sans-serif" w:hAnsi="Times New Roman;sans-serif"/>
          <w:b w:val="false"/>
          <w:color w:val="000000"/>
          <w:sz w:val="22"/>
        </w:rPr>
        <w:t xml:space="preserve">has been amended to reflect the appropriate rate for such currency, such currency shall thereupon be deemed for all purposes to be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for purposes of any Extensions of Credit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Loans. If the Administrative Agent and the applicable Issuing Lender consent to the issuance of Letters of Credit in such requested currency, the Administrative Agent shall so notify the Company and (A) the Administrative Agent and the applicable Issuing Lender may amend the definition of </w:t>
      </w:r>
      <w:r>
        <w:rPr>
          <w:rFonts w:ascii="Times New Roman;sans-serif" w:hAnsi="Times New Roman;sans-serif"/>
          <w:b w:val="false"/>
          <w:strike/>
          <w:color w:val="FF0000"/>
          <w:sz w:val="22"/>
        </w:rPr>
        <w:t>Eurocurrency Rate for any Non-LIBOR Quoted</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w:t>
      </w:r>
      <w:r>
        <w:rPr>
          <w:rFonts w:ascii="Times New Roman;sans-serif" w:hAnsi="Times New Roman;sans-serif"/>
          <w:b w:val="false"/>
          <w:color w:val="0000FF"/>
          <w:sz w:val="22"/>
          <w:u w:val="single"/>
        </w:rPr>
        <w:t xml:space="preserve">Daily Rate or Designated Currency Term Rate, as applicable, </w:t>
      </w:r>
      <w:r>
        <w:rPr>
          <w:rFonts w:ascii="Times New Roman;sans-serif" w:hAnsi="Times New Roman;sans-serif"/>
          <w:b w:val="false"/>
          <w:color w:val="000000"/>
          <w:sz w:val="22"/>
        </w:rPr>
        <w:t xml:space="preserve">to the extent necessary to add the applicable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rate</w:t>
      </w:r>
      <w:r>
        <w:rPr>
          <w:color w:val="000000"/>
        </w:rPr>
        <w:t xml:space="preserve"> </w:t>
      </w:r>
      <w:r>
        <w:rPr>
          <w:rFonts w:ascii="Times New Roman;sans-serif" w:hAnsi="Times New Roman;sans-serif"/>
          <w:b w:val="false"/>
          <w:color w:val="000000"/>
          <w:sz w:val="22"/>
        </w:rPr>
        <w:t xml:space="preserve">for such currency </w:t>
      </w:r>
      <w:r>
        <w:rPr>
          <w:rFonts w:ascii="Times New Roman;sans-serif" w:hAnsi="Times New Roman;sans-serif"/>
          <w:b w:val="false"/>
          <w:color w:val="0000FF"/>
          <w:sz w:val="22"/>
          <w:u w:val="single"/>
        </w:rPr>
        <w:t xml:space="preserve">and any applicable adjustment for such rate </w:t>
      </w:r>
      <w:r>
        <w:rPr>
          <w:rFonts w:ascii="Times New Roman;sans-serif" w:hAnsi="Times New Roman;sans-serif"/>
          <w:b w:val="false"/>
          <w:color w:val="000000"/>
          <w:sz w:val="22"/>
        </w:rPr>
        <w:t xml:space="preserve">and (B) to the extent the definition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Designated Currency Daily Rate or Designated Currency Term Rate, applicable,</w:t>
      </w:r>
      <w:r>
        <w:rPr>
          <w:color w:val="000000"/>
        </w:rPr>
        <w:t xml:space="preserve"> </w:t>
      </w:r>
      <w:r>
        <w:rPr>
          <w:rFonts w:ascii="Times New Roman;sans-serif" w:hAnsi="Times New Roman;sans-serif"/>
          <w:b w:val="false"/>
          <w:color w:val="000000"/>
          <w:sz w:val="22"/>
        </w:rPr>
        <w:t xml:space="preserve">reflects the appropriate interest rate for such currency or has been amended to reflect the appropriate rate for such currency, such currency shall thereupon be deemed for all purposes to be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for purposes of any Letter of Credit issuances. If the Administrative Agent shall fail to obtain consent to any request for an additional currency under this </w:t>
      </w:r>
      <w:r>
        <w:rPr>
          <w:rFonts w:ascii="Times New Roman;sans-serif" w:hAnsi="Times New Roman;sans-serif"/>
          <w:b w:val="false"/>
          <w:color w:val="000000"/>
          <w:sz w:val="22"/>
          <w:u w:val="single"/>
        </w:rPr>
        <w:t>Section 1.9</w:t>
      </w:r>
      <w:r>
        <w:rPr>
          <w:rFonts w:ascii="Times New Roman;sans-serif" w:hAnsi="Times New Roman;sans-serif"/>
          <w:b w:val="false"/>
          <w:color w:val="000000"/>
          <w:sz w:val="22"/>
        </w:rPr>
        <w:t xml:space="preserve">, the Administrative Agent shall promptly so notify the Company. Any specified currency of an Existing Letter of Credit that is neither Dollars nor one of the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Currencies specifically listed in the definition of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shall be deemed an Agreed Currency with respect to such Existing Letter of Credit only.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1.5    </w:t>
      </w:r>
      <w:r>
        <w:rPr>
          <w:rFonts w:ascii="Times New Roman;sans-serif" w:hAnsi="Times New Roman;sans-serif"/>
          <w:b/>
          <w:color w:val="000000"/>
          <w:sz w:val="22"/>
          <w:u w:val="single"/>
        </w:rPr>
        <w:t>Change of Currency</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Each obligation of the Borrowers to make a payment denominated in the national currency unit of any member state of the EU that adopts the euro as its lawful currency after the </w:t>
      </w:r>
      <w:r>
        <w:rPr>
          <w:rFonts w:ascii="Times New Roman;sans-serif" w:hAnsi="Times New Roman;sans-serif"/>
          <w:b w:val="false"/>
          <w:strike/>
          <w:color w:val="FF0000"/>
          <w:sz w:val="22"/>
        </w:rPr>
        <w:t>date hereof</w:t>
      </w:r>
      <w:r>
        <w:rPr>
          <w:rFonts w:ascii="Times New Roman;sans-serif" w:hAnsi="Times New Roman;sans-serif"/>
          <w:b w:val="false"/>
          <w:color w:val="0000FF"/>
          <w:sz w:val="22"/>
          <w:u w:val="single"/>
        </w:rPr>
        <w:t>Third Amendment Effective Date</w:t>
      </w:r>
      <w:r>
        <w:rPr>
          <w:color w:val="000000"/>
        </w:rPr>
        <w:t xml:space="preserve"> </w:t>
      </w:r>
      <w:r>
        <w:rPr>
          <w:rFonts w:ascii="Times New Roman;sans-serif" w:hAnsi="Times New Roman;sans-serif"/>
          <w:b w:val="false"/>
          <w:color w:val="000000"/>
          <w:sz w:val="22"/>
        </w:rPr>
        <w:t xml:space="preserve">shall be redenominated into euro at the time of such adoption. If, in relation to the currency of any such member state, the basis of accrual of interest expressed in this Agreement in respect of that currency shall be inconsistent with any convention or practice in the </w:t>
      </w:r>
      <w:r>
        <w:rPr>
          <w:rFonts w:ascii="Times New Roman;sans-serif" w:hAnsi="Times New Roman;sans-serif"/>
          <w:b w:val="false"/>
          <w:strike/>
          <w:color w:val="FF0000"/>
          <w:sz w:val="22"/>
        </w:rPr>
        <w:t xml:space="preserve">London </w:t>
      </w:r>
      <w:r>
        <w:rPr>
          <w:rFonts w:ascii="Times New Roman;sans-serif" w:hAnsi="Times New Roman;sans-serif"/>
          <w:b w:val="false"/>
          <w:color w:val="000000"/>
          <w:sz w:val="22"/>
        </w:rPr>
        <w:t xml:space="preserve">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Extension of Credit in the currency of such member state is outstanding immediately prior to such date, such replacement shall take effect, with respect to such Extension of Credit, at the end of the then current Interest Period.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Each provision of this Agreement shall be subject to such reasonable changes of construction as the Administrative Agent may from time to time specify to be appropriate to reflect the adoption of the euro by any member state of the EU and any relevant market conventions or practices relating to the euro.</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55"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1.6    </w:t>
      </w:r>
      <w:r>
        <w:rPr>
          <w:rFonts w:ascii="Times New Roman;sans-serif" w:hAnsi="Times New Roman;sans-serif"/>
          <w:b/>
          <w:color w:val="000000"/>
          <w:sz w:val="22"/>
          <w:u w:val="single"/>
        </w:rPr>
        <w:t>Times of Day</w:t>
      </w:r>
      <w:r>
        <w:rPr>
          <w:rFonts w:ascii="Times New Roman;sans-serif" w:hAnsi="Times New Roman;sans-serif"/>
          <w:b w:val="false"/>
          <w:color w:val="000000"/>
          <w:sz w:val="22"/>
        </w:rPr>
        <w:t>. Unless otherwise specified, all references herein to times of day shall be references to Eastern time (daylight or standard, as applicable).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1.7    </w:t>
      </w:r>
      <w:r>
        <w:rPr>
          <w:rFonts w:ascii="Times New Roman;sans-serif" w:hAnsi="Times New Roman;sans-serif"/>
          <w:b/>
          <w:color w:val="000000"/>
          <w:sz w:val="22"/>
          <w:u w:val="single"/>
        </w:rPr>
        <w:t>Pro Forma Calculations</w:t>
      </w:r>
      <w:r>
        <w:rPr>
          <w:rFonts w:ascii="Times New Roman;sans-serif" w:hAnsi="Times New Roman;sans-serif"/>
          <w:b w:val="false"/>
          <w:color w:val="000000"/>
          <w:sz w:val="22"/>
        </w:rPr>
        <w:t xml:space="preserve">. For the purpose of calculating the Net Leverage Ratio and the financial covenant set forth in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 xml:space="preserve">(and each other section of this Agreement in which pro forma compliance with the financial covenant set forth in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is tested) for any period, if during such period the Company or any Restricted Subsidiary shall have made a material acquisition or material disposition (with materiality calculated in accordance with Article 11 of Regulation </w:t>
      </w:r>
      <w:r>
        <w:rPr>
          <w:rFonts w:ascii="Times New Roman;sans-serif" w:hAnsi="Times New Roman;sans-serif"/>
          <w:b w:val="false"/>
          <w:strike/>
          <w:color w:val="FF0000"/>
          <w:sz w:val="22"/>
        </w:rPr>
        <w:t>S-X</w:t>
      </w:r>
      <w:r>
        <w:rPr>
          <w:rFonts w:ascii="Times New Roman;sans-serif" w:hAnsi="Times New Roman;sans-serif"/>
          <w:b w:val="false"/>
          <w:color w:val="0000FF"/>
          <w:sz w:val="22"/>
          <w:u w:val="single"/>
        </w:rPr>
        <w:t>S-X</w:t>
      </w:r>
      <w:r>
        <w:rPr>
          <w:color w:val="000000"/>
        </w:rPr>
        <w:t xml:space="preserve"> </w:t>
      </w:r>
      <w:r>
        <w:rPr>
          <w:rFonts w:ascii="Times New Roman;sans-serif" w:hAnsi="Times New Roman;sans-serif"/>
          <w:b w:val="false"/>
          <w:color w:val="000000"/>
          <w:sz w:val="22"/>
        </w:rPr>
        <w:t xml:space="preserve">under the Securities Act of 1933), each of the Net Leverage Ratio and the financial covenant set forth in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 xml:space="preserve">(and each other section of this Agreement in which pro forma compliance with the financial covenant set forth in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is tested) shall be calculated giving pro forma effect (in accordance with Article 11 of Regulation </w:t>
      </w:r>
      <w:r>
        <w:rPr>
          <w:rFonts w:ascii="Times New Roman;sans-serif" w:hAnsi="Times New Roman;sans-serif"/>
          <w:b w:val="false"/>
          <w:strike/>
          <w:color w:val="FF0000"/>
          <w:sz w:val="22"/>
        </w:rPr>
        <w:t>S-X</w:t>
      </w:r>
      <w:r>
        <w:rPr>
          <w:rFonts w:ascii="Times New Roman;sans-serif" w:hAnsi="Times New Roman;sans-serif"/>
          <w:b w:val="false"/>
          <w:color w:val="0000FF"/>
          <w:sz w:val="22"/>
          <w:u w:val="single"/>
        </w:rPr>
        <w:t>S-X</w:t>
      </w:r>
      <w:r>
        <w:rPr>
          <w:color w:val="000000"/>
        </w:rPr>
        <w:t xml:space="preserve"> </w:t>
      </w:r>
      <w:r>
        <w:rPr>
          <w:rFonts w:ascii="Times New Roman;sans-serif" w:hAnsi="Times New Roman;sans-serif"/>
          <w:b w:val="false"/>
          <w:color w:val="000000"/>
          <w:sz w:val="22"/>
        </w:rPr>
        <w:t xml:space="preserve">under the Securities Act of 1933) thereto as if such material acquisition or disposition occurred on the first day of such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only pro forma adjustments to EBITDA shall be the Pro Forma Adjustments.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II</w:t>
        <w:br/>
        <w:br/>
        <w:t>CREDIT FACILITIES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2.1    </w:t>
      </w:r>
      <w:r>
        <w:rPr>
          <w:rFonts w:ascii="Times New Roman;sans-serif" w:hAnsi="Times New Roman;sans-serif"/>
          <w:b/>
          <w:color w:val="000000"/>
          <w:sz w:val="22"/>
          <w:u w:val="single"/>
        </w:rPr>
        <w:t>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Dollar Tranche Revolving Credit Loans</w:t>
      </w:r>
      <w:r>
        <w:rPr>
          <w:rFonts w:ascii="Times New Roman;sans-serif" w:hAnsi="Times New Roman;sans-serif"/>
          <w:b w:val="false"/>
          <w:color w:val="000000"/>
          <w:sz w:val="22"/>
        </w:rPr>
        <w:t xml:space="preserve">. Subject to the terms and conditions of this Agreement and in reliance upon the representations and warranties set forth herein, each Dollar Tranche Revolving Credit Lender severally agrees to make Dollar Tranche Revolving Credit Loans to the Borrowers in Dollars from time to time during the Availability Period as requested by the applicable Borrower in accordance with the terms of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 the aggregate principal amount of all outstanding Dollar Tranche Revolving Credit Loans (after giving effect to any amount requested) shall not exceed the Dollar Tranche Revolving Credit Commitment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the sum of all outstanding Swingline Loans and L/C Obligations, (b) the principal amount of outstanding Dollar Tranche Revolving Credit Loans from any Dollar Tranche Revolving Credit Lender to the Borrowers shall not at any time exceed such Dollar Tranche Revolving Credit Lender’s Dollar Tranche Revolving Credit Commitment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such Dollar Tranche Revolving Credit Lender’s Dollar Tranche Revolving Credit Commitment Percentage of outstanding L/C Obligations and outstanding Swingline Loans, (c) the aggregate principal amount of all outstanding Revolving Credit Loans (after giving effect to any amount requested) shall not exceed the Revolving Credit Commitment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the sum of all outstanding Swingline Loans and L/C Obligations, and (d) the principal amount of outstanding Revolving Credit Loans from any Revolving Credit Lender to the Borrowers shall not at any time exceed such Revolving Credit Lender’s Revolving Credit Commitment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such Revolving Credit Lender’s Revolving Credit Commitment Percentage of outstanding L/C Obligations and outstanding Swingline Loans. Each Dollar Tranche Revolving Credit Loan by a Dollar Tranche Revolving Credit Lender shall be in a principal amount equal to such Dollar Tranche Revolving Credit Lender’s Dollar Tranche Revolving Credit Commitment Percentage of the aggregate principal amount of Dollar Tranche Revolving Credit Loans requested on such occasion. Subject to the terms and conditions hereof, the Borrowers may borrow, repay and reborrow Dollar Tranche Revolving Credit Loans hereunder until the Maturity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Designated Currency Tranche Revolving Credit Loans</w:t>
      </w:r>
      <w:r>
        <w:rPr>
          <w:rFonts w:ascii="Times New Roman;sans-serif" w:hAnsi="Times New Roman;sans-serif"/>
          <w:b w:val="false"/>
          <w:color w:val="000000"/>
          <w:sz w:val="22"/>
        </w:rPr>
        <w:t xml:space="preserve">. Subject to the terms and conditions of this Agreement and in reliance upon the representations and warranties set forth herein, each Designated Currency Tranche Revolving Credit Lender severally agrees to make Designated Currency Tranche Revolving Credit Loans to the Borrowers in Agreed Currencies from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56"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time to time during the Availability Period as requested by the applicable Borrower in accordance with the terms of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 the aggregate principal amount of all outstanding Designated Currency Tranche Revolving Credit Loans (after giving effect to any amount requested) shall not exceed the Designated Currency Tranche Revolving Credit Commitment, (b) the principal amount of outstanding Designated Currency Tranche Revolving Credit Loans from any Designated Currency Tranche Revolving Credit Lender to the Borrowers shall not at any time exceed such Designated Currency Tranche Revolving Credit Lender’s Designated Currency Tranche Revolving Credit Commitment, (c) the aggregate principal amount of all outstanding Revolving Credit Loans (after giving effect to any amount requested) shall not exceed the Revolving Credit Commitment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the sum of all outstanding Swingline Loans and L/C Obligations, and (d) the principal amount of outstanding Revolving Credit Loans from any Revolving Credit Lender to the Borrowers shall not at any time exceed such Revolving Credit Lender’s Revolving Credit Commitment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such Revolving Credit Lender’s Revolving Credit Commitment Percentage of outstanding L/C Obligations and outstanding Swingline Loans. Each Designated Currency Tranche Revolving Credit Loan by a Designated Currency Tranche Revolving Credit Lender shall be in a principal amount equal to such Designated Currency Tranche Revolving Credit Lender’s Designated Currency Tranche Revolving Credit Commitment Percentage of the aggregate principal amount of Designated Currency Tranche Revolving Credit Loans requested on such occasion. Subject to the terms and conditions hereof, the Borrowers may borrow, repay and reborrow Designated Currency Tranche Revolving Credit Loans hereunder until the Maturity Date. The Administrative Agent will determine the Dollar Amount of each borrowing of Designated Currency Tranche Revolving Credit Loans as of the date two (2) Business Days prior to the date of such borrowing or, if applicable, the date of continuation or conversion of any such borrowing, and all Designated Currency Tranche Revolving Credit Loans on and as of the last Business Day of each calendar quarter and, during the continuation of an Event of Default, on any other Business Day elected by the Administrative Agent in its discretion or upon the instruction of the Required Lenders or a majority (based on Commitments, and if Commitments have been terminated, by outstandings) of the Designated Currency Tranche Revolving Credit Lenders (excluding Defaulting Lenders). Each day upon or as of which the Administrative Agent determines Dollar Amounts as described in this paragraph is herein described as a “</w:t>
      </w:r>
      <w:r>
        <w:rPr>
          <w:rFonts w:ascii="Times New Roman;sans-serif" w:hAnsi="Times New Roman;sans-serif"/>
          <w:b w:val="false"/>
          <w:color w:val="000000"/>
          <w:sz w:val="22"/>
          <w:u w:val="single"/>
        </w:rPr>
        <w:t>Computation Date</w:t>
      </w:r>
      <w:r>
        <w:rPr>
          <w:color w:val="000000"/>
        </w:rPr>
        <w:t xml:space="preserve">” </w:t>
      </w:r>
      <w:r>
        <w:rPr>
          <w:rFonts w:ascii="Times New Roman;sans-serif" w:hAnsi="Times New Roman;sans-serif"/>
          <w:b w:val="false"/>
          <w:color w:val="000000"/>
          <w:sz w:val="22"/>
        </w:rPr>
        <w:t>with respect to each Designated Currency Tranche Revolving Credit Loan (including payments of interest and fees thereon and in connection therewith) for which a Dollar Amount is determined on or as of such day.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Term Loan</w:t>
      </w:r>
      <w:r>
        <w:rPr>
          <w:rFonts w:ascii="Times New Roman;sans-serif" w:hAnsi="Times New Roman;sans-serif"/>
          <w:b w:val="false"/>
          <w:color w:val="000000"/>
          <w:sz w:val="22"/>
        </w:rPr>
        <w:t xml:space="preserve">. Subject to the terms and conditions of this Agreement (including, without limitation, </w:t>
      </w:r>
      <w:r>
        <w:rPr>
          <w:rFonts w:ascii="Times New Roman;sans-serif" w:hAnsi="Times New Roman;sans-serif"/>
          <w:b w:val="false"/>
          <w:color w:val="000000"/>
          <w:sz w:val="22"/>
          <w:u w:val="single"/>
        </w:rPr>
        <w:t>Section 5.1</w:t>
      </w:r>
      <w:r>
        <w:rPr>
          <w:color w:val="000000"/>
        </w:rPr>
        <w:t xml:space="preserve"> </w:t>
      </w:r>
      <w:r>
        <w:rPr>
          <w:rFonts w:ascii="Times New Roman;sans-serif" w:hAnsi="Times New Roman;sans-serif"/>
          <w:b w:val="false"/>
          <w:color w:val="000000"/>
          <w:sz w:val="22"/>
        </w:rPr>
        <w:t xml:space="preserve">hereof) and in reliance upon the representations and warranties set forth herein, each Term Loan Lender severally agrees to make a Term Loan to the Company in Dollars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as requested by the Company in accordance with the terms of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 the aggregate principal amount of the outstanding Term Loan shall not exceed the Term Loan Commitment and (b) the principal amount of the outstanding Term Loan from any Term Loan Lender to the Company shall not at any time exceed such Term Loan Lender’s Term Loan Commitment. The Term Loan made by a Term Loan Lender shall be in a principal amount equal to such Term Loan Lender’s Term Loan Commitment Percentage of the aggregate principal amount of the Term Loan. The Term Loan may not be repaid and subsequently reborrowed. The aggregate Term Loan Commitment shall be permanently reduced by the principal amount of any Term Loan extended hereunder.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2.2    </w:t>
      </w:r>
      <w:r>
        <w:rPr>
          <w:rFonts w:ascii="Times New Roman;sans-serif" w:hAnsi="Times New Roman;sans-serif"/>
          <w:b/>
          <w:color w:val="000000"/>
          <w:sz w:val="22"/>
          <w:u w:val="single"/>
        </w:rPr>
        <w:t>Borrowings, Conversions and Continuations of Loans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Notice of Borrowing</w:t>
      </w:r>
      <w:r>
        <w:rPr>
          <w:rFonts w:ascii="Times New Roman;sans-serif" w:hAnsi="Times New Roman;sans-serif"/>
          <w:b w:val="false"/>
          <w:color w:val="000000"/>
          <w:sz w:val="22"/>
        </w:rPr>
        <w:t xml:space="preserve">. Each Extension of Credit, each conversion of Loans from one Type to the other, and each continuation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 xml:space="preserve">Term SOFR Loans or Designated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57"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FF"/>
          <w:sz w:val="22"/>
          <w:u w:val="single"/>
        </w:rPr>
        <w:t>Currency Term</w:t>
      </w:r>
      <w:r>
        <w:rPr>
          <w:color w:val="000000"/>
        </w:rPr>
        <w:t xml:space="preserve"> </w:t>
      </w:r>
      <w:r>
        <w:rPr>
          <w:rFonts w:ascii="Times New Roman;sans-serif" w:hAnsi="Times New Roman;sans-serif"/>
          <w:b w:val="false"/>
          <w:color w:val="000000"/>
          <w:sz w:val="22"/>
        </w:rPr>
        <w:t xml:space="preserve">Rate Loans shall be made upon the applicable Borrower’s irrevocable notice to the Administrative Agent, which may be given by: (A) telephone or (B) a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telephonic notice must be confirmed immediately by delivery to the Administrative Agent of a Loan Notice. Each such Loan Notice must be received by the Administrative Agent not later than </w:t>
      </w:r>
      <w:r>
        <w:rPr>
          <w:rFonts w:ascii="Times New Roman;sans-serif" w:hAnsi="Times New Roman;sans-serif"/>
          <w:b w:val="false"/>
          <w:strike/>
          <w:color w:val="FF0000"/>
          <w:sz w:val="22"/>
        </w:rPr>
        <w:t>11:00 a.m. (i) three (3)</w:t>
      </w:r>
      <w:r>
        <w:rPr>
          <w:rFonts w:ascii="Times New Roman;sans-serif" w:hAnsi="Times New Roman;sans-serif"/>
          <w:b w:val="false"/>
          <w:color w:val="0000FF"/>
          <w:sz w:val="22"/>
          <w:u w:val="single"/>
        </w:rPr>
        <w:t>(i) in the case of Term SOFR Loans, 11:00 a.m. two</w:t>
      </w:r>
      <w:r>
        <w:rPr>
          <w:color w:val="000000"/>
        </w:rPr>
        <w:t xml:space="preserve"> </w:t>
      </w:r>
      <w:r>
        <w:rPr>
          <w:rFonts w:ascii="Times New Roman;sans-serif" w:hAnsi="Times New Roman;sans-serif"/>
          <w:b w:val="false"/>
          <w:color w:val="000000"/>
          <w:sz w:val="22"/>
        </w:rPr>
        <w:t xml:space="preserve">Business Days prior to the requested date of any </w:t>
      </w:r>
      <w:r>
        <w:rPr>
          <w:rFonts w:ascii="Times New Roman;sans-serif" w:hAnsi="Times New Roman;sans-serif"/>
          <w:b w:val="false"/>
          <w:strike/>
          <w:color w:val="FF0000"/>
          <w:sz w:val="22"/>
        </w:rPr>
        <w:t>Extension of Credit</w:t>
      </w:r>
      <w:r>
        <w:rPr>
          <w:rFonts w:ascii="Times New Roman;sans-serif" w:hAnsi="Times New Roman;sans-serif"/>
          <w:b w:val="false"/>
          <w:color w:val="0000FF"/>
          <w:sz w:val="22"/>
          <w:u w:val="single"/>
        </w:rPr>
        <w:t>borrowing</w:t>
      </w:r>
      <w:r>
        <w:rPr>
          <w:color w:val="000000"/>
        </w:rPr>
        <w:t xml:space="preserve"> </w:t>
      </w:r>
      <w:r>
        <w:rPr>
          <w:rFonts w:ascii="Times New Roman;sans-serif" w:hAnsi="Times New Roman;sans-serif"/>
          <w:b w:val="false"/>
          <w:color w:val="000000"/>
          <w:sz w:val="22"/>
        </w:rPr>
        <w:t xml:space="preserve">of, conversion to or continuation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 Loans or of any conversion of Term SOFR Loans to Base Rate Loans or Daily SOFR Loans, (ii) in the case of Daily SOFR Loans, 11:00 a.m. on the first Business Day immediately prior to the requested date of any borrowing of or conversion to Daily SOFR</w:t>
      </w:r>
      <w:r>
        <w:rPr>
          <w:color w:val="000000"/>
        </w:rPr>
        <w:t xml:space="preserve"> </w:t>
      </w:r>
      <w:r>
        <w:rPr>
          <w:rFonts w:ascii="Times New Roman;sans-serif" w:hAnsi="Times New Roman;sans-serif"/>
          <w:b w:val="false"/>
          <w:color w:val="000000"/>
          <w:sz w:val="22"/>
        </w:rPr>
        <w:t xml:space="preserve">Loans denominated in Dollars or of any conversion of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Daily SOFR</w:t>
      </w:r>
      <w:r>
        <w:rPr>
          <w:color w:val="000000"/>
        </w:rPr>
        <w:t xml:space="preserve"> </w:t>
      </w:r>
      <w:r>
        <w:rPr>
          <w:rFonts w:ascii="Times New Roman;sans-serif" w:hAnsi="Times New Roman;sans-serif"/>
          <w:b w:val="false"/>
          <w:color w:val="000000"/>
          <w:sz w:val="22"/>
        </w:rPr>
        <w:t>Loans denominated in Dollars to Base Rate Loans, (</w:t>
      </w:r>
      <w:r>
        <w:rPr>
          <w:rFonts w:ascii="Times New Roman;sans-serif" w:hAnsi="Times New Roman;sans-serif"/>
          <w:b w:val="false"/>
          <w:strike/>
          <w:color w:val="FF0000"/>
          <w:sz w:val="22"/>
        </w:rPr>
        <w:t>ii) four</w:t>
      </w:r>
      <w:r>
        <w:rPr>
          <w:rFonts w:ascii="Times New Roman;sans-serif" w:hAnsi="Times New Roman;sans-serif"/>
          <w:b w:val="false"/>
          <w:color w:val="0000FF"/>
          <w:sz w:val="22"/>
          <w:u w:val="single"/>
        </w:rPr>
        <w:t>iii) in the case of Designated Currency Rate Loans, 11:00 a.m. three</w:t>
      </w:r>
      <w:r>
        <w:rPr>
          <w:color w:val="000000"/>
        </w:rPr>
        <w:t> </w:t>
      </w:r>
      <w:r>
        <w:rPr>
          <w:rFonts w:ascii="Times New Roman;sans-serif" w:hAnsi="Times New Roman;sans-serif"/>
          <w:b w:val="false"/>
          <w:color w:val="000000"/>
          <w:sz w:val="22"/>
        </w:rPr>
        <w:t>(</w:t>
      </w:r>
      <w:r>
        <w:rPr>
          <w:rFonts w:ascii="Times New Roman;sans-serif" w:hAnsi="Times New Roman;sans-serif"/>
          <w:b w:val="false"/>
          <w:strike/>
          <w:color w:val="FF0000"/>
          <w:sz w:val="22"/>
        </w:rPr>
        <w:t>4</w:t>
      </w:r>
      <w:r>
        <w:rPr>
          <w:rFonts w:ascii="Times New Roman;sans-serif" w:hAnsi="Times New Roman;sans-serif"/>
          <w:b w:val="false"/>
          <w:color w:val="0000FF"/>
          <w:sz w:val="22"/>
          <w:u w:val="single"/>
        </w:rPr>
        <w:t>3</w:t>
      </w:r>
      <w:r>
        <w:rPr>
          <w:rFonts w:ascii="Times New Roman;sans-serif" w:hAnsi="Times New Roman;sans-serif"/>
          <w:b w:val="false"/>
          <w:color w:val="000000"/>
          <w:sz w:val="22"/>
        </w:rPr>
        <w:t xml:space="preserve">) Business Days (or five (5) Business Days in the case of a Special Notice Currency) prior to the requested date of any </w:t>
      </w:r>
      <w:r>
        <w:rPr>
          <w:rFonts w:ascii="Times New Roman;sans-serif" w:hAnsi="Times New Roman;sans-serif"/>
          <w:b w:val="false"/>
          <w:strike/>
          <w:color w:val="FF0000"/>
          <w:sz w:val="22"/>
        </w:rPr>
        <w:t xml:space="preserve">Extension of Credit or continuation of Eurocurrency </w:t>
      </w:r>
      <w:r>
        <w:rPr>
          <w:rFonts w:ascii="Times New Roman;sans-serif" w:hAnsi="Times New Roman;sans-serif"/>
          <w:b w:val="false"/>
          <w:color w:val="0000FF"/>
          <w:sz w:val="22"/>
          <w:u w:val="single"/>
        </w:rPr>
        <w:t xml:space="preserve">borrowing </w:t>
      </w:r>
      <w:r>
        <w:rPr>
          <w:rFonts w:ascii="Times New Roman;sans-serif" w:hAnsi="Times New Roman;sans-serif"/>
          <w:b w:val="false"/>
          <w:color w:val="008000"/>
          <w:sz w:val="22"/>
          <w:u w:val="single"/>
        </w:rPr>
        <w:t xml:space="preserve">or, in the case of </w:t>
      </w:r>
      <w:r>
        <w:rPr>
          <w:rFonts w:ascii="Times New Roman;sans-serif" w:hAnsi="Times New Roman;sans-serif"/>
          <w:b w:val="false"/>
          <w:color w:val="0000FF"/>
          <w:sz w:val="22"/>
          <w:u w:val="single"/>
        </w:rPr>
        <w:t xml:space="preserve">Designated Currency Term </w:t>
      </w:r>
      <w:r>
        <w:rPr>
          <w:rFonts w:ascii="Times New Roman;sans-serif" w:hAnsi="Times New Roman;sans-serif"/>
          <w:b w:val="false"/>
          <w:color w:val="000000"/>
          <w:sz w:val="22"/>
        </w:rPr>
        <w:t>Rate Loans</w:t>
      </w:r>
      <w:r>
        <w:rPr>
          <w:strike/>
          <w:color w:val="FF0000"/>
        </w:rPr>
        <w:t xml:space="preserve"> </w:t>
      </w:r>
      <w:r>
        <w:rPr>
          <w:rFonts w:ascii="Times New Roman;sans-serif" w:hAnsi="Times New Roman;sans-serif"/>
          <w:b w:val="false"/>
          <w:strike/>
          <w:color w:val="FF0000"/>
          <w:sz w:val="22"/>
        </w:rPr>
        <w:t>denominated in Foreign Currencies</w:t>
      </w:r>
      <w:r>
        <w:rPr>
          <w:rFonts w:ascii="Times New Roman;sans-serif" w:hAnsi="Times New Roman;sans-serif"/>
          <w:b w:val="false"/>
          <w:color w:val="0000FF"/>
          <w:sz w:val="22"/>
          <w:u w:val="single"/>
        </w:rPr>
        <w:t>, any continuation</w:t>
      </w:r>
      <w:r>
        <w:rPr>
          <w:rFonts w:ascii="Times New Roman;sans-serif" w:hAnsi="Times New Roman;sans-serif"/>
          <w:b w:val="false"/>
          <w:color w:val="000000"/>
          <w:sz w:val="22"/>
        </w:rPr>
        <w:t>, and (</w:t>
      </w:r>
      <w:r>
        <w:rPr>
          <w:rFonts w:ascii="Times New Roman;sans-serif" w:hAnsi="Times New Roman;sans-serif"/>
          <w:b w:val="false"/>
          <w:strike/>
          <w:color w:val="FF0000"/>
          <w:sz w:val="22"/>
        </w:rPr>
        <w:t>iii</w:t>
      </w:r>
      <w:r>
        <w:rPr>
          <w:rFonts w:ascii="Times New Roman;sans-serif" w:hAnsi="Times New Roman;sans-serif"/>
          <w:b w:val="false"/>
          <w:color w:val="0000FF"/>
          <w:sz w:val="22"/>
          <w:u w:val="single"/>
        </w:rPr>
        <w:t>iv</w:t>
      </w:r>
      <w:r>
        <w:rPr>
          <w:rFonts w:ascii="Times New Roman;sans-serif" w:hAnsi="Times New Roman;sans-serif"/>
          <w:b w:val="false"/>
          <w:color w:val="000000"/>
          <w:sz w:val="22"/>
        </w:rPr>
        <w:t xml:space="preserve">) on the requested date of any Extension of Credit of Base Rate Loans. Each Extension of Credit of, </w:t>
      </w:r>
      <w:r>
        <w:rPr>
          <w:rFonts w:ascii="Times New Roman;sans-serif" w:hAnsi="Times New Roman;sans-serif"/>
          <w:b w:val="false"/>
          <w:color w:val="0000FF"/>
          <w:sz w:val="22"/>
          <w:u w:val="single"/>
        </w:rPr>
        <w:t xml:space="preserve">or conversion to Daily SOFR Loans and each Extension of Credit of, </w:t>
      </w:r>
      <w:r>
        <w:rPr>
          <w:rFonts w:ascii="Times New Roman;sans-serif" w:hAnsi="Times New Roman;sans-serif"/>
          <w:b w:val="false"/>
          <w:color w:val="000000"/>
          <w:sz w:val="22"/>
        </w:rPr>
        <w:t xml:space="preserve">conversion to or continuation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Loans or Designated Currency</w:t>
      </w:r>
      <w:r>
        <w:rPr>
          <w:color w:val="000000"/>
        </w:rPr>
        <w:t xml:space="preserve"> </w:t>
      </w:r>
      <w:r>
        <w:rPr>
          <w:rFonts w:ascii="Times New Roman;sans-serif" w:hAnsi="Times New Roman;sans-serif"/>
          <w:b w:val="false"/>
          <w:color w:val="000000"/>
          <w:sz w:val="22"/>
        </w:rPr>
        <w:t>Rate Loans shall be in a principal amount of the Dollar Amount of $2,500,000 or a whole multiple of the Dollar Amount of</w:t>
      </w:r>
      <w:r>
        <w:rPr>
          <w:color w:val="000000"/>
        </w:rPr>
        <w:t xml:space="preserve"> </w:t>
      </w:r>
      <w:r>
        <w:rPr>
          <w:rFonts w:ascii="Times New Roman;sans-serif" w:hAnsi="Times New Roman;sans-serif"/>
          <w:b w:val="false"/>
          <w:color w:val="000000"/>
          <w:sz w:val="22"/>
        </w:rPr>
        <w:t xml:space="preserve">$100,000 in excess thereof (or, in connection with any conversion or continuation of a Term Loan, if less, the entire principal thereof then outstanding). Except as provided in </w:t>
      </w:r>
      <w:r>
        <w:rPr>
          <w:rFonts w:ascii="Times New Roman;sans-serif" w:hAnsi="Times New Roman;sans-serif"/>
          <w:b w:val="false"/>
          <w:color w:val="000000"/>
          <w:sz w:val="22"/>
          <w:u w:val="single"/>
        </w:rPr>
        <w:t>Sections 2.3(c)</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2.4(c)</w:t>
      </w:r>
      <w:r>
        <w:rPr>
          <w:rFonts w:ascii="Times New Roman;sans-serif" w:hAnsi="Times New Roman;sans-serif"/>
          <w:b w:val="false"/>
          <w:color w:val="000000"/>
          <w:sz w:val="22"/>
        </w:rPr>
        <w:t>, each Extension of Credit of or conversion to Base Rate Loans shall be in a principal amount of $1,000,000</w:t>
      </w:r>
      <w:r>
        <w:rPr>
          <w:color w:val="000000"/>
        </w:rPr>
        <w:t xml:space="preserve"> </w:t>
      </w:r>
      <w:r>
        <w:rPr>
          <w:rFonts w:ascii="Times New Roman;sans-serif" w:hAnsi="Times New Roman;sans-serif"/>
          <w:b w:val="false"/>
          <w:color w:val="000000"/>
          <w:sz w:val="22"/>
        </w:rPr>
        <w:t xml:space="preserve">or a whole multiple of $100,000 in excess thereof (or, in connection with any conversion or continuation of a Term Loan, if less, the entire principal thereof then outstanding). Each Loan Notice and each telephonic notice shall specify (A) the applicable Facility and whether the applicable Borrower is requesting an Extension of Credit, a conversion of Loans from one Type to the other, or a continuation of Loans, as the case may be, under such Facility, (B) the requested date of the Extension of Credit, conversion or continuation, as the case may be (which shall be a Business Day), (C) the principal amount of Loans to be borrowed, converted or continued, (D) the Type of Loans to be borrowed or to which existing Loans are to be converted, (E) if applicable, the duration of the Interest Period with respect thereto, (F) the currency of the Loans to be borrowed, and (G) if applicable, the Subsidiary Borrower. If the applicable Borrower fails to specify a currency in a Loan Notice requesting an Extension of Credit, then the Loans so requested shall be made in Dollars. If the applicable Borrower fails to specify a Type of Loan in a Loan Notice or if the applicable Borrower fails to give a timely notice requesting a conversion or continuation, then the applicable Loans shall be made as, or converted to, Base Rate Loans;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the case of a failure to timely request a continuation of </w:t>
      </w:r>
      <w:r>
        <w:rPr>
          <w:rFonts w:ascii="Times New Roman;sans-serif" w:hAnsi="Times New Roman;sans-serif"/>
          <w:b w:val="false"/>
          <w:color w:val="0000FF"/>
          <w:sz w:val="22"/>
          <w:u w:val="single"/>
        </w:rPr>
        <w:t xml:space="preserve">Designated Currency Term Rate </w:t>
      </w:r>
      <w:r>
        <w:rPr>
          <w:rFonts w:ascii="Times New Roman;sans-serif" w:hAnsi="Times New Roman;sans-serif"/>
          <w:b w:val="false"/>
          <w:color w:val="000000"/>
          <w:sz w:val="22"/>
        </w:rPr>
        <w:t>Loans</w:t>
      </w:r>
      <w:r>
        <w:rPr>
          <w:strike/>
          <w:color w:val="FF0000"/>
        </w:rPr>
        <w:t xml:space="preserve"> </w:t>
      </w:r>
      <w:r>
        <w:rPr>
          <w:rFonts w:ascii="Times New Roman;sans-serif" w:hAnsi="Times New Roman;sans-serif"/>
          <w:b w:val="false"/>
          <w:strike/>
          <w:color w:val="FF0000"/>
          <w:sz w:val="22"/>
        </w:rPr>
        <w:t>denominated in a Foreign Currency</w:t>
      </w:r>
      <w:r>
        <w:rPr>
          <w:rFonts w:ascii="Times New Roman;sans-serif" w:hAnsi="Times New Roman;sans-serif"/>
          <w:b w:val="false"/>
          <w:color w:val="000000"/>
          <w:sz w:val="22"/>
        </w:rPr>
        <w:t xml:space="preserve">, such Loans shall be continued as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 xml:space="preserve">Rate Loans in their original currency with an Interest Period of one (1) month. Any such automatic conversion to Base Rate Loans shall be effective as of the last day of the Interest Period then in effect with respect to the applicable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w:t>
      </w:r>
      <w:r>
        <w:rPr>
          <w:color w:val="000000"/>
        </w:rPr>
        <w:t xml:space="preserve"> </w:t>
      </w:r>
      <w:r>
        <w:rPr>
          <w:rFonts w:ascii="Times New Roman;sans-serif" w:hAnsi="Times New Roman;sans-serif"/>
          <w:b w:val="false"/>
          <w:color w:val="000000"/>
          <w:sz w:val="22"/>
        </w:rPr>
        <w:t xml:space="preserve">Loans. If the applicable Borrower requests an Extension of Credit of, conversion to, or continuation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 xml:space="preserve">Rate Loans in any such Loan Notice, but fails to specify an Interest Period, it will be deemed to have specified an Interest Period of one (1) month. Notwithstanding anything to the contrary herein, a Swingline Loan may not be converted to a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 Loan, Daily SOFR Loan or a Designated Currency</w:t>
      </w:r>
      <w:r>
        <w:rPr>
          <w:color w:val="000000"/>
        </w:rPr>
        <w:t xml:space="preserve"> </w:t>
      </w:r>
      <w:r>
        <w:rPr>
          <w:rFonts w:ascii="Times New Roman;sans-serif" w:hAnsi="Times New Roman;sans-serif"/>
          <w:b w:val="false"/>
          <w:color w:val="000000"/>
          <w:sz w:val="22"/>
        </w:rPr>
        <w:t xml:space="preserve">Loan. Except as provided pursuant to </w:t>
      </w:r>
      <w:r>
        <w:rPr>
          <w:rFonts w:ascii="Times New Roman;sans-serif" w:hAnsi="Times New Roman;sans-serif"/>
          <w:b w:val="false"/>
          <w:color w:val="000000"/>
          <w:sz w:val="22"/>
          <w:u w:val="single"/>
        </w:rPr>
        <w:t>Section 2.2(c)</w:t>
      </w:r>
      <w:r>
        <w:rPr>
          <w:rFonts w:ascii="Times New Roman;sans-serif" w:hAnsi="Times New Roman;sans-serif"/>
          <w:b w:val="false"/>
          <w:color w:val="000000"/>
          <w:sz w:val="22"/>
        </w:rPr>
        <w:t>, no Loan may be converted into or continued as a Loan denominated in a different currency, but instead must be repaid in the original currency of such Loan and reborrowed in the other currency.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Advances</w:t>
      </w:r>
      <w:r>
        <w:rPr>
          <w:rFonts w:ascii="Times New Roman;sans-serif" w:hAnsi="Times New Roman;sans-serif"/>
          <w:b w:val="false"/>
          <w:color w:val="000000"/>
          <w:sz w:val="22"/>
        </w:rPr>
        <w:t xml:space="preserve">. Following receipt of a Loan Notice for a Facility, the Administrative Agent shall promptly notify each Appropriate Lender of the amount and currency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58"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Commitment Percentage under such Facility of the applicable Loans, and if no timely notice of a conversion or continuation is provided by the applicable Borrower, the Administrative Agent shall notify each Appropriate Lender of the details of any automatic conversion to Base Rate Loans or continuation of </w:t>
      </w:r>
      <w:r>
        <w:rPr>
          <w:rFonts w:ascii="Times New Roman;sans-serif" w:hAnsi="Times New Roman;sans-serif"/>
          <w:b w:val="false"/>
          <w:strike/>
          <w:color w:val="FF0000"/>
          <w:sz w:val="22"/>
        </w:rPr>
        <w:t>Loans denominated in a currency other than Dollars</w:t>
      </w:r>
      <w:r>
        <w:rPr>
          <w:rFonts w:ascii="Times New Roman;sans-serif" w:hAnsi="Times New Roman;sans-serif"/>
          <w:b w:val="false"/>
          <w:color w:val="0000FF"/>
          <w:sz w:val="22"/>
          <w:u w:val="single"/>
        </w:rPr>
        <w:t>Designated Currency Term Rate Loans</w:t>
      </w:r>
      <w:r>
        <w:rPr>
          <w:rFonts w:ascii="Times New Roman;sans-serif" w:hAnsi="Times New Roman;sans-serif"/>
          <w:b w:val="false"/>
          <w:color w:val="000000"/>
          <w:sz w:val="22"/>
        </w:rPr>
        <w:t>, in each case as</w:t>
      </w:r>
      <w:r>
        <w:rPr>
          <w:color w:val="000000"/>
        </w:rPr>
        <w:t xml:space="preserve"> </w:t>
      </w:r>
      <w:r>
        <w:rPr>
          <w:rFonts w:ascii="Times New Roman;sans-serif" w:hAnsi="Times New Roman;sans-serif"/>
          <w:b w:val="false"/>
          <w:color w:val="000000"/>
          <w:sz w:val="22"/>
        </w:rPr>
        <w:t xml:space="preserve">described in </w:t>
      </w:r>
      <w:r>
        <w:rPr>
          <w:rFonts w:ascii="Times New Roman;sans-serif" w:hAnsi="Times New Roman;sans-serif"/>
          <w:b w:val="false"/>
          <w:color w:val="000000"/>
          <w:sz w:val="22"/>
          <w:u w:val="single"/>
        </w:rPr>
        <w:t>Section 2.2(a)</w:t>
      </w:r>
      <w:r>
        <w:rPr>
          <w:rFonts w:ascii="Times New Roman;sans-serif" w:hAnsi="Times New Roman;sans-serif"/>
          <w:b w:val="false"/>
          <w:color w:val="000000"/>
          <w:sz w:val="22"/>
        </w:rPr>
        <w:t xml:space="preserve">. In the case of an Extension of Credit, each Appropriate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w:t>
      </w:r>
      <w:r>
        <w:rPr>
          <w:rFonts w:ascii="Times New Roman;sans-serif" w:hAnsi="Times New Roman;sans-serif"/>
          <w:b w:val="false"/>
          <w:color w:val="0000FF"/>
          <w:sz w:val="22"/>
          <w:u w:val="single"/>
        </w:rPr>
        <w:t xml:space="preserve">denominated </w:t>
      </w:r>
      <w:r>
        <w:rPr>
          <w:rFonts w:ascii="Times New Roman;sans-serif" w:hAnsi="Times New Roman;sans-serif"/>
          <w:b w:val="false"/>
          <w:color w:val="000000"/>
          <w:sz w:val="22"/>
        </w:rPr>
        <w:t xml:space="preserve">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in each case on the Business Day specified in the applicable Loan Notice. Upon satisfaction of the applicable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(and, if such Extension of Credit is the initial Extension of Credit,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xml:space="preserve">), the Administrative Agent shall make all funds so received available to the applicable Borrower in like funds as received by the Administrative Agent either by (i) crediting the account of the applicable Borrower on the books of Bank of America with the amount of such funds or (ii) wire transfer of such funds, in each case in accordance with instructions provided to (and reasonably acceptable to) the Administrative Agent by the applicable Borrower;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on the date a Loan Notice with respect to a borrowing of Revolving Credit Loans denominated in Dollars</w:t>
      </w:r>
      <w:r>
        <w:rPr>
          <w:color w:val="000000"/>
        </w:rPr>
        <w:t xml:space="preserve"> </w:t>
      </w:r>
      <w:r>
        <w:rPr>
          <w:rFonts w:ascii="Times New Roman;sans-serif" w:hAnsi="Times New Roman;sans-serif"/>
          <w:b w:val="false"/>
          <w:color w:val="000000"/>
          <w:sz w:val="22"/>
        </w:rPr>
        <w:t xml:space="preserve">is given by a Borrower, there are L/C Borrowings outstanding, then the proceeds of such borrowing of Revolving Credit Loans,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shall be applied to the payment in full of any such L/C Borrowings, and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shall be made available to the applicable Borrower as provided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strike/>
          <w:color w:val="FF0000"/>
          <w:sz w:val="22"/>
          <w:u w:val="single"/>
        </w:rPr>
        <w:t>Eurocurrency</w:t>
      </w:r>
      <w:r>
        <w:rPr>
          <w:rFonts w:ascii="Times New Roman;sans-serif" w:hAnsi="Times New Roman;sans-serif"/>
          <w:b w:val="false"/>
          <w:color w:val="0000FF"/>
          <w:sz w:val="22"/>
          <w:u w:val="single"/>
        </w:rPr>
        <w:t>Term SOFR Loans, Daily SOFR Loans and Designated Currency Term</w:t>
      </w:r>
      <w:r>
        <w:rPr>
          <w:color w:val="000000"/>
          <w:u w:val="single"/>
        </w:rPr>
        <w:t xml:space="preserve"> </w:t>
      </w:r>
      <w:r>
        <w:rPr>
          <w:rFonts w:ascii="Times New Roman;sans-serif" w:hAnsi="Times New Roman;sans-serif"/>
          <w:b w:val="false"/>
          <w:color w:val="000000"/>
          <w:sz w:val="22"/>
          <w:u w:val="single"/>
        </w:rPr>
        <w:t>Rate Loans</w:t>
      </w:r>
      <w:r>
        <w:rPr>
          <w:rFonts w:ascii="Times New Roman;sans-serif" w:hAnsi="Times New Roman;sans-serif"/>
          <w:b w:val="false"/>
          <w:color w:val="000000"/>
          <w:sz w:val="22"/>
        </w:rPr>
        <w:t xml:space="preserve">. Except as otherwise provided herein,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Loans and a Designated Currency Term</w:t>
      </w:r>
      <w:r>
        <w:rPr>
          <w:color w:val="000000"/>
        </w:rPr>
        <w:t xml:space="preserve"> </w:t>
      </w:r>
      <w:r>
        <w:rPr>
          <w:rFonts w:ascii="Times New Roman;sans-serif" w:hAnsi="Times New Roman;sans-serif"/>
          <w:b w:val="false"/>
          <w:color w:val="000000"/>
          <w:sz w:val="22"/>
        </w:rPr>
        <w:t xml:space="preserve">Rate Loan may be continued or converted only on the last day of an Interest Period for such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 or Designated Currency Term</w:t>
      </w:r>
      <w:r>
        <w:rPr>
          <w:color w:val="000000"/>
        </w:rPr>
        <w:t xml:space="preserve"> </w:t>
      </w:r>
      <w:r>
        <w:rPr>
          <w:rFonts w:ascii="Times New Roman;sans-serif" w:hAnsi="Times New Roman;sans-serif"/>
          <w:b w:val="false"/>
          <w:color w:val="000000"/>
          <w:sz w:val="22"/>
        </w:rPr>
        <w:t>Rate Loan</w:t>
      </w:r>
      <w:r>
        <w:rPr>
          <w:rFonts w:ascii="Times New Roman;sans-serif" w:hAnsi="Times New Roman;sans-serif"/>
          <w:b w:val="false"/>
          <w:color w:val="0000FF"/>
          <w:sz w:val="22"/>
          <w:u w:val="single"/>
        </w:rPr>
        <w:t>, as applicable</w:t>
      </w:r>
      <w:r>
        <w:rPr>
          <w:rFonts w:ascii="Times New Roman;sans-serif" w:hAnsi="Times New Roman;sans-serif"/>
          <w:b w:val="false"/>
          <w:color w:val="000000"/>
          <w:sz w:val="22"/>
        </w:rPr>
        <w:t xml:space="preserve">. During the existence of an Event of Default, at the written request of the Required Lenders, no Loans may be requested as, </w:t>
      </w:r>
      <w:r>
        <w:rPr>
          <w:rFonts w:ascii="Times New Roman;sans-serif" w:hAnsi="Times New Roman;sans-serif"/>
          <w:b w:val="false"/>
          <w:color w:val="0000FF"/>
          <w:sz w:val="22"/>
          <w:u w:val="single"/>
        </w:rPr>
        <w:t xml:space="preserve">or converted to, Daily SOFR Loans or Designated Currency Daily Rate Loans or requested as, or </w:t>
      </w:r>
      <w:r>
        <w:rPr>
          <w:rFonts w:ascii="Times New Roman;sans-serif" w:hAnsi="Times New Roman;sans-serif"/>
          <w:b w:val="false"/>
          <w:color w:val="000000"/>
          <w:sz w:val="22"/>
        </w:rPr>
        <w:t>converted to or continued as</w:t>
      </w:r>
      <w:r>
        <w:rPr>
          <w:strike/>
          <w:color w:val="FF0000"/>
        </w:rPr>
        <w:t xml:space="preserve">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 Term SOFR Loans or Designated Currency Term</w:t>
      </w:r>
      <w:r>
        <w:rPr>
          <w:color w:val="000000"/>
        </w:rPr>
        <w:t xml:space="preserve"> </w:t>
      </w:r>
      <w:r>
        <w:rPr>
          <w:rFonts w:ascii="Times New Roman;sans-serif" w:hAnsi="Times New Roman;sans-serif"/>
          <w:b w:val="false"/>
          <w:color w:val="000000"/>
          <w:sz w:val="22"/>
        </w:rPr>
        <w:t>Rate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Interest Rates</w:t>
      </w:r>
      <w:r>
        <w:rPr>
          <w:rFonts w:ascii="Times New Roman;sans-serif" w:hAnsi="Times New Roman;sans-serif"/>
          <w:b w:val="false"/>
          <w:color w:val="000000"/>
          <w:sz w:val="22"/>
        </w:rPr>
        <w:t>. Each determination of an interest rate by the Administrative Agent pursuant to any provision of this Agreement shall be conclusive and binding on the Borrowers and the Lenders in the absence of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Interest Periods</w:t>
      </w:r>
      <w:r>
        <w:rPr>
          <w:rFonts w:ascii="Times New Roman;sans-serif" w:hAnsi="Times New Roman;sans-serif"/>
          <w:b w:val="false"/>
          <w:color w:val="000000"/>
          <w:sz w:val="22"/>
        </w:rPr>
        <w:t>. After giving effect to all borrowings, all conversions of Loans from one Type to the other, and all continuations of Loans as the same Type, there shall not be more than 12 Interest Periods in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Cashless Settlement Mechanism</w:t>
      </w:r>
      <w:r>
        <w:rPr>
          <w:rFonts w:ascii="Times New Roman;sans-serif" w:hAnsi="Times New Roman;sans-serif"/>
          <w:b w:val="false"/>
          <w:color w:val="000000"/>
          <w:sz w:val="22"/>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Company, the Administrative Agent and such Lender.</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(g)    </w:t>
      </w:r>
      <w:r>
        <w:rPr>
          <w:rFonts w:ascii="Times New Roman;sans-serif" w:hAnsi="Times New Roman;sans-serif"/>
          <w:b w:val="false"/>
          <w:color w:val="0000FF"/>
          <w:sz w:val="22"/>
          <w:u w:val="single"/>
        </w:rPr>
        <w:t xml:space="preserve">Conforming Changes. With respect to any Designated Currency Daily Rate, Designated Currency Term Rate, Term SOFR, Daily SOFR or SOFR, the Administrative Agent will have the right to make Conforming Changes from time to time and, notwithstanding anything to the contrary herein or in any other Loan Document, any amendments implementing such Conforming Changes will become effective without any </w:t>
      </w:r>
      <w:r>
        <w:rPr>
          <w:rFonts w:ascii="Times New Roman;sans-serif" w:hAnsi="Times New Roman;sans-serif"/>
          <w:b w:val="false"/>
          <w:color w:val="008000"/>
          <w:sz w:val="22"/>
          <w:u w:val="single"/>
        </w:rPr>
        <w:t>further action or consent of any other party to this Agreement or any other Loan Document</w:t>
      </w:r>
      <w:r>
        <w:rPr>
          <w:rFonts w:ascii="Times New Roman;sans-serif" w:hAnsi="Times New Roman;sans-serif"/>
          <w:b w:val="false"/>
          <w:color w:val="0000FF"/>
          <w:sz w:val="22"/>
          <w:u w:val="single"/>
        </w:rPr>
        <w:t xml:space="preserve">; provided that, with respect to any such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59"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effected, the Administrative Agent shall post each such amendment implementing such Conforming Changes to the Borrower and the Lenders reasonably promptly after such amendment becomes effective.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2.3    </w:t>
      </w:r>
      <w:r>
        <w:rPr>
          <w:rFonts w:ascii="Times New Roman;sans-serif" w:hAnsi="Times New Roman;sans-serif"/>
          <w:b/>
          <w:color w:val="000000"/>
          <w:sz w:val="22"/>
          <w:u w:val="single"/>
        </w:rPr>
        <w:t>Letters of Credit</w:t>
      </w:r>
      <w:r>
        <w:rPr>
          <w:rFonts w:ascii="Times New Roman;sans-serif" w:hAnsi="Times New Roman;sans-serif"/>
          <w:b w:val="false"/>
          <w:color w:val="000000"/>
          <w:sz w:val="22"/>
        </w:rPr>
        <w:t>.</w:t>
      </w:r>
      <w:r>
        <w:rPr>
          <w:strike/>
          <w:color w:val="FF0000"/>
          <w:u w:val="single"/>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The Letter of Credit Commitment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Subject to the terms and conditions set forth herein, (A) each Issuing Lender agrees, in reliance upon the agreements of the Dollar Tranche Revolving Credit Lenders set forth in this Section, (1) from time to time on any Business Day during the period from the Closing Date until the Letter of Credit Expiration Date, to issue Letters of Credit for the account of the Company or any of its Restricted Subsidiaries organized under the laws of the United States or any state thereof or any country in which a Borrower is organized or, in each Issuing Lender’s sole and absolute discretion, any of the Company’s other Foreign Subsidiaries that are Restricted Subsidiaries, and to amend or extend Letters of Credit previously issued by it, in accordance with </w:t>
      </w:r>
      <w:r>
        <w:rPr>
          <w:rFonts w:ascii="Times New Roman;sans-serif" w:hAnsi="Times New Roman;sans-serif"/>
          <w:b w:val="false"/>
          <w:color w:val="000000"/>
          <w:sz w:val="22"/>
          <w:u w:val="single"/>
        </w:rPr>
        <w:t>Section 2.3(b)</w:t>
      </w:r>
      <w:r>
        <w:rPr>
          <w:rFonts w:ascii="Times New Roman;sans-serif" w:hAnsi="Times New Roman;sans-serif"/>
          <w:b w:val="false"/>
          <w:color w:val="000000"/>
          <w:sz w:val="22"/>
        </w:rPr>
        <w:t xml:space="preserve">, and (2) to honor drawings under the Letters of Credit; and (B) the Dollar Tranche Revolving Credit Lenders severally agree to participate in Letters of Credit issued under such Tranche for the account of the Company or its Restricted Subsidiaries and any drawings thereunder;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no Issuing Lender shall be obligated to issue a Letter of Credit if, after giving effect to any Letter of Credit, (w) the L/C Obligations would exceed the L/C Commitment, (x) the aggregate principal amount of outstanding Revolving Credit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principal amount of outstanding Swingline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amount of L/C Obligations would exceed the Revolving Credit Commitment and (y) the aggregate principal amount of outstanding Dollar Tranche Revolving Credit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principal amount of outstanding Swingline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aggregate amount of L/C Obligations would exceed the Dollar Tranche Revolving Credit Commitment. Each request by a Borrower for the issuance or amendment of a Letter of Credit shall be deemed to be a representation by such Borrower that the Letter of Credit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deemed L/C Obligations, and from and after the Closing Date shall be subject to and governed by the terms and conditions 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No Issuing Lender shall issue any Letter of Credit if: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subject to </w:t>
      </w:r>
      <w:r>
        <w:rPr>
          <w:rFonts w:ascii="Times New Roman;sans-serif" w:hAnsi="Times New Roman;sans-serif"/>
          <w:b w:val="false"/>
          <w:color w:val="000000"/>
          <w:sz w:val="22"/>
          <w:u w:val="single"/>
        </w:rPr>
        <w:t>Section 2.3(b)(iv)</w:t>
      </w:r>
      <w:r>
        <w:rPr>
          <w:rFonts w:ascii="Times New Roman;sans-serif" w:hAnsi="Times New Roman;sans-serif"/>
          <w:b w:val="false"/>
          <w:color w:val="000000"/>
          <w:sz w:val="22"/>
        </w:rPr>
        <w:t>, the expiry date of the requested Letter of Credit would occur more than twelve (12) months after the date of issuance or last extension, unless the Required Revolving Credit Lenders have approved such expiry date;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expiry date of the requested Letter of Credit would occur after the Letter of Credit Expiration Date, unless all the Revolving Credit Lenders have approved such expiry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No Issuing Lender shall be under any obligation to issue any Letter of Credit if:</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60"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any order, judgment or decree of any Governmental Authority or arbitrator shall by its terms purport to enjoin or restrain such Issuing Lender from issuing the Letter of Credit, or any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the Letter of Credit in particular or shall impose upon such Issuing Lender with respect to the Letter of Credit any restriction, reserve or capital requirement (for which such Issuing Lender is not otherwise compensated hereunder) not in effect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or shall impose upon such Issuing Lender any unreimbursed loss, cost or expense which was not applicable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Date and which such Issuing Lender in good faith deems material to it;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issuance of the Letter of Credit would violate one or more policies of such Issuing Lender applicable to letters of credit generally;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except as otherwise agreed by the Administrative Agent and such Issuing Lender, the Letter of Credit is in an initial stated amount less than $25,000;</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except as otherwise agreed by the Administrative Agent and the applicable Issuing Lender, the Letter of Credit is to be denominated in a currency other than Dollars or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    any Revolving Credit Lender is at that time a Defaulting Lender, unless the applicable Issuing Lender has entered into arrangements, including the delivery of Cash Collateral, reasonably satisfactory to such Issuing Lender with the Company or such Revolving Credit Lender to eliminate the Issuing Lender’s actual or potential Fronting Exposure (after giving effect to </w:t>
      </w:r>
      <w:r>
        <w:rPr>
          <w:rFonts w:ascii="Times New Roman;sans-serif" w:hAnsi="Times New Roman;sans-serif"/>
          <w:b w:val="false"/>
          <w:color w:val="000000"/>
          <w:sz w:val="22"/>
          <w:u w:val="single"/>
        </w:rPr>
        <w:t>Section 4.14(a)(iv)</w:t>
      </w:r>
      <w:r>
        <w:rPr>
          <w:rFonts w:ascii="Times New Roman;sans-serif" w:hAnsi="Times New Roman;sans-serif"/>
          <w:b w:val="false"/>
          <w:color w:val="000000"/>
          <w:sz w:val="22"/>
        </w:rPr>
        <w:t>) with respect to the Defaulting Lender arising from either the Letter of Credit then proposed to be issued or that Letter of Credit and all other L/C Obligations as to which such Issuing Lender has actual or potential Fronting Exposure, as it may elect in its sole discretion;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the applicable Issuing Lender does not as of the issuance date of the requested Letter of Credit issue Letters of Credit in the requested currency.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No Issuing Lender shall amend any Letter of Credit if such Issuing Lender would not be permitted at such time to issue the Letter of Credit in its amended form under the terms 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No Issuing Lender shall be under any obligation to amend any Letter of Credit if (A) such Issuing Lender would have no obligation at such time to issue such Letter of Credit in its amended form under the terms hereof, or (B) the beneficiary of such Letter of Credit does not accept the proposed amendment to the Letter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    Each Issuing Lender shall act on behalf of the Dollar Tranche Revolving Credit Lenders with respect to any Letters of Credit issued by it and the documents associated therewith, and each Issuing Lender shall have all of the benefits and immunities (A) provided to the Administrative Agent in </w:t>
      </w:r>
      <w:r>
        <w:rPr>
          <w:rFonts w:ascii="Times New Roman;sans-serif" w:hAnsi="Times New Roman;sans-serif"/>
          <w:b w:val="false"/>
          <w:color w:val="000000"/>
          <w:sz w:val="22"/>
          <w:u w:val="single"/>
        </w:rPr>
        <w:t>Article XII</w:t>
      </w:r>
      <w:r>
        <w:rPr>
          <w:color w:val="000000"/>
        </w:rPr>
        <w:t xml:space="preserve"> </w:t>
      </w:r>
      <w:r>
        <w:rPr>
          <w:rFonts w:ascii="Times New Roman;sans-serif" w:hAnsi="Times New Roman;sans-serif"/>
          <w:b w:val="false"/>
          <w:color w:val="000000"/>
          <w:sz w:val="22"/>
        </w:rPr>
        <w:t xml:space="preserve">with respect to any acts taken or omissions suffered by such Issuing Lender in connection with Letters of Credit issued by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61"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it or proposed to be issued by it and Issuer Documents pertaining to such Letters of Credit as fully as if the term “Administrative Agent” as used in </w:t>
      </w:r>
      <w:r>
        <w:rPr>
          <w:rFonts w:ascii="Times New Roman;sans-serif" w:hAnsi="Times New Roman;sans-serif"/>
          <w:b w:val="false"/>
          <w:color w:val="000000"/>
          <w:sz w:val="22"/>
          <w:u w:val="single"/>
        </w:rPr>
        <w:t>Article XII</w:t>
      </w:r>
      <w:r>
        <w:rPr>
          <w:color w:val="000000"/>
        </w:rPr>
        <w:t xml:space="preserve"> </w:t>
      </w:r>
      <w:r>
        <w:rPr>
          <w:rFonts w:ascii="Times New Roman;sans-serif" w:hAnsi="Times New Roman;sans-serif"/>
          <w:b w:val="false"/>
          <w:color w:val="000000"/>
          <w:sz w:val="22"/>
        </w:rPr>
        <w:t>included such Issuing Lender with respect to such acts or omissions, and (B) as additionally provided herein with respect to such Issuing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 xml:space="preserve">Procedures for Issuance and Amendment of Letters of Credit; </w:t>
      </w:r>
      <w:r>
        <w:rPr>
          <w:rFonts w:ascii="Times New Roman;sans-serif" w:hAnsi="Times New Roman;sans-serif"/>
          <w:b w:val="false"/>
          <w:strike/>
          <w:color w:val="FF0000"/>
          <w:sz w:val="22"/>
          <w:u w:val="single"/>
        </w:rPr>
        <w:t>Auto-Extension</w:t>
      </w:r>
      <w:r>
        <w:rPr>
          <w:rFonts w:ascii="Times New Roman;sans-serif" w:hAnsi="Times New Roman;sans-serif"/>
          <w:b w:val="false"/>
          <w:color w:val="0000FF"/>
          <w:sz w:val="22"/>
          <w:u w:val="single"/>
        </w:rPr>
        <w:t>Auto-Extension</w:t>
      </w:r>
      <w:r>
        <w:rPr>
          <w:color w:val="000000"/>
          <w:u w:val="single"/>
        </w:rPr>
        <w:t xml:space="preserve"> </w:t>
      </w:r>
      <w:r>
        <w:rPr>
          <w:rFonts w:ascii="Times New Roman;sans-serif" w:hAnsi="Times New Roman;sans-serif"/>
          <w:b w:val="false"/>
          <w:color w:val="000000"/>
          <w:sz w:val="22"/>
          <w:u w:val="single"/>
        </w:rPr>
        <w:t>Letters of Credit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Each Letter of Credit shall be issued or amended, as the case may be, upon the request of the applicable Borrower delivered to the applicable Issuing Lender (with a copy to the Administrative Agent) in the form of a Letter of Credit Application, appropriately completed and signed by a Responsible Officer of such Borrower and/or such Restricted Subsidiary, as required by such Issuing Lender. Such Letter of Credit Application may be sent by fax transmission, by United States mail, by overnight courier, by electronic transmission using the system provided by the applicable Issuing Lender, by personal delivery or by any other means acceptable to such Issuing Lender. Such Letter of Credit Application must be received by the applicable Issuing Lender and the Administrative Agent not later than </w:t>
      </w:r>
      <w:r>
        <w:rPr>
          <w:rFonts w:ascii="Times New Roman;sans-serif" w:hAnsi="Times New Roman;sans-serif"/>
          <w:b w:val="false"/>
          <w:strike/>
          <w:color w:val="FF0000"/>
          <w:sz w:val="22"/>
        </w:rPr>
        <w:t>11:00 a.m</w:t>
      </w:r>
      <w:r>
        <w:rPr>
          <w:rFonts w:ascii="Times New Roman;sans-serif" w:hAnsi="Times New Roman;sans-serif"/>
          <w:b w:val="false"/>
          <w:color w:val="0000FF"/>
          <w:sz w:val="22"/>
          <w:u w:val="single"/>
        </w:rPr>
        <w:t>11:00 a.m</w:t>
      </w:r>
      <w:r>
        <w:rPr>
          <w:rFonts w:ascii="Times New Roman;sans-serif" w:hAnsi="Times New Roman;sans-serif"/>
          <w:b w:val="false"/>
          <w:color w:val="000000"/>
          <w:sz w:val="22"/>
        </w:rPr>
        <w:t>. at least three (3)</w:t>
      </w:r>
      <w:r>
        <w:rPr>
          <w:color w:val="000000"/>
        </w:rPr>
        <w:t xml:space="preserve"> </w:t>
      </w:r>
      <w:r>
        <w:rPr>
          <w:rFonts w:ascii="Times New Roman;sans-serif" w:hAnsi="Times New Roman;sans-serif"/>
          <w:b w:val="false"/>
          <w:color w:val="000000"/>
          <w:sz w:val="22"/>
        </w:rPr>
        <w:t>Business Days (or such earlier date and time as the Administrative Agent and such Issuing Lender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Lender: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applicable Issuing Lender may reasonably require. In the case of a request for an amendment of any outstanding Letter of Credit, such Letter of Credit Application shall specify in form and detail reasonably satisfactory to the applicable Issuing Lender (1) the Letter of Credit to be amended; (2) the proposed date of amendment thereof (which shall be a Business Day); (3) the nature of the proposed amendment; and (4) such other matters as such Issuing Lender may reasonably require. Additionally, the applicable Borrower shall furnish to the applicable Issuing Lender and the Administrative Agent such other documents and information pertaining to such requested Letter of Credit issuance or amendment, including any Issuer Documents, as such Issuing Lender or the Administrative Agent may reasonably require.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Promptly after receipt of any Letter of Credit Application, the applicable Issuing Lender will confirm with the Administrative Agent (by telephone or in writing) that the Administrative Agent has received a copy of such Letter of Credit Application from the applicable Borrower and, if not, such Issuing Lender will provide the Administrative Agent with a copy thereof. Unless the applicable Issuing Lender has received written notice from any Revolving Credit Lender, the Administrative Agent or any Credit Party, at least one (1) Business Day prior to the requested date of issuance or amendment of the applicable Letter of Credit, that one or more applicable conditions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shall not then be satisfied, then, subject to the terms and conditions hereof, such Issuing Lender shall, on the requested date, issue a Letter of Credit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62"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account of the applicable Borrower (or the applicable Restricted Subsidiary) or enter into the applicable amendment, as the case may be, in each case in accordance with such Issuing Lender’s usual and customary business practices. Immediately upon the issuance of each Letter of Credit, each Revolving Credit Lender shall be deemed to, and hereby irrevocably and unconditionally agrees to, purchase from the applicable Issuing Lender a risk participation in such Letter of Credit in an amount equal to the product of such Revolving Credit Lender’s Applicable Percentage times the amount of such Letter of Credit.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Promptly after its delivery of any Letter of Credit or any amendment to a Letter of Credit to an advising bank with respect thereto or to the beneficiary thereof, the applicable Issuing Lender will also deliver to the applicable Borrower and the Administrative Agent a true and complete copy of such Letter of Credit or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(iv)    If the applicable Borrower so requests in any applicable Letter of Credit Application, the applicable Issuing Lender may, in its sole discretion, agree to issue a standby Letter of Credit that has automatic extension provisions (each, an “</w:t>
      </w:r>
      <w:r>
        <w:rPr>
          <w:rFonts w:ascii="Times New Roman;sans-serif" w:hAnsi="Times New Roman;sans-serif"/>
          <w:b w:val="false"/>
          <w:strike/>
          <w:color w:val="FF0000"/>
          <w:sz w:val="22"/>
          <w:u w:val="single"/>
        </w:rPr>
        <w:t>Auto-Extension</w:t>
      </w:r>
      <w:r>
        <w:rPr>
          <w:rFonts w:ascii="Times New Roman;sans-serif" w:hAnsi="Times New Roman;sans-serif"/>
          <w:b w:val="false"/>
          <w:color w:val="0000FF"/>
          <w:sz w:val="22"/>
          <w:u w:val="single"/>
        </w:rPr>
        <w:t>Auto-Extension</w:t>
      </w:r>
      <w:r>
        <w:rPr>
          <w:color w:val="000000"/>
          <w:u w:val="single"/>
        </w:rPr>
        <w:t xml:space="preserve"> </w:t>
      </w:r>
      <w:r>
        <w:rPr>
          <w:rFonts w:ascii="Times New Roman;sans-serif" w:hAnsi="Times New Roman;sans-serif"/>
          <w:b w:val="false"/>
          <w:color w:val="000000"/>
          <w:sz w:val="22"/>
          <w:u w:val="single"/>
        </w:rPr>
        <w:t>Letter of Credit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w:t>
      </w:r>
      <w:r>
        <w:rPr>
          <w:rFonts w:ascii="Times New Roman;sans-serif" w:hAnsi="Times New Roman;sans-serif"/>
          <w:b w:val="false"/>
          <w:strike/>
          <w:color w:val="FF0000"/>
          <w:sz w:val="22"/>
        </w:rPr>
        <w:t>Auto-Extension</w:t>
      </w:r>
      <w:r>
        <w:rPr>
          <w:rFonts w:ascii="Times New Roman;sans-serif" w:hAnsi="Times New Roman;sans-serif"/>
          <w:b w:val="false"/>
          <w:color w:val="0000FF"/>
          <w:sz w:val="22"/>
          <w:u w:val="single"/>
        </w:rPr>
        <w:t>Auto-Extension</w:t>
      </w:r>
      <w:r>
        <w:rPr>
          <w:color w:val="000000"/>
        </w:rPr>
        <w:t xml:space="preserve"> </w:t>
      </w:r>
      <w:r>
        <w:rPr>
          <w:rFonts w:ascii="Times New Roman;sans-serif" w:hAnsi="Times New Roman;sans-serif"/>
          <w:b w:val="false"/>
          <w:color w:val="000000"/>
          <w:sz w:val="22"/>
        </w:rPr>
        <w:t>Letter of Credit must permit the applicable Issuing Lender to prevent any such extension at least once in each twelve (12) month period (commencing with the date of issuance of such Letter of Credit) by giving prior notice to the beneficiary thereof not later than a day (the “</w:t>
      </w:r>
      <w:r>
        <w:rPr>
          <w:rFonts w:ascii="Times New Roman;sans-serif" w:hAnsi="Times New Roman;sans-serif"/>
          <w:b w:val="false"/>
          <w:strike/>
          <w:color w:val="FF0000"/>
          <w:sz w:val="22"/>
          <w:u w:val="single"/>
        </w:rPr>
        <w:t>Non-Extension</w:t>
      </w:r>
      <w:r>
        <w:rPr>
          <w:rFonts w:ascii="Times New Roman;sans-serif" w:hAnsi="Times New Roman;sans-serif"/>
          <w:b w:val="false"/>
          <w:color w:val="0000FF"/>
          <w:sz w:val="22"/>
          <w:u w:val="single"/>
        </w:rPr>
        <w:t>Non-Extension</w:t>
      </w:r>
      <w:r>
        <w:rPr>
          <w:color w:val="000000"/>
          <w:u w:val="single"/>
        </w:rPr>
        <w:t xml:space="preserve"> </w:t>
      </w:r>
      <w:r>
        <w:rPr>
          <w:rFonts w:ascii="Times New Roman;sans-serif" w:hAnsi="Times New Roman;sans-serif"/>
          <w:b w:val="false"/>
          <w:color w:val="000000"/>
          <w:sz w:val="22"/>
          <w:u w:val="single"/>
        </w:rPr>
        <w:t>Notice Date</w:t>
      </w:r>
      <w:r>
        <w:rPr>
          <w:color w:val="000000"/>
        </w:rPr>
        <w:t>”</w:t>
      </w:r>
      <w:r>
        <w:rPr>
          <w:rFonts w:ascii="Times New Roman;sans-serif" w:hAnsi="Times New Roman;sans-serif"/>
          <w:b w:val="false"/>
          <w:color w:val="000000"/>
          <w:sz w:val="22"/>
        </w:rPr>
        <w:t xml:space="preserve">) in each such twelve (12) month period to be agreed upon at the time such Letter of Credit is issued. Unless otherwise directed by the applicable Issuing Lender, the applicable Borrower shall not be required to make a specific request to such Issuing Lender for any such extension. Once an </w:t>
      </w:r>
      <w:r>
        <w:rPr>
          <w:rFonts w:ascii="Times New Roman;sans-serif" w:hAnsi="Times New Roman;sans-serif"/>
          <w:b w:val="false"/>
          <w:strike/>
          <w:color w:val="FF0000"/>
          <w:sz w:val="22"/>
        </w:rPr>
        <w:t>Auto-Extension</w:t>
      </w:r>
      <w:r>
        <w:rPr>
          <w:rFonts w:ascii="Times New Roman;sans-serif" w:hAnsi="Times New Roman;sans-serif"/>
          <w:b w:val="false"/>
          <w:color w:val="0000FF"/>
          <w:sz w:val="22"/>
          <w:u w:val="single"/>
        </w:rPr>
        <w:t>Auto-Extension</w:t>
      </w:r>
      <w:r>
        <w:rPr>
          <w:color w:val="000000"/>
        </w:rPr>
        <w:t xml:space="preserve"> </w:t>
      </w:r>
      <w:r>
        <w:rPr>
          <w:rFonts w:ascii="Times New Roman;sans-serif" w:hAnsi="Times New Roman;sans-serif"/>
          <w:b w:val="false"/>
          <w:color w:val="000000"/>
          <w:sz w:val="22"/>
        </w:rPr>
        <w:t xml:space="preserve">Letter of Credit has been issued, the Dollar Tranche Revolving Credit Lenders shall be deemed to have authorized (but may not require) the applicable Issuing Lender to permit the L/C Credit Extension at any time to an expiry date not later than the Letter of Credit Expiration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such Issuing Lender shall not permit any such extension if (A) such Issuing Lender has determined that it would not be permitted, or would have no obligation at such time to issue such Letter of Credit in its revised form (as extended) under the terms hereof (by reason of the provisions of clause (ii) or (iii) of </w:t>
      </w:r>
      <w:r>
        <w:rPr>
          <w:rFonts w:ascii="Times New Roman;sans-serif" w:hAnsi="Times New Roman;sans-serif"/>
          <w:b w:val="false"/>
          <w:color w:val="000000"/>
          <w:sz w:val="22"/>
          <w:u w:val="single"/>
        </w:rPr>
        <w:t>Section 2.3(a)</w:t>
      </w:r>
      <w:r>
        <w:rPr>
          <w:color w:val="000000"/>
        </w:rPr>
        <w:t xml:space="preserve"> </w:t>
      </w:r>
      <w:r>
        <w:rPr>
          <w:rFonts w:ascii="Times New Roman;sans-serif" w:hAnsi="Times New Roman;sans-serif"/>
          <w:b w:val="false"/>
          <w:color w:val="000000"/>
          <w:sz w:val="22"/>
        </w:rPr>
        <w:t xml:space="preserve">or otherwise), or (B) it has received notice (which may be by telephone or in writing) on or before the day that is seven (7) Business Days before the </w:t>
      </w:r>
      <w:r>
        <w:rPr>
          <w:rFonts w:ascii="Times New Roman;sans-serif" w:hAnsi="Times New Roman;sans-serif"/>
          <w:b w:val="false"/>
          <w:strike/>
          <w:color w:val="FF0000"/>
          <w:sz w:val="22"/>
        </w:rPr>
        <w:t>Non-Extension</w:t>
      </w:r>
      <w:r>
        <w:rPr>
          <w:rFonts w:ascii="Times New Roman;sans-serif" w:hAnsi="Times New Roman;sans-serif"/>
          <w:b w:val="false"/>
          <w:color w:val="0000FF"/>
          <w:sz w:val="22"/>
          <w:u w:val="single"/>
        </w:rPr>
        <w:t>Non-Extension</w:t>
      </w:r>
      <w:r>
        <w:rPr>
          <w:color w:val="000000"/>
        </w:rPr>
        <w:t xml:space="preserve"> </w:t>
      </w:r>
      <w:r>
        <w:rPr>
          <w:rFonts w:ascii="Times New Roman;sans-serif" w:hAnsi="Times New Roman;sans-serif"/>
          <w:b w:val="false"/>
          <w:color w:val="000000"/>
          <w:sz w:val="22"/>
        </w:rPr>
        <w:t xml:space="preserve">Notice Date (1) from the Administrative Agent that the Required Revolving Credit Lenders have elected not to permit such extension or (2) from the Administrative Agent, any Revolving Credit Lender or any Borrower that one or more of the applicable conditions specified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is not then satisfied, and in each such case directing such Issuing Lender not to permit such extension.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(v)    If the applicable Borrower so requests in any applicable Letter of Credit Application, the applicable Issuing Lender may, in its sole discretion, agree to issue a Letter of Credit that permits the automatic reinstatement of all or a portion of the stated amount thereof after any drawing thereunder (each, an “</w:t>
      </w:r>
      <w:r>
        <w:rPr>
          <w:rFonts w:ascii="Times New Roman;sans-serif" w:hAnsi="Times New Roman;sans-serif"/>
          <w:b w:val="false"/>
          <w:strike/>
          <w:color w:val="FF0000"/>
          <w:sz w:val="22"/>
          <w:u w:val="single"/>
        </w:rPr>
        <w:t>Auto-Reinstatement</w:t>
      </w:r>
      <w:r>
        <w:rPr>
          <w:rFonts w:ascii="Times New Roman;sans-serif" w:hAnsi="Times New Roman;sans-serif"/>
          <w:b w:val="false"/>
          <w:color w:val="0000FF"/>
          <w:sz w:val="22"/>
          <w:u w:val="single"/>
        </w:rPr>
        <w:t>Auto-Reinstatement</w:t>
      </w:r>
      <w:r>
        <w:rPr>
          <w:color w:val="000000"/>
          <w:u w:val="single"/>
        </w:rPr>
        <w:t xml:space="preserve"> </w:t>
      </w:r>
      <w:r>
        <w:rPr>
          <w:rFonts w:ascii="Times New Roman;sans-serif" w:hAnsi="Times New Roman;sans-serif"/>
          <w:b w:val="false"/>
          <w:color w:val="000000"/>
          <w:sz w:val="22"/>
          <w:u w:val="single"/>
        </w:rPr>
        <w:t>Letter of Credit</w:t>
      </w:r>
      <w:r>
        <w:rPr>
          <w:color w:val="000000"/>
        </w:rPr>
        <w:t>”</w:t>
      </w:r>
      <w:r>
        <w:rPr>
          <w:rFonts w:ascii="Times New Roman;sans-serif" w:hAnsi="Times New Roman;sans-serif"/>
          <w:b w:val="false"/>
          <w:color w:val="000000"/>
          <w:sz w:val="22"/>
        </w:rPr>
        <w:t xml:space="preserve">). Unless otherwise directed by the applicable Issuing Lender, the applicable Borrower shall not be required to make a specific request to such Issuing Lender to permit such reinstatement. Once an </w:t>
      </w:r>
      <w:r>
        <w:rPr>
          <w:rFonts w:ascii="Times New Roman;sans-serif" w:hAnsi="Times New Roman;sans-serif"/>
          <w:b w:val="false"/>
          <w:strike/>
          <w:color w:val="FF0000"/>
          <w:sz w:val="22"/>
        </w:rPr>
        <w:t>Auto-Reinstatement</w:t>
      </w:r>
      <w:r>
        <w:rPr>
          <w:rFonts w:ascii="Times New Roman;sans-serif" w:hAnsi="Times New Roman;sans-serif"/>
          <w:b w:val="false"/>
          <w:color w:val="0000FF"/>
          <w:sz w:val="22"/>
          <w:u w:val="single"/>
        </w:rPr>
        <w:t>Auto-Reinstatement</w:t>
      </w:r>
      <w:r>
        <w:rPr>
          <w:color w:val="000000"/>
        </w:rPr>
        <w:t xml:space="preserve"> </w:t>
      </w:r>
      <w:r>
        <w:rPr>
          <w:rFonts w:ascii="Times New Roman;sans-serif" w:hAnsi="Times New Roman;sans-serif"/>
          <w:b w:val="false"/>
          <w:color w:val="000000"/>
          <w:sz w:val="22"/>
        </w:rPr>
        <w:t xml:space="preserve">Letter of Credit has been issued, except as provided in the following sentence, the Dollar Tranche Revolving Credit Lenders shall be deemed to have authorized (but may not require) such Issuing Lender to reinstate all or a portion of the stated amount thereof in accordance with the provisions of such Letter of Credit. Notwithstanding the foregoing, if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63"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such </w:t>
      </w:r>
      <w:r>
        <w:rPr>
          <w:rFonts w:ascii="Times New Roman;sans-serif" w:hAnsi="Times New Roman;sans-serif"/>
          <w:b w:val="false"/>
          <w:strike/>
          <w:color w:val="FF0000"/>
          <w:sz w:val="22"/>
        </w:rPr>
        <w:t>Auto-Reinstatement</w:t>
      </w:r>
      <w:r>
        <w:rPr>
          <w:rFonts w:ascii="Times New Roman;sans-serif" w:hAnsi="Times New Roman;sans-serif"/>
          <w:b w:val="false"/>
          <w:color w:val="0000FF"/>
          <w:sz w:val="22"/>
          <w:u w:val="single"/>
        </w:rPr>
        <w:t>Auto-Reinstatement</w:t>
      </w:r>
      <w:r>
        <w:rPr>
          <w:color w:val="000000"/>
        </w:rPr>
        <w:t xml:space="preserve"> </w:t>
      </w:r>
      <w:r>
        <w:rPr>
          <w:rFonts w:ascii="Times New Roman;sans-serif" w:hAnsi="Times New Roman;sans-serif"/>
          <w:b w:val="false"/>
          <w:color w:val="000000"/>
          <w:sz w:val="22"/>
        </w:rPr>
        <w:t xml:space="preserve">Letter of Credit permits the applicable Issuing Lender to decline to reinstate all or any portion of the stated amount thereof after a drawing thereunder by giving notice of such </w:t>
      </w:r>
      <w:r>
        <w:rPr>
          <w:rFonts w:ascii="Times New Roman;sans-serif" w:hAnsi="Times New Roman;sans-serif"/>
          <w:b w:val="false"/>
          <w:strike/>
          <w:color w:val="FF0000"/>
          <w:sz w:val="22"/>
        </w:rPr>
        <w:t>non-reinstatement</w:t>
      </w:r>
      <w:r>
        <w:rPr>
          <w:rFonts w:ascii="Times New Roman;sans-serif" w:hAnsi="Times New Roman;sans-serif"/>
          <w:b w:val="false"/>
          <w:color w:val="0000FF"/>
          <w:sz w:val="22"/>
          <w:u w:val="single"/>
        </w:rPr>
        <w:t>non-reinstatement</w:t>
      </w:r>
      <w:r>
        <w:rPr>
          <w:color w:val="000000"/>
        </w:rPr>
        <w:t xml:space="preserve"> </w:t>
      </w:r>
      <w:r>
        <w:rPr>
          <w:rFonts w:ascii="Times New Roman;sans-serif" w:hAnsi="Times New Roman;sans-serif"/>
          <w:b w:val="false"/>
          <w:color w:val="000000"/>
          <w:sz w:val="22"/>
        </w:rPr>
        <w:t>within a specified number of days after such drawing (the “</w:t>
      </w:r>
      <w:r>
        <w:rPr>
          <w:rFonts w:ascii="Times New Roman;sans-serif" w:hAnsi="Times New Roman;sans-serif"/>
          <w:b w:val="false"/>
          <w:strike/>
          <w:color w:val="FF0000"/>
          <w:sz w:val="22"/>
          <w:u w:val="single"/>
        </w:rPr>
        <w:t>Non-Reinstatement</w:t>
      </w:r>
      <w:r>
        <w:rPr>
          <w:rFonts w:ascii="Times New Roman;sans-serif" w:hAnsi="Times New Roman;sans-serif"/>
          <w:b w:val="false"/>
          <w:color w:val="0000FF"/>
          <w:sz w:val="22"/>
          <w:u w:val="single"/>
        </w:rPr>
        <w:t>Non-Reinstatement</w:t>
      </w:r>
      <w:r>
        <w:rPr>
          <w:color w:val="000000"/>
          <w:u w:val="single"/>
        </w:rPr>
        <w:t xml:space="preserve"> </w:t>
      </w:r>
      <w:r>
        <w:rPr>
          <w:rFonts w:ascii="Times New Roman;sans-serif" w:hAnsi="Times New Roman;sans-serif"/>
          <w:b w:val="false"/>
          <w:color w:val="000000"/>
          <w:sz w:val="22"/>
          <w:u w:val="single"/>
        </w:rPr>
        <w:t>Deadline</w:t>
      </w:r>
      <w:r>
        <w:rPr>
          <w:color w:val="000000"/>
        </w:rPr>
        <w:t>”</w:t>
      </w:r>
      <w:r>
        <w:rPr>
          <w:rFonts w:ascii="Times New Roman;sans-serif" w:hAnsi="Times New Roman;sans-serif"/>
          <w:b w:val="false"/>
          <w:color w:val="000000"/>
          <w:sz w:val="22"/>
        </w:rPr>
        <w:t xml:space="preserve">), such Issuing Lender shall not permit such reinstatement if it has received a notice (which may be by telephone or in writing) on or before the day that is seven (7) Business Days before the </w:t>
      </w:r>
      <w:r>
        <w:rPr>
          <w:rFonts w:ascii="Times New Roman;sans-serif" w:hAnsi="Times New Roman;sans-serif"/>
          <w:b w:val="false"/>
          <w:strike/>
          <w:color w:val="FF0000"/>
          <w:sz w:val="22"/>
        </w:rPr>
        <w:t>Non-Reinstatement</w:t>
      </w:r>
      <w:r>
        <w:rPr>
          <w:rFonts w:ascii="Times New Roman;sans-serif" w:hAnsi="Times New Roman;sans-serif"/>
          <w:b w:val="false"/>
          <w:color w:val="0000FF"/>
          <w:sz w:val="22"/>
          <w:u w:val="single"/>
        </w:rPr>
        <w:t>Non-Reinstatement</w:t>
      </w:r>
      <w:r>
        <w:rPr>
          <w:color w:val="000000"/>
        </w:rPr>
        <w:t xml:space="preserve"> </w:t>
      </w:r>
      <w:r>
        <w:rPr>
          <w:rFonts w:ascii="Times New Roman;sans-serif" w:hAnsi="Times New Roman;sans-serif"/>
          <w:b w:val="false"/>
          <w:color w:val="000000"/>
          <w:sz w:val="22"/>
        </w:rPr>
        <w:t xml:space="preserve">Deadline (A) from the Administrative Agent that the Required Revolving Credit Lenders have elected not to permit such reinstatement or (B) from the Administrative Agent, any Revolving Credit Lender or any Borrower that one or more of the applicable conditions specified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is not then satisfied (treating such reinstatement as a Letter of Credit for purposes of this clause) and, in each case, directing the applicable Issuing Lender not to permit such reinstatement.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Promptly after its delivery of any Letter of Credit or any amendment to a Letter of Credit to an advising bank with respect thereto or to the beneficiary thereof, the applicable Issuing Lender will also deliver to the applicable Borrower and the Administrative Agent a true and complete copy of such Letter of Credit or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Drawings and Reimbursements; Funding of Participations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Upon receipt from the beneficiary of any Letter of Credit of any notice of a drawing under such Letter of Credit, the applicable Issuing Lender shall notify the applicable Borrower and the Administrative Agent thereof. In the case of a Letter of Credit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the applicable Borrower shall reimburse the applicable Issuing Lender in such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unless (A) such Issuing Lender (at its option) shall have specified in such notice that it will require reimbursement in Dollars, or (B) in the absence of any such requirement for reimbursement in Dollars, such Borrower shall have notified the applicable Issuing Lender promptly following receipt of the notice of drawing that such Borrower will reimburse the applicable Issuing Lender in Dollars. In the case of any such reimbursement in Dollars of a drawing under a Letter of Credit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the applicable Issuing Lender shall notify the applicable Borrower of the Dollar Amount of the drawing promptly following the determination thereof. Not later than </w:t>
      </w:r>
      <w:r>
        <w:rPr>
          <w:rFonts w:ascii="Times New Roman;sans-serif" w:hAnsi="Times New Roman;sans-serif"/>
          <w:b w:val="false"/>
          <w:strike/>
          <w:color w:val="FF0000"/>
          <w:sz w:val="22"/>
        </w:rPr>
        <w:t>11:00 a.m</w:t>
      </w:r>
      <w:r>
        <w:rPr>
          <w:rFonts w:ascii="Times New Roman;sans-serif" w:hAnsi="Times New Roman;sans-serif"/>
          <w:b w:val="false"/>
          <w:color w:val="0000FF"/>
          <w:sz w:val="22"/>
          <w:u w:val="single"/>
        </w:rPr>
        <w:t>11:00 a.m</w:t>
      </w:r>
      <w:r>
        <w:rPr>
          <w:rFonts w:ascii="Times New Roman;sans-serif" w:hAnsi="Times New Roman;sans-serif"/>
          <w:b w:val="false"/>
          <w:color w:val="000000"/>
          <w:sz w:val="22"/>
        </w:rPr>
        <w:t xml:space="preserve">. on the first Business Day after the date of any payment by the applicable Issuing Lender under a Letter of Credit to be reimbursed in Dollars, or the Applicable Time on the date of any payment by an Issuing Lender under a Letter of Credit to be reimbursed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(each such date, an “</w:t>
      </w:r>
      <w:r>
        <w:rPr>
          <w:rFonts w:ascii="Times New Roman;sans-serif" w:hAnsi="Times New Roman;sans-serif"/>
          <w:b w:val="false"/>
          <w:color w:val="000000"/>
          <w:sz w:val="22"/>
          <w:u w:val="single"/>
        </w:rPr>
        <w:t>Honor Date</w:t>
      </w:r>
      <w:r>
        <w:rPr>
          <w:color w:val="000000"/>
        </w:rPr>
        <w:t>”</w:t>
      </w:r>
      <w:r>
        <w:rPr>
          <w:rFonts w:ascii="Times New Roman;sans-serif" w:hAnsi="Times New Roman;sans-serif"/>
          <w:b w:val="false"/>
          <w:color w:val="000000"/>
          <w:sz w:val="22"/>
        </w:rPr>
        <w:t xml:space="preserve">), the applicable Borrower shall reimburse the applicable Issuing Lender through the Administrative Agent in an amount equal to the amount of such drawing and in the applicable currency. In the event that (A) a drawing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is to be reimbursed in Dollars pursuant to the second sentence in this </w:t>
      </w:r>
      <w:r>
        <w:rPr>
          <w:rFonts w:ascii="Times New Roman;sans-serif" w:hAnsi="Times New Roman;sans-serif"/>
          <w:b w:val="false"/>
          <w:color w:val="000000"/>
          <w:sz w:val="22"/>
          <w:u w:val="single"/>
        </w:rPr>
        <w:t>Section 2.3(c)(i)</w:t>
      </w:r>
      <w:r>
        <w:rPr>
          <w:color w:val="000000"/>
        </w:rPr>
        <w:t xml:space="preserve"> </w:t>
      </w:r>
      <w:r>
        <w:rPr>
          <w:rFonts w:ascii="Times New Roman;sans-serif" w:hAnsi="Times New Roman;sans-serif"/>
          <w:b w:val="false"/>
          <w:color w:val="000000"/>
          <w:sz w:val="22"/>
        </w:rPr>
        <w:t xml:space="preserve">and (B) the Dollar amount paid by the applicable Borrower, whether on or after the Honor Date, shall not be adequate on the date of that payment to purchase in accordance with normal banking procedures a sum denominated in the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equal to the drawing, the Company agrees, as a separate and independent obligation, to indemnify the applicable Issuing Lender for the loss resulting from its inability on that date to purchase the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in the full amount of the drawing. If the applicable Borrower fails to so reimburse the applicable Issuing Lender by such time, the Administrative Agent shall promptly notify each Dollar Tranche Revolving Credit Lender of the Honor Date, the amount of the unreimbursed drawing (expressed in the Dollar Amount thereof in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64"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of a Letter of Credit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Unreimbursed Amount</w:t>
      </w:r>
      <w:r>
        <w:rPr>
          <w:color w:val="000000"/>
        </w:rPr>
        <w:t>”</w:t>
      </w:r>
      <w:r>
        <w:rPr>
          <w:rFonts w:ascii="Times New Roman;sans-serif" w:hAnsi="Times New Roman;sans-serif"/>
          <w:b w:val="false"/>
          <w:color w:val="000000"/>
          <w:sz w:val="22"/>
        </w:rPr>
        <w:t xml:space="preserve">), and the amount of such Dollar Tranche Revolving Credit Lender’s Applicable Percentage thereof. In such event, the applicable Borrower shall be deemed to have requested a borrowing of Dollar Tranche Revolving Credit Loans that are Base Rate Loans to be disbursed on the Honor Date in an amount equal to the Unreimbursed Amount, without regard to the minimum and multiples specified in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 xml:space="preserve">for the principal amount of Base Rate Loans, but subject to the amount of the unutilized portion of the Dollar Tranche Revolving Credit Commitments and the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(other than the delivery of a Loan Notice). Any notice given by the applicable Issuing Lender or the Administrative Agent pursuant to this </w:t>
      </w:r>
      <w:r>
        <w:rPr>
          <w:rFonts w:ascii="Times New Roman;sans-serif" w:hAnsi="Times New Roman;sans-serif"/>
          <w:b w:val="false"/>
          <w:color w:val="000000"/>
          <w:sz w:val="22"/>
          <w:u w:val="single"/>
        </w:rPr>
        <w:t>Section 2.3(c)(i)</w:t>
      </w:r>
      <w:r>
        <w:rPr>
          <w:color w:val="000000"/>
        </w:rPr>
        <w:t xml:space="preserve"> </w:t>
      </w:r>
      <w:r>
        <w:rPr>
          <w:rFonts w:ascii="Times New Roman;sans-serif" w:hAnsi="Times New Roman;sans-serif"/>
          <w:b w:val="false"/>
          <w:color w:val="000000"/>
          <w:sz w:val="22"/>
        </w:rPr>
        <w:t xml:space="preserve">may be given by telephone if immediately confirmed in writing;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lack of such an immediate confirmation shall not affect the conclusiveness or binding effect of such notice.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Each Dollar Tranche Revolving Credit Lender shall upon any notice pursuant to </w:t>
      </w:r>
      <w:r>
        <w:rPr>
          <w:rFonts w:ascii="Times New Roman;sans-serif" w:hAnsi="Times New Roman;sans-serif"/>
          <w:b w:val="false"/>
          <w:color w:val="000000"/>
          <w:sz w:val="22"/>
          <w:u w:val="single"/>
        </w:rPr>
        <w:t>Section 2.3(c)(i)</w:t>
      </w:r>
      <w:r>
        <w:rPr>
          <w:color w:val="000000"/>
        </w:rPr>
        <w:t xml:space="preserve"> </w:t>
      </w:r>
      <w:r>
        <w:rPr>
          <w:rFonts w:ascii="Times New Roman;sans-serif" w:hAnsi="Times New Roman;sans-serif"/>
          <w:b w:val="false"/>
          <w:color w:val="000000"/>
          <w:sz w:val="22"/>
        </w:rPr>
        <w:t xml:space="preserve">make funds available (and the Administrative Agent may apply Cash Collateral provided for this purpose) for the account of the applicable Issuing Lender, in Dollars, at the Administrative Agent’s Office for </w:t>
      </w:r>
      <w:r>
        <w:rPr>
          <w:rFonts w:ascii="Times New Roman;sans-serif" w:hAnsi="Times New Roman;sans-serif"/>
          <w:b w:val="false"/>
          <w:strike/>
          <w:color w:val="FF0000"/>
          <w:sz w:val="22"/>
        </w:rPr>
        <w:t>Dollar-denominated</w:t>
      </w:r>
      <w:r>
        <w:rPr>
          <w:rFonts w:ascii="Times New Roman;sans-serif" w:hAnsi="Times New Roman;sans-serif"/>
          <w:b w:val="false"/>
          <w:color w:val="0000FF"/>
          <w:sz w:val="22"/>
          <w:u w:val="single"/>
        </w:rPr>
        <w:t>Dollar-denominated</w:t>
      </w:r>
      <w:r>
        <w:rPr>
          <w:color w:val="000000"/>
        </w:rPr>
        <w:t xml:space="preserve"> </w:t>
      </w:r>
      <w:r>
        <w:rPr>
          <w:rFonts w:ascii="Times New Roman;sans-serif" w:hAnsi="Times New Roman;sans-serif"/>
          <w:b w:val="false"/>
          <w:color w:val="000000"/>
          <w:sz w:val="22"/>
        </w:rPr>
        <w:t xml:space="preserve">payments in an amount equal to its Applicable Percentage of the Unreimbursed Amount not later than </w:t>
      </w:r>
      <w:r>
        <w:rPr>
          <w:rFonts w:ascii="Times New Roman;sans-serif" w:hAnsi="Times New Roman;sans-serif"/>
          <w:b w:val="false"/>
          <w:strike/>
          <w:color w:val="FF0000"/>
          <w:sz w:val="22"/>
        </w:rPr>
        <w:t>1:00 p.m</w:t>
      </w:r>
      <w:r>
        <w:rPr>
          <w:rFonts w:ascii="Times New Roman;sans-serif" w:hAnsi="Times New Roman;sans-serif"/>
          <w:b w:val="false"/>
          <w:color w:val="0000FF"/>
          <w:sz w:val="22"/>
          <w:u w:val="single"/>
        </w:rPr>
        <w:t>1:00 p.m</w:t>
      </w:r>
      <w:r>
        <w:rPr>
          <w:rFonts w:ascii="Times New Roman;sans-serif" w:hAnsi="Times New Roman;sans-serif"/>
          <w:b w:val="false"/>
          <w:color w:val="000000"/>
          <w:sz w:val="22"/>
        </w:rPr>
        <w:t xml:space="preserve">. on the Business Day specified in such notice by the Administrative Agent, whereupon, subject to the provisions of </w:t>
      </w:r>
      <w:r>
        <w:rPr>
          <w:rFonts w:ascii="Times New Roman;sans-serif" w:hAnsi="Times New Roman;sans-serif"/>
          <w:b w:val="false"/>
          <w:color w:val="000000"/>
          <w:sz w:val="22"/>
          <w:u w:val="single"/>
        </w:rPr>
        <w:t>Section 2.3(c)(iii)</w:t>
      </w:r>
      <w:r>
        <w:rPr>
          <w:rFonts w:ascii="Times New Roman;sans-serif" w:hAnsi="Times New Roman;sans-serif"/>
          <w:b w:val="false"/>
          <w:color w:val="000000"/>
          <w:sz w:val="22"/>
        </w:rPr>
        <w:t>, each Dollar Tranche Revolving Credit Lender that so makes funds available shall be deemed to have made a Base Rate Loan to the applicable Borrower in such amount. The Administrative Agent shall remit the funds so received to the applicable Issuing Lender in Dollars.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With respect to any Unreimbursed Amount that is not fully refinanced by a borrowing of Dollar Tranche Revolving Credit Loans that are Base Rate Loans because the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cannot be satisfied or for any other reason, the applicable Borrower shall be deemed to have incurred from the applicable Issuing Lender an L/C Borrowing in the amount of the Unreimbursed Amount that is not so refinanced, which L/C Borrowing shall be due and payable on demand (together with interest) and shall bear interest until paid or refinanced at the Default Rate. In such event, each Dollar Tranche Revolving Credit Lender’s payment to the Administrative Agent for the account of the applicable Issuing Lender pursuant to </w:t>
      </w:r>
      <w:r>
        <w:rPr>
          <w:rFonts w:ascii="Times New Roman;sans-serif" w:hAnsi="Times New Roman;sans-serif"/>
          <w:b w:val="false"/>
          <w:color w:val="000000"/>
          <w:sz w:val="22"/>
          <w:u w:val="single"/>
        </w:rPr>
        <w:t>Section 2.3(c)(ii)</w:t>
      </w:r>
      <w:r>
        <w:rPr>
          <w:color w:val="000000"/>
        </w:rPr>
        <w:t xml:space="preserve"> </w:t>
      </w:r>
      <w:r>
        <w:rPr>
          <w:rFonts w:ascii="Times New Roman;sans-serif" w:hAnsi="Times New Roman;sans-serif"/>
          <w:b w:val="false"/>
          <w:color w:val="000000"/>
          <w:sz w:val="22"/>
        </w:rPr>
        <w:t>shall be deemed payment in respect of its participation in such L/C Borrowing and shall constitute an L/C Advance from such Lender in satisfaction of its participation obligation under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(iv)    Until each Dollar Tranche Revolving Credit Lender funds its Dollar Tranche Revolving Credit Loan or L/C Advance pursuant to this </w:t>
      </w:r>
      <w:r>
        <w:rPr>
          <w:rFonts w:ascii="Times New Roman;sans-serif" w:hAnsi="Times New Roman;sans-serif"/>
          <w:b w:val="false"/>
          <w:color w:val="000000"/>
          <w:sz w:val="22"/>
          <w:u w:val="single"/>
        </w:rPr>
        <w:t>Section 2.3(c)</w:t>
      </w:r>
      <w:r>
        <w:rPr>
          <w:color w:val="000000"/>
        </w:rPr>
        <w:t xml:space="preserve"> </w:t>
      </w:r>
      <w:r>
        <w:rPr>
          <w:rFonts w:ascii="Times New Roman;sans-serif" w:hAnsi="Times New Roman;sans-serif"/>
          <w:b w:val="false"/>
          <w:color w:val="000000"/>
          <w:sz w:val="22"/>
        </w:rPr>
        <w:t>to reimburse the applicable Issuing Lender for any amount drawn under any Letter of Credit, interest in respect of such Lender’s Applicable Percentage of such amount shall be solely for the account of such Issuing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    Each Dollar Tranche Revolving Credit Lender’s obligation to make Dollar Tranche Revolving Credit Loans or L/C Advances to reimburse the applicable Issuing Lender for amounts drawn under Letters of Credit, as contemplated by this </w:t>
      </w:r>
      <w:r>
        <w:rPr>
          <w:rFonts w:ascii="Times New Roman;sans-serif" w:hAnsi="Times New Roman;sans-serif"/>
          <w:b w:val="false"/>
          <w:color w:val="000000"/>
          <w:sz w:val="22"/>
          <w:u w:val="single"/>
        </w:rPr>
        <w:t>Section 2.3(c)</w:t>
      </w:r>
      <w:r>
        <w:rPr>
          <w:rFonts w:ascii="Times New Roman;sans-serif" w:hAnsi="Times New Roman;sans-serif"/>
          <w:b w:val="false"/>
          <w:color w:val="000000"/>
          <w:sz w:val="22"/>
        </w:rPr>
        <w:t xml:space="preserve">, shall be absolute and unconditional and shall not be affected by any circumstance, including (A) any setoff, counterclaim, recoupment, defense or other right which such Lender may have against the applicable Issuing Lender, the applicable Borrower, any Restricted Subsidiary or any other Person for any reason whatsoever; (B) the occurrence or continuance of a Default; or (C) any other occurrence, event or condition, whether or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65"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not similar to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Dollar Tranche Revolving Credit Lender’s obligation to make Dollar Tranche Revolving Credit Loans pursuant to this </w:t>
      </w:r>
      <w:r>
        <w:rPr>
          <w:rFonts w:ascii="Times New Roman;sans-serif" w:hAnsi="Times New Roman;sans-serif"/>
          <w:b w:val="false"/>
          <w:color w:val="000000"/>
          <w:sz w:val="22"/>
          <w:u w:val="single"/>
        </w:rPr>
        <w:t>Section 2.3(c)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(other than delivery by the applicable Borrower of a Loan Notice). No such making of an L/C Advance shall relieve or otherwise impair the obligation of the applicable Borrower to reimburse the applicable Issuing Lender for the amount of any payment made by such Issuing Lender under any Letter of Credit, together with interest as provided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    If any Dollar Tranche Revolving Credit Lender fails to make available to the Administrative Agent for the account of the applicable Issuing Lender any amount required to be paid by such Lender pursuant to the foregoing provisions of this </w:t>
      </w:r>
      <w:r>
        <w:rPr>
          <w:rFonts w:ascii="Times New Roman;sans-serif" w:hAnsi="Times New Roman;sans-serif"/>
          <w:b w:val="false"/>
          <w:color w:val="000000"/>
          <w:sz w:val="22"/>
          <w:u w:val="single"/>
        </w:rPr>
        <w:t>Section 2.3(c)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2.3(c)(ii)</w:t>
      </w:r>
      <w:r>
        <w:rPr>
          <w:rFonts w:ascii="Times New Roman;sans-serif" w:hAnsi="Times New Roman;sans-serif"/>
          <w:b w:val="false"/>
          <w:color w:val="000000"/>
          <w:sz w:val="22"/>
        </w:rPr>
        <w:t xml:space="preserve">, then, without limiting the other provisions of this Agreement, the applicable Issuing Lender shall be entitled to recover from such Lender (acting through the Administrative Agent), on demand, such amount with interest thereon for the period from the date such payment is required to the date on which such payment is immediately available to such Issuing Lender at a rate per annum equal to the applicable Overnight Rate from time to time in effect,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administrative, processing or similar fees customarily charged by such Issuing Lender in connection with the foregoing. If such Lender pays such amount (with interest and fees as aforesaid), the amount so paid shall constitute such Lender’s Dollar Tranche Revolving Credit Loan included in the relevant borrowing of Dollar Tranche Revolving Credit Loans or L/C Advance in respect of the relevant L/C Borrowing, as the case may be. A certificate of the applicable Issuing Lender submitted to any Dollar Tranche Revolving Credit Lender (through the Administrative Agent) with respect to any amounts owing under this </w:t>
      </w:r>
      <w:r>
        <w:rPr>
          <w:rFonts w:ascii="Times New Roman;sans-serif" w:hAnsi="Times New Roman;sans-serif"/>
          <w:b w:val="false"/>
          <w:color w:val="000000"/>
          <w:sz w:val="22"/>
          <w:u w:val="single"/>
        </w:rPr>
        <w:t>Section 2.3(c)(vi)</w:t>
      </w:r>
      <w:r>
        <w:rPr>
          <w:color w:val="000000"/>
        </w:rPr>
        <w:t xml:space="preserve"> </w:t>
      </w:r>
      <w:r>
        <w:rPr>
          <w:rFonts w:ascii="Times New Roman;sans-serif" w:hAnsi="Times New Roman;sans-serif"/>
          <w:b w:val="false"/>
          <w:color w:val="000000"/>
          <w:sz w:val="22"/>
        </w:rPr>
        <w:t>shall be conclusive absent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At any time after the applicable Issuing Lender has made a payment under any Letter of Credit and has received from any Dollar Tranche Revolving Credit Lender such Lender’s L/C Advance in respect of such payment in accordance with </w:t>
      </w:r>
      <w:r>
        <w:rPr>
          <w:rFonts w:ascii="Times New Roman;sans-serif" w:hAnsi="Times New Roman;sans-serif"/>
          <w:b w:val="false"/>
          <w:color w:val="000000"/>
          <w:sz w:val="22"/>
          <w:u w:val="single"/>
        </w:rPr>
        <w:t>Section 2.3(c)</w:t>
      </w:r>
      <w:r>
        <w:rPr>
          <w:rFonts w:ascii="Times New Roman;sans-serif" w:hAnsi="Times New Roman;sans-serif"/>
          <w:b w:val="false"/>
          <w:color w:val="000000"/>
          <w:sz w:val="22"/>
        </w:rPr>
        <w:t>, if the Administrative Agent receives for the account of such Issuing Lender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If any payment received by the Administrative Agent for the account of the applicable Issuing Lender pursuant to </w:t>
      </w:r>
      <w:r>
        <w:rPr>
          <w:rFonts w:ascii="Times New Roman;sans-serif" w:hAnsi="Times New Roman;sans-serif"/>
          <w:b w:val="false"/>
          <w:color w:val="000000"/>
          <w:sz w:val="22"/>
          <w:u w:val="single"/>
        </w:rPr>
        <w:t>Section 2.3(c)(i)</w:t>
      </w:r>
      <w:r>
        <w:rPr>
          <w:color w:val="000000"/>
        </w:rPr>
        <w:t xml:space="preserve"> </w:t>
      </w:r>
      <w:r>
        <w:rPr>
          <w:rFonts w:ascii="Times New Roman;sans-serif" w:hAnsi="Times New Roman;sans-serif"/>
          <w:b w:val="false"/>
          <w:color w:val="000000"/>
          <w:sz w:val="22"/>
        </w:rPr>
        <w:t xml:space="preserve">is required to be returned under any of the circumstances described in </w:t>
      </w:r>
      <w:r>
        <w:rPr>
          <w:rFonts w:ascii="Times New Roman;sans-serif" w:hAnsi="Times New Roman;sans-serif"/>
          <w:b w:val="false"/>
          <w:color w:val="000000"/>
          <w:sz w:val="22"/>
          <w:u w:val="single"/>
        </w:rPr>
        <w:t>Section 13.5</w:t>
      </w:r>
      <w:r>
        <w:rPr>
          <w:color w:val="000000"/>
        </w:rPr>
        <w:t xml:space="preserve"> </w:t>
      </w:r>
      <w:r>
        <w:rPr>
          <w:rFonts w:ascii="Times New Roman;sans-serif" w:hAnsi="Times New Roman;sans-serif"/>
          <w:b w:val="false"/>
          <w:color w:val="000000"/>
          <w:sz w:val="22"/>
        </w:rPr>
        <w:t xml:space="preserve">(including pursuant to any settlement entered into by such Issuing Lender in its discretion), each Dollar Tranche Revolving Credit Lender shall pay to the Administrative Agent for the account of such Issuing Lender its Applicable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xml:space="preserve">. The obligation of each Borrower to reimburse the applicable Issuing Lender for each drawing under each Letter of Credit and to repay each L/C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6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Borrowing shall be absolute, unconditional and irrevocable, and shall be paid strictly in accordance with the terms of this Agreement under all circumstances, including the following: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any lack of validity or enforceability of such Letter of Credit, this Agreement, or any other Loan Document;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the existence of any claim, counterclaim, setoff, defense or other right that any Borrower or any Restricted Subsidiary may have at any time against any beneficiary or any transferee of such Letter of Credit (or any Person for whom any such beneficiary or any such transferee may be acting), any Issuing Lender or any other Person, whether in connection with this Agreement or by such Letter of Credit, the transactions contemplated hereby or any agreement or instrument relating thereto, or any unrelated transaction;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any draft, demand, endorsement, certificate or other document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waiver by the applicable Issuing Lender of any requirement that exists for the Issuing Lender’s protection and not the protection of any Borrowers or any waiver by the applicable Issuing Lender which does not in fact materially prejudice any Borrower;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honor of a demand for payment presented electronically even if such Letter of Credit requires that demand be in the form of a draft;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any payment made by any Issuing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(vii)    any payment by any Issuing Lender under such Letter of Credit against presentation of a draft or certificate that does not strictly comply with the terms of such Letter of Credit; or any payment made by such Issuing Lender under such Letter of Credit to any Person purporting to be a trustee in bankruptcy, </w:t>
      </w:r>
      <w:r>
        <w:rPr>
          <w:rFonts w:ascii="Times New Roman;sans-serif" w:hAnsi="Times New Roman;sans-serif"/>
          <w:b w:val="false"/>
          <w:strike/>
          <w:color w:val="FF0000"/>
          <w:sz w:val="22"/>
        </w:rPr>
        <w:t>debtor-in-possession</w:t>
      </w:r>
      <w:r>
        <w:rPr>
          <w:rFonts w:ascii="Times New Roman;sans-serif" w:hAnsi="Times New Roman;sans-serif"/>
          <w:b w:val="false"/>
          <w:color w:val="0000FF"/>
          <w:sz w:val="22"/>
          <w:u w:val="single"/>
        </w:rPr>
        <w:t>debtor-in-possession</w:t>
      </w:r>
      <w:r>
        <w:rPr>
          <w:rFonts w:ascii="Times New Roman;sans-serif" w:hAnsi="Times New Roman;sans-serif"/>
          <w:b w:val="false"/>
          <w:color w:val="000000"/>
          <w:sz w:val="22"/>
        </w:rPr>
        <w:t>,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    any other circumstance or happening whatsoever, whether or not similar to any of the foregoing, including any other circumstance that might otherwise constitute a defense available to, or a discharge of, any Borrower or any Restricted Subsidiary;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(ix)    any adverse change in the relevant exchange rates or in the availability of the relevant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to any Borrower or any Restricted Subsidiary or in the relevant currency markets generally.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applicable Borrower shall promptly examine a copy of each Letter of Credit and each amendment thereto that is delivered to it and, in the event of any claim of noncompliance with such Borrower’s instructions or other irregularity, such Borrower will immediately notify the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67"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Issuing Lender. The applicable Borrower shall be conclusively deemed to have waived any such claim against the applicable Issuing Lender and its correspondents unless such notice is given as aforesaid.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Role of Issuing Lender</w:t>
      </w:r>
      <w:r>
        <w:rPr>
          <w:rFonts w:ascii="Times New Roman;sans-serif" w:hAnsi="Times New Roman;sans-serif"/>
          <w:b w:val="false"/>
          <w:color w:val="000000"/>
          <w:sz w:val="22"/>
        </w:rPr>
        <w:t xml:space="preserve">. Each Lender and each Borrower agree that, in paying any drawing under a Letter of Credit, no Issuing Lender shall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any Issuing Lender, the Administrative Agent, any of their respective Related Parties nor any correspondent, participant or assignee of any Issuing Lender shall be liable to any Lender for (i) any action taken or omitted in connection herewith at the request or with the approval of the Revolving Credit Lenders, Required Revolving Credit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this assumption is not intended to, and shall not, preclude such Borrower’s pursuing such rights and remedies as it may have against the beneficiary or transferee at law or under any other agreement. None of any Issuing Lender, the Administrative Agent, any of their respective Related Parties nor any correspondent, participant or assignee of any Issuing Lender shall be liable or responsible for any of the matters described in </w:t>
      </w:r>
      <w:r>
        <w:rPr>
          <w:rFonts w:ascii="Times New Roman;sans-serif" w:hAnsi="Times New Roman;sans-serif"/>
          <w:b w:val="false"/>
          <w:color w:val="000000"/>
          <w:sz w:val="22"/>
          <w:u w:val="single"/>
        </w:rPr>
        <w:t>Section 2.3(e)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anything in such clauses to the contrary notwithstanding, a Borrower may have a claim against an Issuing Lender, and an Issuing Lender may be liable to such Borrower, to the extent, but only to the extent, of any direct, as opposed to consequential or exemplary, damages suffered by such Borrower which such Borrower proves, as determined by a final nonappealable judgment of a court of competent jurisdiction, were caused by such Issuing Lender’s bad faith, willful misconduct or gross negligence or such Issuing Lender’s willful failure to pay under any Letter of Credit after the presentation to it by the beneficiary of a sight or time draft and certificate(s) strictly complying with the terms and conditions of a Letter of Credit. In furtherance and not in limitation of the foregoing, each Issuing Lender may accept documents that appear on their face to be in order, without responsibility for further investigation, regardless of any notice or information to the contrary, and no Issuing Lender shall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Each Issuing Lender may send a Letter of Credit or conduct any communication to or from the beneficiary via the Society for Worldwide Interbank Financial Telecommunication (“</w:t>
      </w:r>
      <w:r>
        <w:rPr>
          <w:rFonts w:ascii="Times New Roman;sans-serif" w:hAnsi="Times New Roman;sans-serif"/>
          <w:b w:val="false"/>
          <w:color w:val="000000"/>
          <w:sz w:val="22"/>
          <w:u w:val="single"/>
        </w:rPr>
        <w:t>SWIFT</w:t>
      </w:r>
      <w:r>
        <w:rPr>
          <w:color w:val="000000"/>
        </w:rPr>
        <w:t>”</w:t>
      </w:r>
      <w:r>
        <w:rPr>
          <w:rFonts w:ascii="Times New Roman;sans-serif" w:hAnsi="Times New Roman;sans-serif"/>
          <w:b w:val="false"/>
          <w:color w:val="000000"/>
          <w:sz w:val="22"/>
        </w:rPr>
        <w:t>) message or overnight courier, or any other commercially reasonable means of communicating with a beneficiary.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Applicability of ISP; Limitation of Liability</w:t>
      </w:r>
      <w:r>
        <w:rPr>
          <w:rFonts w:ascii="Times New Roman;sans-serif" w:hAnsi="Times New Roman;sans-serif"/>
          <w:b w:val="false"/>
          <w:color w:val="000000"/>
          <w:sz w:val="22"/>
        </w:rPr>
        <w:t xml:space="preserve">. Unless otherwise expressly agreed by the applicable Issuing Lender and the applicable Borrower when a Letter of Credit is issued (including any such agreement applicable to an Existing Letter of Credit), the rules of the ISP shall apply to each standby Letter of Credit. Notwithstanding the foregoing, no Issuing Lender shall be responsible to the applicable Borrower for, and each Issuing Lender’s rights and remedies against such Borrower shall not be impaired by, any action or inaction of such Issuing Lender required or permitted under any law, order, or practice that is required or permitted to be applied to any Letter of Credit or this Agreement, including Applicable Law or any order of a jurisdiction where such Issuing Lender or the beneficiary is located, the practice stated in the ISP or UCP, as applicable, or in the decisions, opinions, practice statements, or official commentary of the ICC Banking Commission, the Bankers Association for Finance and Trade </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 xml:space="preserve">International Financial Services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68"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Association (</w:t>
      </w:r>
      <w:r>
        <w:rPr>
          <w:rFonts w:ascii="Times New Roman;sans-serif" w:hAnsi="Times New Roman;sans-serif"/>
          <w:b w:val="false"/>
          <w:strike/>
          <w:color w:val="FF0000"/>
          <w:sz w:val="22"/>
        </w:rPr>
        <w:t>BAFT-IFSA</w:t>
      </w:r>
      <w:r>
        <w:rPr>
          <w:rFonts w:ascii="Times New Roman;sans-serif" w:hAnsi="Times New Roman;sans-serif"/>
          <w:b w:val="false"/>
          <w:color w:val="0000FF"/>
          <w:sz w:val="22"/>
          <w:u w:val="single"/>
        </w:rPr>
        <w:t>BAFT-IFSA</w:t>
      </w:r>
      <w:r>
        <w:rPr>
          <w:rFonts w:ascii="Times New Roman;sans-serif" w:hAnsi="Times New Roman;sans-serif"/>
          <w:b w:val="false"/>
          <w:color w:val="000000"/>
          <w:sz w:val="22"/>
        </w:rPr>
        <w:t>), or the Institute of International Banking Law &amp; Practice, whether or not any Letter of Credit chooses such law or practice.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Letter of Credit Fees</w:t>
      </w:r>
      <w:r>
        <w:rPr>
          <w:rFonts w:ascii="Times New Roman;sans-serif" w:hAnsi="Times New Roman;sans-serif"/>
          <w:b w:val="false"/>
          <w:color w:val="000000"/>
          <w:sz w:val="22"/>
        </w:rPr>
        <w:t xml:space="preserve">. The Company shall pay to the Administrative Agent for the account of each Dollar Tranche Revolving Credit Lender in accordance, subject to </w:t>
      </w:r>
      <w:r>
        <w:rPr>
          <w:rFonts w:ascii="Times New Roman;sans-serif" w:hAnsi="Times New Roman;sans-serif"/>
          <w:b w:val="false"/>
          <w:color w:val="000000"/>
          <w:sz w:val="22"/>
          <w:u w:val="single"/>
        </w:rPr>
        <w:t>Section 4.14</w:t>
      </w:r>
      <w:r>
        <w:rPr>
          <w:rFonts w:ascii="Times New Roman;sans-serif" w:hAnsi="Times New Roman;sans-serif"/>
          <w:b w:val="false"/>
          <w:color w:val="000000"/>
          <w:sz w:val="22"/>
        </w:rPr>
        <w:t>, with its Applicable Percentage a Letter of Credit fee (the “</w:t>
      </w:r>
      <w:r>
        <w:rPr>
          <w:rFonts w:ascii="Times New Roman;sans-serif" w:hAnsi="Times New Roman;sans-serif"/>
          <w:b w:val="false"/>
          <w:color w:val="000000"/>
          <w:sz w:val="22"/>
          <w:u w:val="single"/>
        </w:rPr>
        <w:t>Letter of Credit Fee</w:t>
      </w:r>
      <w:r>
        <w:rPr>
          <w:color w:val="000000"/>
        </w:rPr>
        <w:t>”</w:t>
      </w:r>
      <w:r>
        <w:rPr>
          <w:rFonts w:ascii="Times New Roman;sans-serif" w:hAnsi="Times New Roman;sans-serif"/>
          <w:b w:val="false"/>
          <w:color w:val="000000"/>
          <w:sz w:val="22"/>
        </w:rPr>
        <w:t xml:space="preserve">) for each Letter of Credit equal to the Applicable Margin for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Rate Loans times the Dollar Amount of the daily amount available to be drawn under such Letter of Credit. Letter of Credit Fees shall be (1) due and payable on the last Business Day of each fiscal quarter, commencing with the first such date to occur after the issuance of such Letter of Credit, on the Letter of Credit Expiration Date and thereafter on demand and (2) computed on a quarterly basis in arrears. If there is any change in the Applicable Margin during any quarter, the daily amount available to be drawn under each Letter of Credit shall be computed and multiplied by the Applicable Margin separately for each period during such quarter that such Applicable Margin was in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Fronting Fee and Documentary and Processing Charges Payable to Issuing Lender</w:t>
      </w:r>
      <w:r>
        <w:rPr>
          <w:rFonts w:ascii="Times New Roman;sans-serif" w:hAnsi="Times New Roman;sans-serif"/>
          <w:b w:val="false"/>
          <w:color w:val="000000"/>
          <w:sz w:val="22"/>
        </w:rPr>
        <w:t xml:space="preserve">. The Company shall pay directly to each Issuing Lender for its own account a fronting fee with respect to each Letter of Credit, at the rate per annum specified in a writing between the Company and the applicable Issuing Lender, computed on the Dollar Amount of the daily amount available to be drawn under such Letter of Credit on a quarterly basis in arrears. Such fronting fee shall be due and payable on the date that is ten (10) Business Days following each fiscal quarter end,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1.7</w:t>
      </w:r>
      <w:r>
        <w:rPr>
          <w:rFonts w:ascii="Times New Roman;sans-serif" w:hAnsi="Times New Roman;sans-serif"/>
          <w:b w:val="false"/>
          <w:color w:val="000000"/>
          <w:sz w:val="22"/>
        </w:rPr>
        <w:t>. In addition, the Company shall pay directly to each Issuing Lender for its own account, in Dollars, the customary issuance, presentation, amendment and other processing fees, and other standard costs and charges, of such Issuing Lender relating to letters of credit as from time to time in effect. Such customary fees and standard costs and charges are due and payable on demand and are nonrefundable.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Conflict with Issuer Documents</w:t>
      </w:r>
      <w:r>
        <w:rPr>
          <w:rFonts w:ascii="Times New Roman;sans-serif" w:hAnsi="Times New Roman;sans-serif"/>
          <w:b w:val="false"/>
          <w:color w:val="000000"/>
          <w:sz w:val="22"/>
        </w:rPr>
        <w:t>. In the event of any conflict between the terms hereof and the terms of any Issuer Document, the terms hereof shall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Additional Issuing Lenders</w:t>
      </w:r>
      <w:r>
        <w:rPr>
          <w:rFonts w:ascii="Times New Roman;sans-serif" w:hAnsi="Times New Roman;sans-serif"/>
          <w:b w:val="false"/>
          <w:color w:val="000000"/>
          <w:sz w:val="22"/>
        </w:rPr>
        <w:t>. Any Lender hereunder may become an Issuing Lender upon receipt by the Administrative Agent of a fully executed notice which shall be signed by the Company, the Administrative Agent and each Issuing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Letters of Credit Issued for Restricted Subsidiaries</w:t>
      </w:r>
      <w:r>
        <w:rPr>
          <w:rFonts w:ascii="Times New Roman;sans-serif" w:hAnsi="Times New Roman;sans-serif"/>
          <w:b w:val="false"/>
          <w:color w:val="000000"/>
          <w:sz w:val="22"/>
        </w:rPr>
        <w:t>. Notwithstanding that a Letter of Credit issued or outstanding hereunder is in support of any obligations of, or is for the account of, a Restricted Subsidiary, the Company shall be obligated to reimburse the applicable Issuing Lender hereunder for any and all drawings under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Letter of Credit Reports</w:t>
      </w:r>
      <w:r>
        <w:rPr>
          <w:rFonts w:ascii="Times New Roman;sans-serif" w:hAnsi="Times New Roman;sans-serif"/>
          <w:b w:val="false"/>
          <w:color w:val="000000"/>
          <w:sz w:val="22"/>
        </w:rPr>
        <w:t>. Unless otherwise agreed by the Administrative Agent, each Issuing Lender shall, in addition to its notification obligations set forth elsewhere in this Section, provide the Administrative Agent a Letter of Credit Report, as set forth below:</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69"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reasonably prior to the time that such Issuing Lender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on each Business Day on which such Issuing Lender makes a payment pursuant to a Letter of Credit;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on any Business Day on which any Borrower fails to reimburse a payment made pursuant to a Letter of Credit required to be reimbursed to such Issuing Lender on such day, the date of such failure and the amount of such payment;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on any other Business Day, such other information as the Administrative Agent shall reasonably request as to the Letters of Credit issued by such Issuing Lender;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for so long as any Letter of Credit issued by an Issuing Lender is outstanding, such Issuing Lender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Issuing Lender.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2.4    </w:t>
      </w:r>
      <w:r>
        <w:rPr>
          <w:rFonts w:ascii="Times New Roman;sans-serif" w:hAnsi="Times New Roman;sans-serif"/>
          <w:b/>
          <w:color w:val="000000"/>
          <w:sz w:val="22"/>
          <w:u w:val="single"/>
        </w:rPr>
        <w:t>Swingline Loans</w:t>
      </w:r>
      <w:r>
        <w:rPr>
          <w:rFonts w:ascii="Times New Roman;sans-serif" w:hAnsi="Times New Roman;sans-serif"/>
          <w:b w:val="false"/>
          <w:color w:val="000000"/>
          <w:sz w:val="22"/>
        </w:rPr>
        <w:t>.</w:t>
      </w:r>
      <w:r>
        <w:rPr>
          <w:strike/>
          <w:color w:val="FF0000"/>
          <w:u w:val="single"/>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The Swingline</w:t>
      </w:r>
      <w:r>
        <w:rPr>
          <w:rFonts w:ascii="Times New Roman;sans-serif" w:hAnsi="Times New Roman;sans-serif"/>
          <w:b w:val="false"/>
          <w:color w:val="000000"/>
          <w:sz w:val="22"/>
        </w:rPr>
        <w:t>. Subject to the terms and conditions set forth herein, the Swingline Lender, in reliance upon the agreements of the other Dollar Tranche Revolving Credit Lenders set forth in this Section, may in its sole discretion</w:t>
      </w:r>
      <w:r>
        <w:rPr>
          <w:color w:val="000000"/>
        </w:rPr>
        <w:t xml:space="preserve"> </w:t>
      </w:r>
      <w:r>
        <w:rPr>
          <w:rFonts w:ascii="Times New Roman;sans-serif" w:hAnsi="Times New Roman;sans-serif"/>
          <w:b w:val="false"/>
          <w:color w:val="000000"/>
          <w:sz w:val="22"/>
        </w:rPr>
        <w:t>make loans to the Company (each such loan, a “</w:t>
      </w:r>
      <w:r>
        <w:rPr>
          <w:rFonts w:ascii="Times New Roman;sans-serif" w:hAnsi="Times New Roman;sans-serif"/>
          <w:b w:val="false"/>
          <w:color w:val="000000"/>
          <w:sz w:val="22"/>
          <w:u w:val="single"/>
        </w:rPr>
        <w:t>Swingline Loan</w:t>
      </w:r>
      <w:r>
        <w:rPr>
          <w:color w:val="000000"/>
        </w:rPr>
        <w:t>”</w:t>
      </w:r>
      <w:r>
        <w:rPr>
          <w:rFonts w:ascii="Times New Roman;sans-serif" w:hAnsi="Times New Roman;sans-serif"/>
          <w:b w:val="false"/>
          <w:color w:val="000000"/>
          <w:sz w:val="22"/>
        </w:rPr>
        <w:t xml:space="preserve">). Each such Swingline Loan may be made, subject to the terms and conditions set forth herein, to the Company, in Dollars, from time to time on any Business Day. During the Availability Period in an aggregate amount not to exceed at any time outstanding the amount of the Swingline Commitment, notwithstanding the fact that such Swingline Loans, when aggregated with the Applicable Percentage of the Outstanding Amount of Revolving Credit Loans and L/C Obligations of the Lender acting as Swingline Lender, may exceed the amount of such Lender’s Revolving Credit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after giving effect to any Swingline Loan, the aggregate principal amount of all outstanding Swingline Loans, shall not exceed the lesser of (A) the Dollar Tranche Revolving Credit Commitment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the sum of all outstanding Dollar Tranche Revolving Credit Loans and the L/C Obligations and (B) the Swingline Commitment, (ii) the Company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Extension of Credit may have, Fronting Exposure. Within the foregoing limits, and subject to the other terms and conditions hereof, the Company may borrow under this Section, prepay under </w:t>
      </w:r>
      <w:r>
        <w:rPr>
          <w:rFonts w:ascii="Times New Roman;sans-serif" w:hAnsi="Times New Roman;sans-serif"/>
          <w:b w:val="false"/>
          <w:color w:val="000000"/>
          <w:sz w:val="22"/>
          <w:u w:val="single"/>
        </w:rPr>
        <w:t>Section 2.5</w:t>
      </w:r>
      <w:r>
        <w:rPr>
          <w:rFonts w:ascii="Times New Roman;sans-serif" w:hAnsi="Times New Roman;sans-serif"/>
          <w:b w:val="false"/>
          <w:color w:val="000000"/>
          <w:sz w:val="22"/>
        </w:rPr>
        <w:t xml:space="preserve">, and reborrow under this Section. Each Swingline Loan shall bear interest only at a rate based on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Margin. Immediately upon the making of a Swingline Loan, each Dollar Tranche Revolving Credit Lender shall be deemed to, and hereby irrevocably and unconditionally agrees to, purchase from the Swingline Lender a risk participation in such Swingline Loan in an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70"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amount equal to the product of such Dollar Tranche Revolving Credit Lender’s Applicable Percentage times the amount of such Swingline Loan.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Borrowing Procedures</w:t>
      </w:r>
      <w:r>
        <w:rPr>
          <w:rFonts w:ascii="Times New Roman;sans-serif" w:hAnsi="Times New Roman;sans-serif"/>
          <w:b w:val="false"/>
          <w:color w:val="000000"/>
          <w:sz w:val="22"/>
        </w:rPr>
        <w:t xml:space="preserve">. Each borrowing of Swingline Loans shall be made upon the Company’s irrevocable notice to the Swingline Lender and the Administrative Agent, which may be given by: (A) telephone or (B) a Swingline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telephonic notice must be confirmed promptly by delivery to the Swingline Lender and the Administrative Agent of a Swingline Loan Notice. Each such Swingline Loan Notice must be received by the Swingline Lender and the Administrative Agent not later than </w:t>
      </w:r>
      <w:r>
        <w:rPr>
          <w:rFonts w:ascii="Times New Roman;sans-serif" w:hAnsi="Times New Roman;sans-serif"/>
          <w:b w:val="false"/>
          <w:strike/>
          <w:color w:val="FF0000"/>
          <w:sz w:val="22"/>
        </w:rPr>
        <w:t>2:00 p.m</w:t>
      </w:r>
      <w:r>
        <w:rPr>
          <w:rFonts w:ascii="Times New Roman;sans-serif" w:hAnsi="Times New Roman;sans-serif"/>
          <w:b w:val="false"/>
          <w:color w:val="0000FF"/>
          <w:sz w:val="22"/>
          <w:u w:val="single"/>
        </w:rPr>
        <w:t>2:00 p.m</w:t>
      </w:r>
      <w:r>
        <w:rPr>
          <w:rFonts w:ascii="Times New Roman;sans-serif" w:hAnsi="Times New Roman;sans-serif"/>
          <w:b w:val="false"/>
          <w:color w:val="000000"/>
          <w:sz w:val="22"/>
        </w:rPr>
        <w:t xml:space="preserve">. on the requested borrowing date, and shall specify (i) the amount to be borrowed, which shall be a minimum of $100,000, and (ii) the requested date of the Swingline Loan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Dollar Tranche Revolving Credit Lender) prior to </w:t>
      </w:r>
      <w:r>
        <w:rPr>
          <w:rFonts w:ascii="Times New Roman;sans-serif" w:hAnsi="Times New Roman;sans-serif"/>
          <w:b w:val="false"/>
          <w:strike/>
          <w:color w:val="FF0000"/>
          <w:sz w:val="22"/>
        </w:rPr>
        <w:t>3:00 p.m</w:t>
      </w:r>
      <w:r>
        <w:rPr>
          <w:rFonts w:ascii="Times New Roman;sans-serif" w:hAnsi="Times New Roman;sans-serif"/>
          <w:b w:val="false"/>
          <w:color w:val="0000FF"/>
          <w:sz w:val="22"/>
          <w:u w:val="single"/>
        </w:rPr>
        <w:t>3:00 p.m</w:t>
      </w:r>
      <w:r>
        <w:rPr>
          <w:rFonts w:ascii="Times New Roman;sans-serif" w:hAnsi="Times New Roman;sans-serif"/>
          <w:b w:val="false"/>
          <w:color w:val="000000"/>
          <w:sz w:val="22"/>
        </w:rPr>
        <w:t xml:space="preserve">. on the date of the proposed borrowing of Swingline Loans (A) directing the Swingline Lender not to make such Swingline Loan as a result of the limitations set forth in the first proviso to the first sentence of </w:t>
      </w:r>
      <w:r>
        <w:rPr>
          <w:rFonts w:ascii="Times New Roman;sans-serif" w:hAnsi="Times New Roman;sans-serif"/>
          <w:b w:val="false"/>
          <w:color w:val="000000"/>
          <w:sz w:val="22"/>
          <w:u w:val="single"/>
        </w:rPr>
        <w:t>Section 2.4(a)</w:t>
      </w:r>
      <w:r>
        <w:rPr>
          <w:rFonts w:ascii="Times New Roman;sans-serif" w:hAnsi="Times New Roman;sans-serif"/>
          <w:b w:val="false"/>
          <w:color w:val="000000"/>
          <w:sz w:val="22"/>
        </w:rPr>
        <w:t xml:space="preserve">, or (B) that one or more of the applicable conditions specified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is not then satisfied, then, subject to the terms and conditions hereof, the Swingline Lender will, not later than </w:t>
      </w:r>
      <w:r>
        <w:rPr>
          <w:rFonts w:ascii="Times New Roman;sans-serif" w:hAnsi="Times New Roman;sans-serif"/>
          <w:b w:val="false"/>
          <w:strike/>
          <w:color w:val="FF0000"/>
          <w:sz w:val="22"/>
        </w:rPr>
        <w:t>3:00 p.m</w:t>
      </w:r>
      <w:r>
        <w:rPr>
          <w:rFonts w:ascii="Times New Roman;sans-serif" w:hAnsi="Times New Roman;sans-serif"/>
          <w:b w:val="false"/>
          <w:color w:val="0000FF"/>
          <w:sz w:val="22"/>
          <w:u w:val="single"/>
        </w:rPr>
        <w:t>3:00 p.m</w:t>
      </w:r>
      <w:r>
        <w:rPr>
          <w:rFonts w:ascii="Times New Roman;sans-serif" w:hAnsi="Times New Roman;sans-serif"/>
          <w:b w:val="false"/>
          <w:color w:val="000000"/>
          <w:sz w:val="22"/>
        </w:rPr>
        <w:t>. on the borrowing date specified in such Swingline Loan Notice, make the amount of its Swingline Loan available to the Company at its office by crediting the account of the Company on the books of the Swingline Lender in Same Day Funds.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Refinancing of Swingline Loans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The Swingline Lender at any time in its sole discretion may request, on behalf of the Company (which hereby irrevocably authorizes the Swingline Lender to so request on its behalf), that each Dollar Tranche Revolving Credit Lender make a Base Rate Loan in an amount equal to such Lender’s Applicable Percentage of the amount of Swingline Loans then outstanding. Such request shall be made in writing (which written request shall be deemed to be a Loan Notice for purposes hereof) and in accordance with the requirements of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xml:space="preserve">, without regard to the minimum and multiples specified therein for the principal amount of Base Rate Loans, but subject to the unutilized portion of the Revolving Credit Facility and the conditions set forth in </w:t>
      </w:r>
      <w:r>
        <w:rPr>
          <w:rFonts w:ascii="Times New Roman;sans-serif" w:hAnsi="Times New Roman;sans-serif"/>
          <w:b w:val="false"/>
          <w:color w:val="000000"/>
          <w:sz w:val="22"/>
          <w:u w:val="single"/>
        </w:rPr>
        <w:t>Section 5.2</w:t>
      </w:r>
      <w:r>
        <w:rPr>
          <w:rFonts w:ascii="Times New Roman;sans-serif" w:hAnsi="Times New Roman;sans-serif"/>
          <w:b w:val="false"/>
          <w:color w:val="000000"/>
          <w:sz w:val="22"/>
        </w:rPr>
        <w:t xml:space="preserve">. The Swingline Lender shall furnish the Company with a copy of the applicable Loan Notice promptly after delivering such notice to the Administrative Agent. Each Dollar Tranche Revolving Credit Lender shall make an amount equal to its Applicable Percentage of the amount specified in such Loan Notice available to the Administrative Agent in Same Day Funds (and the Administrative Agent may apply Cash Collateral available with respect to the applicable Swingline Loan) for the account of the Swingline Lender at the Administrative Agent’s Office for </w:t>
      </w:r>
      <w:r>
        <w:rPr>
          <w:rFonts w:ascii="Times New Roman;sans-serif" w:hAnsi="Times New Roman;sans-serif"/>
          <w:b w:val="false"/>
          <w:strike/>
          <w:color w:val="FF0000"/>
          <w:sz w:val="22"/>
        </w:rPr>
        <w:t>Dollar-denominated</w:t>
      </w:r>
      <w:r>
        <w:rPr>
          <w:rFonts w:ascii="Times New Roman;sans-serif" w:hAnsi="Times New Roman;sans-serif"/>
          <w:b w:val="false"/>
          <w:color w:val="0000FF"/>
          <w:sz w:val="22"/>
          <w:u w:val="single"/>
        </w:rPr>
        <w:t>Dollar-denominated</w:t>
      </w:r>
      <w:r>
        <w:rPr>
          <w:color w:val="000000"/>
        </w:rPr>
        <w:t xml:space="preserve"> </w:t>
      </w:r>
      <w:r>
        <w:rPr>
          <w:rFonts w:ascii="Times New Roman;sans-serif" w:hAnsi="Times New Roman;sans-serif"/>
          <w:b w:val="false"/>
          <w:color w:val="000000"/>
          <w:sz w:val="22"/>
        </w:rPr>
        <w:t xml:space="preserve">payments not later than </w:t>
      </w:r>
      <w:r>
        <w:rPr>
          <w:rFonts w:ascii="Times New Roman;sans-serif" w:hAnsi="Times New Roman;sans-serif"/>
          <w:b w:val="false"/>
          <w:strike/>
          <w:color w:val="FF0000"/>
          <w:sz w:val="22"/>
        </w:rPr>
        <w:t>1:00 p.m</w:t>
      </w:r>
      <w:r>
        <w:rPr>
          <w:rFonts w:ascii="Times New Roman;sans-serif" w:hAnsi="Times New Roman;sans-serif"/>
          <w:b w:val="false"/>
          <w:color w:val="0000FF"/>
          <w:sz w:val="22"/>
          <w:u w:val="single"/>
        </w:rPr>
        <w:t>1:00 p.m</w:t>
      </w:r>
      <w:r>
        <w:rPr>
          <w:rFonts w:ascii="Times New Roman;sans-serif" w:hAnsi="Times New Roman;sans-serif"/>
          <w:b w:val="false"/>
          <w:color w:val="000000"/>
          <w:sz w:val="22"/>
        </w:rPr>
        <w:t xml:space="preserve">. on the day specified in such Loan Notice, whereupon, subject to </w:t>
      </w:r>
      <w:r>
        <w:rPr>
          <w:rFonts w:ascii="Times New Roman;sans-serif" w:hAnsi="Times New Roman;sans-serif"/>
          <w:b w:val="false"/>
          <w:color w:val="000000"/>
          <w:sz w:val="22"/>
          <w:u w:val="single"/>
        </w:rPr>
        <w:t>Section 2.4(c)(ii)</w:t>
      </w:r>
      <w:r>
        <w:rPr>
          <w:rFonts w:ascii="Times New Roman;sans-serif" w:hAnsi="Times New Roman;sans-serif"/>
          <w:b w:val="false"/>
          <w:color w:val="000000"/>
          <w:sz w:val="22"/>
        </w:rPr>
        <w:t>, each Dollar Tranche Revolving Credit Lender that so makes funds available shall be deemed to have made a Base Rate Loan to the Company in such amount. The Administrative Agent shall remit the funds so received to the Swingline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If for any reason any Swingline Loan cannot be refinanced by such a borrowing of Revolving Credit Loans in accordance with </w:t>
      </w:r>
      <w:r>
        <w:rPr>
          <w:rFonts w:ascii="Times New Roman;sans-serif" w:hAnsi="Times New Roman;sans-serif"/>
          <w:b w:val="false"/>
          <w:color w:val="000000"/>
          <w:sz w:val="22"/>
          <w:u w:val="single"/>
        </w:rPr>
        <w:t>Section 2.4(c)(i)</w:t>
      </w:r>
      <w:r>
        <w:rPr>
          <w:rFonts w:ascii="Times New Roman;sans-serif" w:hAnsi="Times New Roman;sans-serif"/>
          <w:b w:val="false"/>
          <w:color w:val="000000"/>
          <w:sz w:val="22"/>
        </w:rPr>
        <w:t xml:space="preserve">, the request for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7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Base Rate Loans submitted by the Swingline Lender as set forth herein shall be deemed to be a request by the Swingline Lender that each of the Dollar Tranche Revolving Credit Lenders fund its risk participation in the relevant Swingline Loan and each Dollar Tranche Revolving Credit Lender’s payment to the Administrative Agent for the account of the Swingline Lender pursuant to </w:t>
      </w:r>
      <w:r>
        <w:rPr>
          <w:rFonts w:ascii="Times New Roman;sans-serif" w:hAnsi="Times New Roman;sans-serif"/>
          <w:b w:val="false"/>
          <w:color w:val="000000"/>
          <w:sz w:val="22"/>
          <w:u w:val="single"/>
        </w:rPr>
        <w:t>Section 2.4(c)(i)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If any Dollar Tranche Revolving Credit Lender fails to make available to the Administrative Agent for the account of the Swingline Lender any amount required to be paid by such Lender pursuant to the foregoing provisions of this </w:t>
      </w:r>
      <w:r>
        <w:rPr>
          <w:rFonts w:ascii="Times New Roman;sans-serif" w:hAnsi="Times New Roman;sans-serif"/>
          <w:b w:val="false"/>
          <w:color w:val="000000"/>
          <w:sz w:val="22"/>
          <w:u w:val="single"/>
        </w:rPr>
        <w:t>Section 2.4(c)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2.4(c)(i)</w:t>
      </w:r>
      <w:r>
        <w:rPr>
          <w:rFonts w:ascii="Times New Roman;sans-serif" w:hAnsi="Times New Roman;sans-serif"/>
          <w:b w:val="false"/>
          <w:color w:val="000000"/>
          <w:sz w:val="22"/>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customarily charged by the Swingline Lender in connection with the foregoing. If such Lender pays such amount (with interest and fees as aforesaid), the amount so paid shall constitute such Lender’s Revolving Credit Loan included in the relevant borrowing of Revolving Credit Loans or funded participation in the relevant Swingline Loan, as the case may be. A certificate of the Swingline Lender submitted to any Lender (through the Administrative Agent) with respect to any amounts owing under this clause (iii) shall be conclusive absent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(iv)    Each Dollar Tranche Revolving Credit Lender’s obligation to make Revolving Credit Loans or to purchase and fund risk participations in Swingline Loans pursuant to this </w:t>
      </w:r>
      <w:r>
        <w:rPr>
          <w:rFonts w:ascii="Times New Roman;sans-serif" w:hAnsi="Times New Roman;sans-serif"/>
          <w:b w:val="false"/>
          <w:color w:val="000000"/>
          <w:sz w:val="22"/>
          <w:u w:val="single"/>
        </w:rPr>
        <w:t>Section 2.4(c)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which such Lender may have against the Swingline Lender, the Company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Dollar Tranche Revolving Credit Lender’s obligation to make Revolving Credit Loans pursuant to this </w:t>
      </w:r>
      <w:r>
        <w:rPr>
          <w:rFonts w:ascii="Times New Roman;sans-serif" w:hAnsi="Times New Roman;sans-serif"/>
          <w:b w:val="false"/>
          <w:color w:val="000000"/>
          <w:sz w:val="22"/>
          <w:u w:val="single"/>
        </w:rPr>
        <w:t>Section 2.4(c)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(other than delivery by the Company of a Loan Notice). No such funding of risk participations shall relieve or otherwise impair the obligation of the Company to repay Swingline Loans, together with interest as provided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At any time after any Dollar Tranche Revolving Credit Lender has purchased and funded a risk participation in a Swingline Loan, if the Swingline Lender receives any payment on account of such Swingline Loan, the Swingline Lender will distribute to such Dollar Tranche Revolving Credit Lender its Applicable Percentage thereof in the same funds as those received by the Swingline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If any payment received by the Swingline Lender in respect of principal or interest on any Swingline Loan is required to be returned by the Swingline Lender under any of the circumstances described in </w:t>
      </w:r>
      <w:r>
        <w:rPr>
          <w:rFonts w:ascii="Times New Roman;sans-serif" w:hAnsi="Times New Roman;sans-serif"/>
          <w:b w:val="false"/>
          <w:color w:val="000000"/>
          <w:sz w:val="22"/>
          <w:u w:val="single"/>
        </w:rPr>
        <w:t>Section 13.5</w:t>
      </w:r>
      <w:r>
        <w:rPr>
          <w:color w:val="000000"/>
        </w:rPr>
        <w:t xml:space="preserve"> </w:t>
      </w:r>
      <w:r>
        <w:rPr>
          <w:rFonts w:ascii="Times New Roman;sans-serif" w:hAnsi="Times New Roman;sans-serif"/>
          <w:b w:val="false"/>
          <w:color w:val="000000"/>
          <w:sz w:val="22"/>
        </w:rPr>
        <w:t xml:space="preserve">(including pursuant to any settlement entered into by the Swingline Lender in its discretion), each Dollar Tranche Revolving Credit Lender shall pay to the Swingline Lender its Applicable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interest thereon from the date of such demand to the date such amount is returned, at a rate per annum equal to the applicable Overnight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72"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Rate. The Administrative Agent will make such demand upon the request of the Swingline Lender. The obligations of the Lenders under this clause shall survive the payment in full of the Obligations and the termination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Interest for Account of Swingline Lender</w:t>
      </w:r>
      <w:r>
        <w:rPr>
          <w:rFonts w:ascii="Times New Roman;sans-serif" w:hAnsi="Times New Roman;sans-serif"/>
          <w:b w:val="false"/>
          <w:color w:val="000000"/>
          <w:sz w:val="22"/>
        </w:rPr>
        <w:t>. The Swingline Lender shall be responsible for invoicing the Company for interest on the Swingline Loans. Until each Dollar Tranche Revolving Credit Lender funds its Base Rate Loan or risk participation pursuant to this Section to refinance such Dollar Tranche Revolving Credit Lender’s Applicable Percentage of any Swingline Loan, interest in respect of such Applicable Percentage shall be solely for the account of the Swingline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Payments Directly to Swingline Lender</w:t>
      </w:r>
      <w:r>
        <w:rPr>
          <w:rFonts w:ascii="Times New Roman;sans-serif" w:hAnsi="Times New Roman;sans-serif"/>
          <w:b w:val="false"/>
          <w:color w:val="000000"/>
          <w:sz w:val="22"/>
        </w:rPr>
        <w:t>. The Company shall make all payments of principal and interest in respect of the Swingline Loans directly to the Swingline Lender.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2.5    </w:t>
      </w:r>
      <w:r>
        <w:rPr>
          <w:rFonts w:ascii="Times New Roman;sans-serif" w:hAnsi="Times New Roman;sans-serif"/>
          <w:b/>
          <w:color w:val="000000"/>
          <w:sz w:val="22"/>
          <w:u w:val="single"/>
        </w:rPr>
        <w:t>Prepayments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Mandatory</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If (x) at any time, the outstanding principal amount of all Revolving Credit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sum of all outstanding Swingline Loans and L/C Obligations exceeds the Revolving Credit Commitment, (y) at any time, the outstanding principal amount of all Dollar Tranche Revolving Credit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sum of all outstanding Swingline Loans and L/C Obligations exceeds the Dollar Tranche Revolving Credit Commitment or (z) on any Computation Date, the outstanding principal amount of all Designated Currency Tranche Revolving Credit Loans exceeds 105% of the Designated Currency Tranche Revolving Credit Commitment, the Borrowers agree to repay immediately upon notice from the Administrative Agent, by payment to the Administrative Agent for the account of the Lenders, Extensions of Credit in an amount equal to such excess with each such repayment applied </w:t>
      </w:r>
      <w:r>
        <w:rPr>
          <w:rFonts w:ascii="Times New Roman;sans-serif" w:hAnsi="Times New Roman;sans-serif"/>
          <w:b w:val="false"/>
          <w:color w:val="000000"/>
          <w:sz w:val="22"/>
          <w:u w:val="single"/>
        </w:rPr>
        <w:t>first</w:t>
      </w:r>
      <w:r>
        <w:rPr>
          <w:color w:val="000000"/>
        </w:rPr>
        <w:t xml:space="preserve"> </w:t>
      </w:r>
      <w:r>
        <w:rPr>
          <w:rFonts w:ascii="Times New Roman;sans-serif" w:hAnsi="Times New Roman;sans-serif"/>
          <w:b w:val="false"/>
          <w:color w:val="000000"/>
          <w:sz w:val="22"/>
        </w:rPr>
        <w:t xml:space="preserve">to the principal amount of outstanding Swingline Loans, </w:t>
      </w:r>
      <w:r>
        <w:rPr>
          <w:rFonts w:ascii="Times New Roman;sans-serif" w:hAnsi="Times New Roman;sans-serif"/>
          <w:b w:val="false"/>
          <w:color w:val="000000"/>
          <w:sz w:val="22"/>
          <w:u w:val="single"/>
        </w:rPr>
        <w:t>second</w:t>
      </w:r>
      <w:r>
        <w:rPr>
          <w:color w:val="000000"/>
        </w:rPr>
        <w:t xml:space="preserve"> </w:t>
      </w:r>
      <w:r>
        <w:rPr>
          <w:rFonts w:ascii="Times New Roman;sans-serif" w:hAnsi="Times New Roman;sans-serif"/>
          <w:b w:val="false"/>
          <w:color w:val="000000"/>
          <w:sz w:val="22"/>
        </w:rPr>
        <w:t xml:space="preserve">to the principal amount of all outstanding Loans and </w:t>
      </w:r>
      <w:r>
        <w:rPr>
          <w:rFonts w:ascii="Times New Roman;sans-serif" w:hAnsi="Times New Roman;sans-serif"/>
          <w:b w:val="false"/>
          <w:color w:val="000000"/>
          <w:sz w:val="22"/>
          <w:u w:val="single"/>
        </w:rPr>
        <w:t>third,</w:t>
      </w:r>
      <w:r>
        <w:rPr>
          <w:color w:val="000000"/>
        </w:rPr>
        <w:t xml:space="preserve"> </w:t>
      </w:r>
      <w:r>
        <w:rPr>
          <w:rFonts w:ascii="Times New Roman;sans-serif" w:hAnsi="Times New Roman;sans-serif"/>
          <w:b w:val="false"/>
          <w:color w:val="000000"/>
          <w:sz w:val="22"/>
        </w:rPr>
        <w:t xml:space="preserve">with respect to any Letters of Credit then outstanding, a payment of cash collateral into a cash collateral account opened by the Administrative Agent, for the benefit of the Revolving Credit Lenders in an amount equal to the aggregate then undrawn and unexpired amount of such Letters of Credit (such cash collateral to be applied in accordance with </w:t>
      </w:r>
      <w:r>
        <w:rPr>
          <w:rFonts w:ascii="Times New Roman;sans-serif" w:hAnsi="Times New Roman;sans-serif"/>
          <w:b w:val="false"/>
          <w:color w:val="000000"/>
          <w:sz w:val="22"/>
          <w:u w:val="single"/>
        </w:rPr>
        <w:t>Section 11.2(b)</w:t>
      </w:r>
      <w:r>
        <w:rPr>
          <w:rFonts w:ascii="Times New Roman;sans-serif" w:hAnsi="Times New Roman;sans-serif"/>
          <w:b w:val="false"/>
          <w:color w:val="000000"/>
          <w:sz w:val="22"/>
        </w:rPr>
        <w:t>, and such cash collateral to be shared ratably between Letters of Credit issued and outstanding under the Dollar Tranche and the Designated Currency Tranche).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In the event and on each occasion that any Net Proceeds are received by or on behalf of the Company or any Restricted Subsidiary in respect of any Prepayment Event, the Company,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 xml:space="preserve">, shall, promptly, and in any event within five (5) Business Days after such Net Proceeds are received by the Company or such Restricted Subsidiary, prepay the Term Loan and any Incremental Term Loans as set forth below in an aggregate amount equal to 100% of such Net Proceeds;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any event described in clause (a) of the definition of the term “Prepayment Event”, if a Responsible Officer of the Company shall deliver to the Administrative Agent a certificate to the effect that the Company or the applicable Restricted Subsidiary, as the case may be, intends to apply the Net Proceeds from such event (or a portion thereof specified in such certificate), within 360 days after receipt of such Net Proceeds, to acquire real property, equipment or other assets (excluding inventory) to be used or useful in the business of the Company or the applicable Restricted Subsidiary, as the case may be, or to consummate a Permitted Acquisition, then no prepayment shall be required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73"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paragraph in respect of the Net Proceeds specified in such certificate;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to the extent any such Net Proceeds have not been so applied by the end of such 360-day period, then a prepayment shall be required at the end of such period in an amount equal to such Net Proceeds that have not been so applied. All prepayments under this clause (ii) shall be applied pro rata to prepay the Term Loan and any Incremental Term Loan (in each case, to be applied to installments thereof pro rata). No prepayments shall be required under this clause (ii) subsequent to the termination or expiry of the Term Loan Commitments and the full repayment of the outstanding Term Loan.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Notwithstanding any other provisions of this </w:t>
      </w:r>
      <w:r>
        <w:rPr>
          <w:rFonts w:ascii="Times New Roman;sans-serif" w:hAnsi="Times New Roman;sans-serif"/>
          <w:b w:val="false"/>
          <w:color w:val="000000"/>
          <w:sz w:val="22"/>
          <w:u w:val="single"/>
        </w:rPr>
        <w:t>Section 2.5(a)</w:t>
      </w:r>
      <w:r>
        <w:rPr>
          <w:color w:val="000000"/>
        </w:rPr>
        <w:t xml:space="preserve"> </w:t>
      </w:r>
      <w:r>
        <w:rPr>
          <w:rFonts w:ascii="Times New Roman;sans-serif" w:hAnsi="Times New Roman;sans-serif"/>
          <w:b w:val="false"/>
          <w:color w:val="000000"/>
          <w:sz w:val="22"/>
        </w:rPr>
        <w:t xml:space="preserve">to the contrary, (i) to the extent that any Net Proceeds in respect of any Prepayment Event by a Foreign Subsidiary is prohibited or delayed by Applicable Law from being repatriated to the United States, the portion of such Net Proceeds so affected will not be required to be applied to repay the Term Loan at the times provided above but may be retained by the applicable Foreign Subsidiary so long, but only so long, as the Applicable Law will not permit repatriation to the United States (the Company hereby agreeing to cause the applicable Foreign Subsidiary to promptly use commercially reasonable efforts to take all actions reasonably required by the Applicable Law to permit such repatriation), and once such repatriation of any of such affected Net Proceeds is permitted under the Applicable Law, such repatriation will be effected and such repatriated Net Proceeds will be promptly applied (net of additional taxes payable or reserved against as a result thereof) to the repayment of the Term Loan pursuant to </w:t>
      </w:r>
      <w:r>
        <w:rPr>
          <w:rFonts w:ascii="Times New Roman;sans-serif" w:hAnsi="Times New Roman;sans-serif"/>
          <w:b w:val="false"/>
          <w:color w:val="000000"/>
          <w:sz w:val="22"/>
          <w:u w:val="single"/>
        </w:rPr>
        <w:t>Section 2.5(a)(ii</w:t>
      </w:r>
      <w:r>
        <w:rPr>
          <w:rFonts w:ascii="Times New Roman;sans-serif" w:hAnsi="Times New Roman;sans-serif"/>
          <w:b w:val="false"/>
          <w:color w:val="000000"/>
          <w:sz w:val="22"/>
        </w:rPr>
        <w:t>), to the extent provided herein and (ii) to the extent that the Company has determined in good faith that repatriation of any or all of such Net Proceeds would have a material adverse tax consequence, the Net Proceeds so affected may be retained by the applicable Foreign Subsidiary.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Optional</w:t>
      </w:r>
      <w:r>
        <w:rPr>
          <w:rFonts w:ascii="Times New Roman;sans-serif" w:hAnsi="Times New Roman;sans-serif"/>
          <w:b w:val="false"/>
          <w:color w:val="000000"/>
          <w:sz w:val="22"/>
        </w:rPr>
        <w:t xml:space="preserve">. Any Borrower may at any time and from time to time prepay, without premium or penalty but including any amount required to be paid pursuant to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 xml:space="preserve">hereof, Revolving Credit Loans, the Term Loan, Incremental Term Loans and Swingline Loans, in whole or in part, with irrevocable prior written notice to the Administrative Agent substantially in the form attached hereto as </w:t>
      </w:r>
      <w:r>
        <w:rPr>
          <w:rFonts w:ascii="Times New Roman;sans-serif" w:hAnsi="Times New Roman;sans-serif"/>
          <w:b/>
          <w:i/>
          <w:color w:val="000000"/>
          <w:sz w:val="22"/>
        </w:rPr>
        <w:t xml:space="preserve">Exhibit D </w:t>
      </w: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Notice of Prepayment</w:t>
      </w:r>
      <w:r>
        <w:rPr>
          <w:color w:val="000000"/>
        </w:rPr>
        <w:t>”</w:t>
      </w:r>
      <w:r>
        <w:rPr>
          <w:rFonts w:ascii="Times New Roman;sans-serif" w:hAnsi="Times New Roman;sans-serif"/>
          <w:b w:val="false"/>
          <w:color w:val="000000"/>
          <w:sz w:val="22"/>
        </w:rPr>
        <w:t xml:space="preserve">) given not later than 11:00 a.m. (i) on the same Business Day as each Base Rate Loan and each Swingline Loan, (ii) at least </w:t>
      </w:r>
      <w:r>
        <w:rPr>
          <w:rFonts w:ascii="Times New Roman;sans-serif" w:hAnsi="Times New Roman;sans-serif"/>
          <w:b w:val="false"/>
          <w:color w:val="0000FF"/>
          <w:sz w:val="22"/>
          <w:u w:val="single"/>
        </w:rPr>
        <w:t xml:space="preserve">two (2) Business Days (or such shorter period as agreed to by the Administrative Agent) prior to the date of prepayment before each Term SOFR Loan, (iii) at least </w:t>
      </w:r>
      <w:r>
        <w:rPr>
          <w:rFonts w:ascii="Times New Roman;sans-serif" w:hAnsi="Times New Roman;sans-serif"/>
          <w:b w:val="false"/>
          <w:color w:val="000000"/>
          <w:sz w:val="22"/>
        </w:rPr>
        <w:t xml:space="preserve">three (3) Business Days </w:t>
      </w:r>
      <w:r>
        <w:rPr>
          <w:rFonts w:ascii="Times New Roman;sans-serif" w:hAnsi="Times New Roman;sans-serif"/>
          <w:b w:val="false"/>
          <w:color w:val="0000FF"/>
          <w:sz w:val="22"/>
          <w:u w:val="single"/>
        </w:rPr>
        <w:t xml:space="preserve">(or such shorter period as agreed to by the Administrative Agent) </w:t>
      </w:r>
      <w:r>
        <w:rPr>
          <w:rFonts w:ascii="Times New Roman;sans-serif" w:hAnsi="Times New Roman;sans-serif"/>
          <w:b w:val="false"/>
          <w:color w:val="000000"/>
          <w:sz w:val="22"/>
        </w:rPr>
        <w:t xml:space="preserve">before each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Daily SOFR</w:t>
      </w:r>
      <w:r>
        <w:rPr>
          <w:color w:val="000000"/>
        </w:rPr>
        <w:t xml:space="preserve"> </w:t>
      </w:r>
      <w:r>
        <w:rPr>
          <w:rFonts w:ascii="Times New Roman;sans-serif" w:hAnsi="Times New Roman;sans-serif"/>
          <w:b w:val="false"/>
          <w:color w:val="000000"/>
          <w:sz w:val="22"/>
        </w:rPr>
        <w:t>Loan</w:t>
      </w:r>
      <w:r>
        <w:rPr>
          <w:strike/>
          <w:color w:val="FF0000"/>
        </w:rPr>
        <w:t xml:space="preserve"> </w:t>
      </w:r>
      <w:r>
        <w:rPr>
          <w:rFonts w:ascii="Times New Roman;sans-serif" w:hAnsi="Times New Roman;sans-serif"/>
          <w:b w:val="false"/>
          <w:strike/>
          <w:color w:val="FF0000"/>
          <w:sz w:val="22"/>
        </w:rPr>
        <w:t>under the Dollar Tranche</w:t>
      </w:r>
      <w:r>
        <w:rPr>
          <w:rFonts w:ascii="Times New Roman;sans-serif" w:hAnsi="Times New Roman;sans-serif"/>
          <w:b w:val="false"/>
          <w:color w:val="000000"/>
          <w:sz w:val="22"/>
        </w:rPr>
        <w:t>, and (</w:t>
      </w:r>
      <w:r>
        <w:rPr>
          <w:rFonts w:ascii="Times New Roman;sans-serif" w:hAnsi="Times New Roman;sans-serif"/>
          <w:b w:val="false"/>
          <w:strike/>
          <w:color w:val="FF0000"/>
          <w:sz w:val="22"/>
        </w:rPr>
        <w:t>iii</w:t>
      </w:r>
      <w:r>
        <w:rPr>
          <w:rFonts w:ascii="Times New Roman;sans-serif" w:hAnsi="Times New Roman;sans-serif"/>
          <w:b w:val="false"/>
          <w:color w:val="0000FF"/>
          <w:sz w:val="22"/>
          <w:u w:val="single"/>
        </w:rPr>
        <w:t>iv</w:t>
      </w:r>
      <w:r>
        <w:rPr>
          <w:rFonts w:ascii="Times New Roman;sans-serif" w:hAnsi="Times New Roman;sans-serif"/>
          <w:b w:val="false"/>
          <w:color w:val="000000"/>
          <w:sz w:val="22"/>
        </w:rPr>
        <w:t xml:space="preserve">) at least four (4) Business Days (or </w:t>
      </w:r>
      <w:r>
        <w:rPr>
          <w:rFonts w:ascii="Times New Roman;sans-serif" w:hAnsi="Times New Roman;sans-serif"/>
          <w:b w:val="false"/>
          <w:strike/>
          <w:color w:val="FF0000"/>
          <w:sz w:val="22"/>
        </w:rPr>
        <w:t>five (5</w:t>
      </w:r>
      <w:r>
        <w:rPr>
          <w:rFonts w:ascii="Times New Roman;sans-serif" w:hAnsi="Times New Roman;sans-serif"/>
          <w:b w:val="false"/>
          <w:color w:val="0000FF"/>
          <w:sz w:val="22"/>
          <w:u w:val="single"/>
        </w:rPr>
        <w:t>such shorter period as agreed to by the Administrative Agent) (or five (5) (or such shorter period as agreed to by the Administrative Agent</w:t>
      </w:r>
      <w:r>
        <w:rPr>
          <w:rFonts w:ascii="Times New Roman;sans-serif" w:hAnsi="Times New Roman;sans-serif"/>
          <w:b w:val="false"/>
          <w:color w:val="000000"/>
          <w:sz w:val="22"/>
        </w:rPr>
        <w:t>), in the case of prepayment of Loans denominated in Special Notice Currencies) before each Loan under the Designated Currency Tranche (or, in each case of clause (i) through clause (</w:t>
      </w:r>
      <w:r>
        <w:rPr>
          <w:rFonts w:ascii="Times New Roman;sans-serif" w:hAnsi="Times New Roman;sans-serif"/>
          <w:b w:val="false"/>
          <w:strike/>
          <w:color w:val="FF0000"/>
          <w:sz w:val="22"/>
        </w:rPr>
        <w:t>iii</w:t>
      </w:r>
      <w:r>
        <w:rPr>
          <w:rFonts w:ascii="Times New Roman;sans-serif" w:hAnsi="Times New Roman;sans-serif"/>
          <w:b w:val="false"/>
          <w:color w:val="0000FF"/>
          <w:sz w:val="22"/>
          <w:u w:val="single"/>
        </w:rPr>
        <w:t>iv</w:t>
      </w:r>
      <w:r>
        <w:rPr>
          <w:rFonts w:ascii="Times New Roman;sans-serif" w:hAnsi="Times New Roman;sans-serif"/>
          <w:b w:val="false"/>
          <w:color w:val="000000"/>
          <w:sz w:val="22"/>
        </w:rPr>
        <w:t xml:space="preserve">), such shorter time as agreed to by the Administrative Agent), specifying the date and amount of prepayment and whether the prepayment is of Dollar Tranche Revolving Credit Loans, Designated Currency Tranche Revolving Credit Loans, Term Loan, Incremental Term Loan, Swingline Loans,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w:t>
      </w:r>
      <w:r>
        <w:rPr>
          <w:color w:val="000000"/>
        </w:rPr>
        <w:t xml:space="preserve"> </w:t>
      </w:r>
      <w:r>
        <w:rPr>
          <w:rFonts w:ascii="Times New Roman;sans-serif" w:hAnsi="Times New Roman;sans-serif"/>
          <w:b w:val="false"/>
          <w:color w:val="000000"/>
          <w:sz w:val="22"/>
        </w:rPr>
        <w:t>Loans</w:t>
      </w:r>
      <w:r>
        <w:rPr>
          <w:rFonts w:ascii="Times New Roman;sans-serif" w:hAnsi="Times New Roman;sans-serif"/>
          <w:b w:val="false"/>
          <w:color w:val="0000FF"/>
          <w:sz w:val="22"/>
          <w:u w:val="single"/>
        </w:rPr>
        <w:t>, Daily SOFR Loans</w:t>
      </w:r>
      <w:r>
        <w:rPr>
          <w:rFonts w:ascii="Times New Roman;sans-serif" w:hAnsi="Times New Roman;sans-serif"/>
          <w:b w:val="false"/>
          <w:color w:val="000000"/>
          <w:sz w:val="22"/>
        </w:rPr>
        <w:t xml:space="preserve">, Base Rate Loans or a combination thereof, and, if of a combination thereof, the amount allocable to each. Upon receipt of such notice, the Administrative Agent shall promptly notify each Dollar Tranche Revolving Credit Lender, each Designated Currency Tranche Revolving Credit Lender, Term Loan Lender, Incremental Term Lender or Swingline Lender, as applicable. In the absence of direction otherwise in such Notice of Prepayment, any optional prepayment of Term Loans or Incremental Term Loans under this </w:t>
      </w:r>
      <w:r>
        <w:rPr>
          <w:rFonts w:ascii="Times New Roman;sans-serif" w:hAnsi="Times New Roman;sans-serif"/>
          <w:b w:val="false"/>
          <w:color w:val="000000"/>
          <w:sz w:val="22"/>
          <w:u w:val="single"/>
        </w:rPr>
        <w:t>Section 2.5(b)</w:t>
      </w:r>
      <w:r>
        <w:rPr>
          <w:color w:val="000000"/>
        </w:rPr>
        <w:t xml:space="preserve"> </w:t>
      </w:r>
      <w:r>
        <w:rPr>
          <w:rFonts w:ascii="Times New Roman;sans-serif" w:hAnsi="Times New Roman;sans-serif"/>
          <w:b w:val="false"/>
          <w:color w:val="000000"/>
          <w:sz w:val="22"/>
        </w:rPr>
        <w:t xml:space="preserve">shall be applied to the remaining installments in order of maturity. If any such notice is given, the amount specified in such notice shall be due and payable on the date set forth in such notice. Partial prepayments shall be in an aggregate Dollar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74"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Amount of $1,000,000 or a whole multiple of $100,000 in excess thereof </w:t>
      </w:r>
      <w:r>
        <w:rPr>
          <w:rFonts w:ascii="Times New Roman;sans-serif" w:hAnsi="Times New Roman;sans-serif"/>
          <w:b w:val="false"/>
          <w:color w:val="0000FF"/>
          <w:sz w:val="22"/>
          <w:u w:val="single"/>
        </w:rPr>
        <w:t xml:space="preserve">except </w:t>
      </w:r>
      <w:r>
        <w:rPr>
          <w:rFonts w:ascii="Times New Roman;sans-serif" w:hAnsi="Times New Roman;sans-serif"/>
          <w:b w:val="false"/>
          <w:color w:val="000000"/>
          <w:sz w:val="22"/>
        </w:rPr>
        <w:t xml:space="preserve">with respect to </w:t>
      </w:r>
      <w:r>
        <w:rPr>
          <w:rFonts w:ascii="Times New Roman;sans-serif" w:hAnsi="Times New Roman;sans-serif"/>
          <w:b w:val="false"/>
          <w:strike/>
          <w:color w:val="FF0000"/>
          <w:sz w:val="22"/>
        </w:rPr>
        <w:t xml:space="preserve">Base Rate Loans (other than </w:t>
      </w:r>
      <w:r>
        <w:rPr>
          <w:rFonts w:ascii="Times New Roman;sans-serif" w:hAnsi="Times New Roman;sans-serif"/>
          <w:b w:val="false"/>
          <w:color w:val="000000"/>
          <w:sz w:val="22"/>
        </w:rPr>
        <w:t>Swingline Loans</w:t>
      </w:r>
      <w:r>
        <w:rPr>
          <w:rFonts w:ascii="Times New Roman;sans-serif" w:hAnsi="Times New Roman;sans-serif"/>
          <w:b w:val="false"/>
          <w:strike/>
          <w:color w:val="FF0000"/>
          <w:sz w:val="22"/>
        </w:rPr>
        <w:t>) and Eurocurrency Rate Loans and</w:t>
      </w:r>
      <w:r>
        <w:rPr>
          <w:rFonts w:ascii="Times New Roman;sans-serif" w:hAnsi="Times New Roman;sans-serif"/>
          <w:b w:val="false"/>
          <w:color w:val="0000FF"/>
          <w:sz w:val="22"/>
          <w:u w:val="single"/>
        </w:rPr>
        <w:t>, which shall be in an aggregate Dollar Amount of</w:t>
      </w:r>
      <w:r>
        <w:rPr>
          <w:color w:val="000000"/>
        </w:rPr>
        <w:t xml:space="preserve"> </w:t>
      </w:r>
      <w:r>
        <w:rPr>
          <w:rFonts w:ascii="Times New Roman;sans-serif" w:hAnsi="Times New Roman;sans-serif"/>
          <w:b w:val="false"/>
          <w:color w:val="000000"/>
          <w:sz w:val="22"/>
        </w:rPr>
        <w:t>$100,000 or a whole multiple of $100,000 in excess thereof</w:t>
      </w:r>
      <w:r>
        <w:rPr>
          <w:strike/>
          <w:color w:val="FF0000"/>
        </w:rPr>
        <w:t xml:space="preserve"> </w:t>
      </w:r>
      <w:r>
        <w:rPr>
          <w:rFonts w:ascii="Times New Roman;sans-serif" w:hAnsi="Times New Roman;sans-serif"/>
          <w:b w:val="false"/>
          <w:strike/>
          <w:color w:val="FF0000"/>
          <w:sz w:val="22"/>
        </w:rPr>
        <w:t>with respect to Swingline Loans</w:t>
      </w:r>
      <w:r>
        <w:rPr>
          <w:rFonts w:ascii="Times New Roman;sans-serif" w:hAnsi="Times New Roman;sans-serif"/>
          <w:b w:val="false"/>
          <w:color w:val="000000"/>
          <w:sz w:val="22"/>
        </w:rPr>
        <w:t xml:space="preserve">. A Notice of Prepayment received after 11:00 a.m. shall be deemed received on the next Business Day. Each such repayment shall be accompanied by any amount required to be paid pursuant to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 xml:space="preserve">hereof. Notwithstanding the foregoing, the applicable Borrower may rescind or postpone any Notice of Prepayment if such prepayment would have resulted from a refinancing of a Credit Facility, which refinancing shall not be consummated or otherwise shall be delayed;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such Borrower shall pay all amounts required pursuant to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as a result of the rescission or postponement of such notice.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 xml:space="preserve">Limitation on Prepayment of </w:t>
      </w:r>
      <w:r>
        <w:rPr>
          <w:rFonts w:ascii="Times New Roman;sans-serif" w:hAnsi="Times New Roman;sans-serif"/>
          <w:b w:val="false"/>
          <w:strike/>
          <w:color w:val="FF0000"/>
          <w:sz w:val="22"/>
          <w:u w:val="single"/>
        </w:rPr>
        <w:t>Eurocurrency</w:t>
      </w:r>
      <w:r>
        <w:rPr>
          <w:rFonts w:ascii="Times New Roman;sans-serif" w:hAnsi="Times New Roman;sans-serif"/>
          <w:b w:val="false"/>
          <w:color w:val="0000FF"/>
          <w:sz w:val="22"/>
          <w:u w:val="single"/>
        </w:rPr>
        <w:t>Term SOFR Loans and Designated Currency</w:t>
      </w:r>
      <w:r>
        <w:rPr>
          <w:color w:val="000000"/>
          <w:u w:val="single"/>
        </w:rPr>
        <w:t xml:space="preserve"> </w:t>
      </w:r>
      <w:r>
        <w:rPr>
          <w:rFonts w:ascii="Times New Roman;sans-serif" w:hAnsi="Times New Roman;sans-serif"/>
          <w:b w:val="false"/>
          <w:color w:val="000000"/>
          <w:sz w:val="22"/>
          <w:u w:val="single"/>
        </w:rPr>
        <w:t>Rate Loans</w:t>
      </w:r>
      <w:r>
        <w:rPr>
          <w:rFonts w:ascii="Times New Roman;sans-serif" w:hAnsi="Times New Roman;sans-serif"/>
          <w:b w:val="false"/>
          <w:color w:val="000000"/>
          <w:sz w:val="22"/>
        </w:rPr>
        <w:t xml:space="preserve">. No Borrower may prepay any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 or Designated Currency</w:t>
      </w:r>
      <w:r>
        <w:rPr>
          <w:color w:val="000000"/>
        </w:rPr>
        <w:t xml:space="preserve"> </w:t>
      </w:r>
      <w:r>
        <w:rPr>
          <w:rFonts w:ascii="Times New Roman;sans-serif" w:hAnsi="Times New Roman;sans-serif"/>
          <w:b w:val="false"/>
          <w:color w:val="000000"/>
          <w:sz w:val="22"/>
        </w:rPr>
        <w:t xml:space="preserve">Rate Loan on any day other than on the last day of the Interest Period </w:t>
      </w:r>
      <w:r>
        <w:rPr>
          <w:rFonts w:ascii="Times New Roman;sans-serif" w:hAnsi="Times New Roman;sans-serif"/>
          <w:b w:val="false"/>
          <w:color w:val="0000FF"/>
          <w:sz w:val="22"/>
          <w:u w:val="single"/>
        </w:rPr>
        <w:t xml:space="preserve">or payment period </w:t>
      </w:r>
      <w:r>
        <w:rPr>
          <w:rFonts w:ascii="Times New Roman;sans-serif" w:hAnsi="Times New Roman;sans-serif"/>
          <w:b w:val="false"/>
          <w:color w:val="000000"/>
          <w:sz w:val="22"/>
        </w:rPr>
        <w:t xml:space="preserve">applicable thereto unless such prepayment is accompanied by any amount required to be paid pursuant to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Bank Product Obligations Unaffected</w:t>
      </w:r>
      <w:r>
        <w:rPr>
          <w:rFonts w:ascii="Times New Roman;sans-serif" w:hAnsi="Times New Roman;sans-serif"/>
          <w:b w:val="false"/>
          <w:color w:val="000000"/>
          <w:sz w:val="22"/>
        </w:rPr>
        <w:t>. Any repayment or prepayment made pursuant to this Section shall not affect the Borrowers’ obligation to continue to make payments under any Bank Product, which shall remain in full force and effect notwithstanding such repayment or prepayment, subject to the terms of such Bank Product.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2.6    </w:t>
      </w:r>
      <w:r>
        <w:rPr>
          <w:rFonts w:ascii="Times New Roman;sans-serif" w:hAnsi="Times New Roman;sans-serif"/>
          <w:b/>
          <w:color w:val="000000"/>
          <w:sz w:val="22"/>
          <w:u w:val="single"/>
        </w:rPr>
        <w:t>Termination or Reduction of Commitments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Voluntary Reduction</w:t>
      </w:r>
      <w:r>
        <w:rPr>
          <w:rFonts w:ascii="Times New Roman;sans-serif" w:hAnsi="Times New Roman;sans-serif"/>
          <w:b w:val="false"/>
          <w:color w:val="000000"/>
          <w:sz w:val="22"/>
        </w:rPr>
        <w:t xml:space="preserve">. The Company shall have the right at any time and from time to time, upon at least five (5) Business Days’ (or such shorter period as may be agreed by the Administrative Agent) prior written notice to the Administrative Agent, to permanently reduce, without premium or penalty, but including any amount required to be paid pursuant to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hereof, (i) the entire Revolving Credit Commitment under both Tranches (with a corresponding permanent reduction of the Swingline Commitment and the L/C Commitment) at any time or (ii) portions of the Dollar Tranche Revolving Credit Commitment or the Designated Currency Tranche Revolving Credit Commitment, from time to time, in each case in an aggregate principal Dollar Amount of not less than $2,500,000 or any whole multiple of $1,000,000 in excess thereof. Any reduction of the Dollar Tranche Revolving Credit Commitment or the Designated Currency Tranche Revolving Credit Commitment, as applicable, shall be applied to the Dollar Tranche Revolving Credit Commitment or the Designated Currency Tranche Revolving Credit Commitment of each Dollar Tranche Revolving Credit Lender or Designated Currency Tranche Revolving Credit Lender according to its Dollar Tranche Revolving Credit Commitment Percentage or Designated Currency Tranche Revolving Credit Commitment Percentage, as applicable. All commitment fees accrued until the effective date of any termination of the Revolving Credit Commitment shall be paid on the effective date of such termination.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Corresponding Payment</w:t>
      </w:r>
      <w:r>
        <w:rPr>
          <w:rFonts w:ascii="Times New Roman;sans-serif" w:hAnsi="Times New Roman;sans-serif"/>
          <w:b w:val="false"/>
          <w:color w:val="000000"/>
          <w:sz w:val="22"/>
        </w:rPr>
        <w:t xml:space="preserve">. Each permanent reduction permitted or required pursuant to this Section shall be accompanied by a payment of principal sufficient to reduce the aggregate outstanding Revolving Credit Loans, Swingline Loans, and L/C Obligations, as applicable, after such reduction to the Revolving Credit Commitment (and, if applicable, the Swingline Commitment), as so reduced, and if the Revolving Credit Commitment as so reduced is less than the aggregate amount of all outstanding Letters of Credit, the Borrowers shall be required to deposit cash collateral in a cash collateral account opened by the Administrative Agent in an amount equal to the aggregate then undrawn and unexpired amount of such Letters of Credit. Such cash collateral shall be applied in accordance with </w:t>
      </w:r>
      <w:r>
        <w:rPr>
          <w:rFonts w:ascii="Times New Roman;sans-serif" w:hAnsi="Times New Roman;sans-serif"/>
          <w:b w:val="false"/>
          <w:color w:val="000000"/>
          <w:sz w:val="22"/>
          <w:u w:val="single"/>
        </w:rPr>
        <w:t>Section 11.2(b</w:t>
      </w:r>
      <w:r>
        <w:rPr>
          <w:rFonts w:ascii="Times New Roman;sans-serif" w:hAnsi="Times New Roman;sans-serif"/>
          <w:b w:val="false"/>
          <w:color w:val="000000"/>
          <w:sz w:val="22"/>
        </w:rPr>
        <w:t xml:space="preserve">). If only one Tranche is being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75"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reduced, such cash collateral shall be applied toward the Letters of Credit issued under such Tranche. Any reduction of the Revolving Credit Commitment to zero shall be accompanied by payment of all outstanding Revolving Credit Loans and Swingline Loans (and furnishing of cash collateral satisfactory to the Administrative Agent for all L/C Obligations) and shall result in the termination of the Revolving Credit Commitments and the Revolving Credit Facility. Such cash collateral shall be applied in accordance with </w:t>
      </w:r>
      <w:r>
        <w:rPr>
          <w:rFonts w:ascii="Times New Roman;sans-serif" w:hAnsi="Times New Roman;sans-serif"/>
          <w:b w:val="false"/>
          <w:color w:val="000000"/>
          <w:sz w:val="22"/>
          <w:u w:val="single"/>
        </w:rPr>
        <w:t>Section 11.2(b</w:t>
      </w:r>
      <w:r>
        <w:rPr>
          <w:rFonts w:ascii="Times New Roman;sans-serif" w:hAnsi="Times New Roman;sans-serif"/>
          <w:b w:val="false"/>
          <w:color w:val="000000"/>
          <w:sz w:val="22"/>
        </w:rPr>
        <w:t xml:space="preserve">). If the reduction of the Revolving Credit Commitment requires the repayment of any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Loans or Designated Currency</w:t>
      </w:r>
      <w:r>
        <w:rPr>
          <w:color w:val="000000"/>
        </w:rPr>
        <w:t xml:space="preserve"> </w:t>
      </w:r>
      <w:r>
        <w:rPr>
          <w:rFonts w:ascii="Times New Roman;sans-serif" w:hAnsi="Times New Roman;sans-serif"/>
          <w:b w:val="false"/>
          <w:color w:val="000000"/>
          <w:sz w:val="22"/>
        </w:rPr>
        <w:t xml:space="preserve">Rate Loan, such repayment shall be accompanied by any amount required to be paid pursuant to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2.7    </w:t>
      </w:r>
      <w:r>
        <w:rPr>
          <w:rFonts w:ascii="Times New Roman;sans-serif" w:hAnsi="Times New Roman;sans-serif"/>
          <w:b/>
          <w:color w:val="000000"/>
          <w:sz w:val="22"/>
          <w:u w:val="single"/>
        </w:rPr>
        <w:t>Repayment of Loans</w:t>
      </w:r>
      <w:r>
        <w:rPr>
          <w:rFonts w:ascii="Times New Roman;sans-serif" w:hAnsi="Times New Roman;sans-serif"/>
          <w:b w:val="false"/>
          <w:color w:val="000000"/>
          <w:sz w:val="22"/>
        </w:rPr>
        <w:t xml:space="preserve">. In each case,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Term Loans</w:t>
      </w:r>
      <w:r>
        <w:rPr>
          <w:rFonts w:ascii="Times New Roman;sans-serif" w:hAnsi="Times New Roman;sans-serif"/>
          <w:b w:val="false"/>
          <w:color w:val="000000"/>
          <w:sz w:val="22"/>
        </w:rPr>
        <w:t xml:space="preserve">. On the last Business Day of each calendar quarter during the term of this Agreement, commencing on </w:t>
      </w:r>
      <w:r>
        <w:rPr>
          <w:rFonts w:ascii="Times New Roman;sans-serif" w:hAnsi="Times New Roman;sans-serif"/>
          <w:b w:val="false"/>
          <w:strike/>
          <w:color w:val="FF0000"/>
          <w:sz w:val="22"/>
        </w:rPr>
        <w:t>March 31</w:t>
      </w:r>
      <w:r>
        <w:rPr>
          <w:rFonts w:ascii="Times New Roman;sans-serif" w:hAnsi="Times New Roman;sans-serif"/>
          <w:b w:val="false"/>
          <w:color w:val="0000FF"/>
          <w:sz w:val="22"/>
          <w:u w:val="single"/>
        </w:rPr>
        <w:t>September 30</w:t>
      </w:r>
      <w:r>
        <w:rPr>
          <w:rFonts w:ascii="Times New Roman;sans-serif" w:hAnsi="Times New Roman;sans-serif"/>
          <w:b w:val="false"/>
          <w:color w:val="000000"/>
          <w:sz w:val="22"/>
        </w:rPr>
        <w:t xml:space="preserve">, </w:t>
      </w:r>
      <w:r>
        <w:rPr>
          <w:rFonts w:ascii="Times New Roman;sans-serif" w:hAnsi="Times New Roman;sans-serif"/>
          <w:b w:val="false"/>
          <w:strike/>
          <w:color w:val="FF0000"/>
          <w:sz w:val="22"/>
        </w:rPr>
        <w:t>2021</w:t>
      </w:r>
      <w:r>
        <w:rPr>
          <w:rFonts w:ascii="Times New Roman;sans-serif" w:hAnsi="Times New Roman;sans-serif"/>
          <w:b w:val="false"/>
          <w:color w:val="0000FF"/>
          <w:sz w:val="22"/>
          <w:u w:val="single"/>
        </w:rPr>
        <w:t>2024</w:t>
      </w:r>
      <w:r>
        <w:rPr>
          <w:rFonts w:ascii="Times New Roman;sans-serif" w:hAnsi="Times New Roman;sans-serif"/>
          <w:b w:val="false"/>
          <w:color w:val="000000"/>
          <w:sz w:val="22"/>
        </w:rPr>
        <w:t>, the Company shall repay to the Term Loan Lenders a portion of the aggregate principal amount of all Term Loans then outstanding in an amount equal to $</w:t>
      </w:r>
      <w:r>
        <w:rPr>
          <w:rFonts w:ascii="Times New Roman;sans-serif" w:hAnsi="Times New Roman;sans-serif"/>
          <w:b w:val="false"/>
          <w:strike/>
          <w:color w:val="FF0000"/>
          <w:sz w:val="22"/>
        </w:rPr>
        <w:t>2,500,000</w:t>
      </w:r>
      <w:r>
        <w:rPr>
          <w:rFonts w:ascii="Times New Roman;sans-serif" w:hAnsi="Times New Roman;sans-serif"/>
          <w:b w:val="false"/>
          <w:color w:val="0000FF"/>
          <w:sz w:val="22"/>
          <w:u w:val="single"/>
        </w:rPr>
        <w:t>5,000,000</w:t>
      </w:r>
      <w:r>
        <w:rPr>
          <w:color w:val="000000"/>
        </w:rPr>
        <w:t xml:space="preserve"> </w:t>
      </w:r>
      <w:r>
        <w:rPr>
          <w:rFonts w:ascii="Times New Roman;sans-serif" w:hAnsi="Times New Roman;sans-serif"/>
          <w:b w:val="false"/>
          <w:color w:val="000000"/>
          <w:sz w:val="22"/>
        </w:rPr>
        <w:t xml:space="preserve">(which amount shall be reduced as a result of the application of prepayments in accordance with the order of priority set forth in </w:t>
      </w:r>
      <w:r>
        <w:rPr>
          <w:rFonts w:ascii="Times New Roman;sans-serif" w:hAnsi="Times New Roman;sans-serif"/>
          <w:b w:val="false"/>
          <w:color w:val="000000"/>
          <w:sz w:val="22"/>
          <w:u w:val="single"/>
        </w:rPr>
        <w:t>Section 2.5</w:t>
      </w:r>
      <w:r>
        <w:rPr>
          <w:rFonts w:ascii="Times New Roman;sans-serif" w:hAnsi="Times New Roman;sans-serif"/>
          <w:b w:val="false"/>
          <w:color w:val="000000"/>
          <w:sz w:val="22"/>
        </w:rPr>
        <w:t xml:space="preserve">), unless accelerated sooner pursuant to </w:t>
      </w:r>
      <w:r>
        <w:rPr>
          <w:rFonts w:ascii="Times New Roman;sans-serif" w:hAnsi="Times New Roman;sans-serif"/>
          <w:b w:val="false"/>
          <w:color w:val="000000"/>
          <w:sz w:val="22"/>
          <w:u w:val="single"/>
        </w:rPr>
        <w:t>Section 11.2(a)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w:t>
      </w:r>
      <w:r>
        <w:rPr>
          <w:rFonts w:ascii="Times New Roman;sans-serif" w:hAnsi="Times New Roman;sans-serif"/>
          <w:b w:val="false"/>
          <w:strike/>
          <w:color w:val="FF0000"/>
          <w:sz w:val="22"/>
        </w:rPr>
        <w:t xml:space="preserve">(i) </w:t>
      </w:r>
      <w:r>
        <w:rPr>
          <w:rFonts w:ascii="Times New Roman;sans-serif" w:hAnsi="Times New Roman;sans-serif"/>
          <w:b w:val="false"/>
          <w:color w:val="000000"/>
          <w:sz w:val="22"/>
        </w:rPr>
        <w:t>the final principal repayment installment of the Term Loans shall be repaid on the Maturity Date for the Term Loan Credit Facility and in any event shall be in an amount equal to the aggregate principal amount of all Term Loans outstanding on such date</w:t>
      </w:r>
      <w:r>
        <w:rPr>
          <w:strike/>
          <w:color w:val="FF0000"/>
        </w:rPr>
        <w:t xml:space="preserve"> </w:t>
      </w:r>
      <w:r>
        <w:rPr>
          <w:rFonts w:ascii="Times New Roman;sans-serif" w:hAnsi="Times New Roman;sans-serif"/>
          <w:b w:val="false"/>
          <w:strike/>
          <w:color w:val="FF0000"/>
          <w:sz w:val="22"/>
        </w:rPr>
        <w:t>and (ii) (A) if any principal repayment installment to be made by the Company (other than principal repayment installments on Eurocurrency Rate Loans) shall come due on a day other than a Business Day, such principal repayment installment shall be due on the next succeeding Business Day, and such extension of time shall be reflected in computing interest or fees, as the case may be and (B) if any principal repayment installment to be made by the Company on a Eurocurrency Rate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r>
        <w:rPr>
          <w:rFonts w:ascii="Times New Roman;sans-serif" w:hAnsi="Times New Roman;sans-serif"/>
          <w:b w:val="false"/>
          <w:color w:val="0000FF"/>
          <w:sz w:val="22"/>
          <w:u w:val="single"/>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Revolving Credit Loans</w:t>
      </w:r>
      <w:r>
        <w:rPr>
          <w:rFonts w:ascii="Times New Roman;sans-serif" w:hAnsi="Times New Roman;sans-serif"/>
          <w:b w:val="false"/>
          <w:color w:val="000000"/>
          <w:sz w:val="22"/>
        </w:rPr>
        <w:t>. The Borrowers shall repay to the Revolving Credit Lenders on the Maturity Date for the Revolving Credit Facility the aggregate principal amount of all Revolving Credit Loans outstanding on such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Swingline Loans</w:t>
      </w:r>
      <w:r>
        <w:rPr>
          <w:rFonts w:ascii="Times New Roman;sans-serif" w:hAnsi="Times New Roman;sans-serif"/>
          <w:b/>
          <w:color w:val="000000"/>
          <w:sz w:val="22"/>
        </w:rPr>
        <w:t xml:space="preserve">. </w:t>
      </w:r>
      <w:r>
        <w:rPr>
          <w:rFonts w:ascii="Times New Roman;sans-serif" w:hAnsi="Times New Roman;sans-serif"/>
          <w:b w:val="false"/>
          <w:color w:val="000000"/>
          <w:sz w:val="22"/>
        </w:rPr>
        <w:t>The Company shall repay each Swingline Loan on the earlier to occur of (i) the date ten (10) Business Days after such Loan is made and (ii) the Maturity Date for the Revolving Credit Facility.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2.8    </w:t>
      </w:r>
      <w:r>
        <w:rPr>
          <w:rFonts w:ascii="Times New Roman;sans-serif" w:hAnsi="Times New Roman;sans-serif"/>
          <w:b/>
          <w:color w:val="000000"/>
          <w:sz w:val="22"/>
          <w:u w:val="single"/>
        </w:rPr>
        <w:t>Increase of Revolving Credit Commitment.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As an alternative to, or in addition to,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 xml:space="preserve">below, subject to the conditions set forth below, at any time prior to the Maturity Date, the Company shall have the right upon not less than thirty (30) days’ (or such shorter period as may be agreed to by the Administrative Agent) prior written notice to the Administrative Agent pursuant to a Revolving Credit Increase Notification, to request an increase in the Revolving Credit Commitment in an aggregate principal amount as may be specified by the Company. Such Revolving Credit Increase Notification shall specify the applicable Revolving Credit Increase Effective Date and shall also specify the Tranche subject to increase;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Company seeks to increase both Tranches, it shall indicate how such increase is to be allocated between the Tranches.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76"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Increases in the Revolving Credit Commitment shall be obtained from existing Revolving Credit Lenders or New Lenders that qualify as Eligible Assignees (each such New Lender, collectively with the existing Revolving Credit Lenders providing increased Revolving Credit Commitments, the “</w:t>
      </w:r>
      <w:r>
        <w:rPr>
          <w:rFonts w:ascii="Times New Roman;sans-serif" w:hAnsi="Times New Roman;sans-serif"/>
          <w:b w:val="false"/>
          <w:color w:val="000000"/>
          <w:sz w:val="22"/>
          <w:u w:val="single"/>
        </w:rPr>
        <w:t>Increasing Revolving Lenders</w:t>
      </w:r>
      <w:r>
        <w:rPr>
          <w:color w:val="000000"/>
        </w:rPr>
        <w:t>”</w:t>
      </w:r>
      <w:r>
        <w:rPr>
          <w:rFonts w:ascii="Times New Roman;sans-serif" w:hAnsi="Times New Roman;sans-serif"/>
          <w:b w:val="false"/>
          <w:color w:val="000000"/>
          <w:sz w:val="22"/>
        </w:rPr>
        <w:t xml:space="preserve">), in each case in accordance with this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Revolving Credit Lender shall have any obligation to provide any portion of such increase, and a Revolving Credit Lender may agree to only increase its Commitment under a single Tranche.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following terms and conditions shall apply to each increase in the Revolving Credit Commitment: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such increase in the Revolving Credit Commitment pursuant to this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(and any Extensions of Credit made thereunder) shall constitute Obligations of the Borrowers and shall be guaranteed and, if applicable, secured with the other Extensions of Credit on a pari passu basis;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the Administrative Agent shall have received from the Company an Officer’s Compliance Certificate, in each case in form and substance reasonably satisfactory to the Administrative Agent, demonstrating that, as of the Revolving Credit Increase Effective Date and after giving effect to any such increase in the Revolving Credit Commitment (and, if applicable, any simultaneous Incremental Term Loan made pursuant to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 xml:space="preserve">and any Extensions of Credit made or to be made in connection therewith, the Company will be in </w:t>
      </w:r>
      <w:r>
        <w:rPr>
          <w:rFonts w:ascii="Times New Roman;sans-serif" w:hAnsi="Times New Roman;sans-serif"/>
          <w:b w:val="false"/>
          <w:color w:val="000000"/>
          <w:sz w:val="22"/>
          <w:u w:val="single"/>
        </w:rPr>
        <w:t>pro forma</w:t>
      </w:r>
      <w:r>
        <w:rPr>
          <w:color w:val="000000"/>
        </w:rPr>
        <w:t xml:space="preserve"> </w:t>
      </w:r>
      <w:r>
        <w:rPr>
          <w:rFonts w:ascii="Times New Roman;sans-serif" w:hAnsi="Times New Roman;sans-serif"/>
          <w:b w:val="false"/>
          <w:color w:val="000000"/>
          <w:sz w:val="22"/>
        </w:rPr>
        <w:t xml:space="preserve">compliance with the financial covenants set forth in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no Default or Event of Default shall have occurred and be continuing as of the applicable Revolving Credit Increase Effective Date and immediately after giving effect to such increase in the Revolving Credit Commitment pursuant to this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 xml:space="preserve">(and, if applicable, any simultaneous Incremental Term Loan made pursuant to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 and any Extensions of Credit made in connection therewith;</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the representations and warranties made by each Credit Party in this Agreement and the other Loan Documents shall be true and correct in all material respects (or, if qualified by materiality or Material Adverse Effect, in all respects) on and as of the Revolving Credit Increase Effective Date with the same effect as if made on and as of such date (other than those representations and warranties that by their terms speak as of a particular date, which representations and warranties shall be true and correct in all material respects (or, if qualified by materiality or Material Adverse Effect, in all respects) as of such particular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    in no event shall the aggregate amount of all increases in the Revolving Credit Commitment pursuant to this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 xml:space="preserve">after the </w:t>
      </w:r>
      <w:r>
        <w:rPr>
          <w:rFonts w:ascii="Times New Roman;sans-serif" w:hAnsi="Times New Roman;sans-serif"/>
          <w:b w:val="false"/>
          <w:strike/>
          <w:color w:val="FF0000"/>
          <w:sz w:val="22"/>
        </w:rPr>
        <w:t>First</w:t>
      </w:r>
      <w:r>
        <w:rPr>
          <w:rFonts w:ascii="Times New Roman;sans-serif" w:hAnsi="Times New Roman;sans-serif"/>
          <w:b w:val="false"/>
          <w:color w:val="0000FF"/>
          <w:sz w:val="22"/>
          <w:u w:val="single"/>
        </w:rPr>
        <w:t>Third</w:t>
      </w:r>
      <w:r>
        <w:rPr>
          <w:color w:val="000000"/>
        </w:rPr>
        <w:t xml:space="preserve"> </w:t>
      </w:r>
      <w:r>
        <w:rPr>
          <w:rFonts w:ascii="Times New Roman;sans-serif" w:hAnsi="Times New Roman;sans-serif"/>
          <w:b w:val="false"/>
          <w:color w:val="000000"/>
          <w:sz w:val="22"/>
        </w:rPr>
        <w:t xml:space="preserve">Amendment Effective Date exceed the sum of (i) (x) </w:t>
      </w:r>
      <w:r>
        <w:rPr>
          <w:rFonts w:ascii="Times New Roman;sans-serif" w:hAnsi="Times New Roman;sans-serif"/>
          <w:b w:val="false"/>
          <w:color w:val="0000FF"/>
          <w:sz w:val="22"/>
          <w:u w:val="single"/>
        </w:rPr>
        <w:t xml:space="preserve">the greater of (A) </w:t>
      </w:r>
      <w:r>
        <w:rPr>
          <w:rFonts w:ascii="Times New Roman;sans-serif" w:hAnsi="Times New Roman;sans-serif"/>
          <w:b w:val="false"/>
          <w:color w:val="000000"/>
          <w:sz w:val="22"/>
        </w:rPr>
        <w:t>$</w:t>
      </w:r>
      <w:r>
        <w:rPr>
          <w:rFonts w:ascii="Times New Roman;sans-serif" w:hAnsi="Times New Roman;sans-serif"/>
          <w:b w:val="false"/>
          <w:strike/>
          <w:color w:val="FF0000"/>
          <w:sz w:val="22"/>
        </w:rPr>
        <w:t>250,000,000</w:t>
      </w:r>
      <w:r>
        <w:rPr>
          <w:rFonts w:ascii="Times New Roman;sans-serif" w:hAnsi="Times New Roman;sans-serif"/>
          <w:b w:val="false"/>
          <w:color w:val="0000FF"/>
          <w:sz w:val="22"/>
          <w:u w:val="single"/>
        </w:rPr>
        <w:t>360,000,000 and (B) 100% of EBITDA determined as of the most recently ended fiscal quarter for which financial statements have been delivered to the Administrative Agent (the “Fixed Incremental Revolving Amount”)</w:t>
      </w:r>
      <w:r>
        <w:rPr>
          <w:color w:val="000000"/>
        </w:rPr>
        <w:t xml:space="preserve">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(y) the sum of (A) the aggregate principal amount of all simultaneous or prior Incremental Term Loans made pursuant to </w:t>
      </w:r>
      <w:r>
        <w:rPr>
          <w:rFonts w:ascii="Times New Roman;sans-serif" w:hAnsi="Times New Roman;sans-serif"/>
          <w:b w:val="false"/>
          <w:color w:val="000000"/>
          <w:sz w:val="22"/>
          <w:u w:val="single"/>
        </w:rPr>
        <w:t>Section 2.9(c)(v)(i)</w:t>
      </w:r>
      <w:r>
        <w:rPr>
          <w:color w:val="000000"/>
        </w:rPr>
        <w:t xml:space="preserve"> </w:t>
      </w:r>
      <w:r>
        <w:rPr>
          <w:rFonts w:ascii="Times New Roman;sans-serif" w:hAnsi="Times New Roman;sans-serif"/>
          <w:b w:val="false"/>
          <w:color w:val="000000"/>
          <w:sz w:val="22"/>
        </w:rPr>
        <w:t xml:space="preserve">after the </w:t>
      </w:r>
      <w:r>
        <w:rPr>
          <w:rFonts w:ascii="Times New Roman;sans-serif" w:hAnsi="Times New Roman;sans-serif"/>
          <w:b w:val="false"/>
          <w:strike/>
          <w:color w:val="FF0000"/>
          <w:sz w:val="22"/>
        </w:rPr>
        <w:t>First</w:t>
      </w:r>
      <w:r>
        <w:rPr>
          <w:rFonts w:ascii="Times New Roman;sans-serif" w:hAnsi="Times New Roman;sans-serif"/>
          <w:b w:val="false"/>
          <w:color w:val="0000FF"/>
          <w:sz w:val="22"/>
          <w:u w:val="single"/>
        </w:rPr>
        <w:t>Third</w:t>
      </w:r>
      <w:r>
        <w:rPr>
          <w:color w:val="000000"/>
        </w:rPr>
        <w:t xml:space="preserve"> </w:t>
      </w:r>
      <w:r>
        <w:rPr>
          <w:rFonts w:ascii="Times New Roman;sans-serif" w:hAnsi="Times New Roman;sans-serif"/>
          <w:b w:val="false"/>
          <w:color w:val="000000"/>
          <w:sz w:val="22"/>
        </w:rPr>
        <w:t xml:space="preserve">Amendment Effective Date and (B) the aggregate principal amount of all prior increases to the Revolving Credit Commitment made pursuant to this </w:t>
      </w:r>
      <w:r>
        <w:rPr>
          <w:rFonts w:ascii="Times New Roman;sans-serif" w:hAnsi="Times New Roman;sans-serif"/>
          <w:b w:val="false"/>
          <w:color w:val="000000"/>
          <w:sz w:val="22"/>
          <w:u w:val="single"/>
        </w:rPr>
        <w:t>Section 2.8(c)(v)(i)</w:t>
      </w:r>
      <w:r>
        <w:rPr>
          <w:color w:val="000000"/>
        </w:rPr>
        <w:t xml:space="preserve"> </w:t>
      </w:r>
      <w:r>
        <w:rPr>
          <w:rFonts w:ascii="Times New Roman;sans-serif" w:hAnsi="Times New Roman;sans-serif"/>
          <w:b w:val="false"/>
          <w:color w:val="000000"/>
          <w:sz w:val="22"/>
        </w:rPr>
        <w:t xml:space="preserve">after the </w:t>
      </w:r>
      <w:r>
        <w:rPr>
          <w:rFonts w:ascii="Times New Roman;sans-serif" w:hAnsi="Times New Roman;sans-serif"/>
          <w:b w:val="false"/>
          <w:strike/>
          <w:color w:val="FF0000"/>
          <w:sz w:val="22"/>
        </w:rPr>
        <w:t>First</w:t>
      </w:r>
      <w:r>
        <w:rPr>
          <w:rFonts w:ascii="Times New Roman;sans-serif" w:hAnsi="Times New Roman;sans-serif"/>
          <w:b w:val="false"/>
          <w:color w:val="0000FF"/>
          <w:sz w:val="22"/>
          <w:u w:val="single"/>
        </w:rPr>
        <w:t>Third</w:t>
      </w:r>
      <w:r>
        <w:rPr>
          <w:color w:val="000000"/>
        </w:rPr>
        <w:t xml:space="preserve"> </w:t>
      </w:r>
      <w:r>
        <w:rPr>
          <w:rFonts w:ascii="Times New Roman;sans-serif" w:hAnsi="Times New Roman;sans-serif"/>
          <w:b w:val="false"/>
          <w:color w:val="000000"/>
          <w:sz w:val="22"/>
        </w:rPr>
        <w:t xml:space="preserve">Amendment Effective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at the Borrower’s option, up to an amount of increased Revolving Credit Commitments such that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77"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 Net Leverage Ratio (calculated on a pro forma basis after giving effect to such increases (assuming the borrowing of the maximum credit thereunder) and the application of the proceeds therefrom) shall be no greater than </w:t>
      </w:r>
      <w:r>
        <w:rPr>
          <w:rFonts w:ascii="Times New Roman;sans-serif" w:hAnsi="Times New Roman;sans-serif"/>
          <w:b w:val="false"/>
          <w:strike/>
          <w:color w:val="FF0000"/>
          <w:sz w:val="22"/>
        </w:rPr>
        <w:t>3.25</w:t>
      </w:r>
      <w:r>
        <w:rPr>
          <w:rFonts w:ascii="Times New Roman;sans-serif" w:hAnsi="Times New Roman;sans-serif"/>
          <w:b w:val="false"/>
          <w:color w:val="0000FF"/>
          <w:sz w:val="22"/>
          <w:u w:val="single"/>
        </w:rPr>
        <w:t>3.50</w:t>
      </w:r>
      <w:r>
        <w:rPr>
          <w:color w:val="000000"/>
        </w:rPr>
        <w:t xml:space="preserve"> </w:t>
      </w:r>
      <w:r>
        <w:rPr>
          <w:rFonts w:ascii="Times New Roman;sans-serif" w:hAnsi="Times New Roman;sans-serif"/>
          <w:b w:val="false"/>
          <w:color w:val="000000"/>
          <w:sz w:val="22"/>
        </w:rPr>
        <w:t>to 1.00</w:t>
      </w:r>
      <w:r>
        <w:rPr>
          <w:color w:val="0000FF"/>
          <w:u w:val="single"/>
        </w:rPr>
        <w:t xml:space="preserve"> </w:t>
      </w:r>
      <w:r>
        <w:rPr>
          <w:rFonts w:ascii="Times New Roman;sans-serif" w:hAnsi="Times New Roman;sans-serif"/>
          <w:b w:val="false"/>
          <w:color w:val="0000FF"/>
          <w:sz w:val="22"/>
          <w:u w:val="single"/>
        </w:rPr>
        <w:t>(the “Ratio Incremental Revolving Amount”)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    the amount of such increase in the Revolving Credit Commitment pursuant to this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shall not be less than a minimum principal amount of $10,000,000, or, if less, the remaining amount permitted pursuant to clause (v) above;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    unless previously provided, the Administrative Agent shall have received a resolution duly adopted by the board of directors of each Credit Party authorizing such increase in the Revolving Credit Commitment;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    the Borrowers and each Increasing Revolving Lender shall execute and deliver a Lender Addition and Acknowledgement Agreement to the Administrative Agent, for its acceptance and recording in the Register;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    the Administrative Agent shall have received any documents or information, including any joinder agreement and opinions of counsel, in connection with such increase in the Revolving Credit Commitment as it may request in its reasonable discretion;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(x)    the outstanding Revolving Credit Loans and Revolving Credit Commitment Percentages of L/C Obligations under the applicable Tranche will be reallocated by the Administrative Agent on the applicable Revolving Credit Increase Effective Date among the Revolving Credit Lenders subject to such Tranche in accordance with their revised Revolving Credit Commitment Percentages in respect of such Tranche (and the Revolving Credit Lenders under such Tranche agree to make all payments and adjustments necessary to effect such reallocation and the Borrowers shall pay any and all costs required pursuant to </w:t>
      </w:r>
      <w:r>
        <w:rPr>
          <w:rFonts w:ascii="Times New Roman;sans-serif" w:hAnsi="Times New Roman;sans-serif"/>
          <w:b w:val="false"/>
          <w:color w:val="000000"/>
          <w:sz w:val="22"/>
          <w:u w:val="single"/>
        </w:rPr>
        <w:t>Section 4.9</w:t>
      </w:r>
      <w:r>
        <w:rPr>
          <w:color w:val="000000"/>
        </w:rPr>
        <w:t xml:space="preserve"> </w:t>
      </w:r>
      <w:r>
        <w:rPr>
          <w:rFonts w:ascii="Times New Roman;sans-serif" w:hAnsi="Times New Roman;sans-serif"/>
          <w:b w:val="false"/>
          <w:color w:val="000000"/>
          <w:sz w:val="22"/>
        </w:rPr>
        <w:t>in connection with such reallocation as if such reallocation were a repayment).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Notwithstanding the provisions of </w:t>
      </w:r>
      <w:r>
        <w:rPr>
          <w:rFonts w:ascii="Times New Roman;sans-serif" w:hAnsi="Times New Roman;sans-serif"/>
          <w:b w:val="false"/>
          <w:color w:val="000000"/>
          <w:sz w:val="22"/>
          <w:u w:val="single"/>
        </w:rPr>
        <w:t>Section 13.2</w:t>
      </w:r>
      <w:r>
        <w:rPr>
          <w:color w:val="000000"/>
        </w:rPr>
        <w:t xml:space="preserve"> </w:t>
      </w:r>
      <w:r>
        <w:rPr>
          <w:rFonts w:ascii="Times New Roman;sans-serif" w:hAnsi="Times New Roman;sans-serif"/>
          <w:b w:val="false"/>
          <w:color w:val="000000"/>
          <w:sz w:val="22"/>
        </w:rPr>
        <w:t xml:space="preserve">to the contrary, the Administrative Agent is hereby authorized to execute and deliver amendment documentation evidencing any amendments necessary to effectuate the proposed increase in the Revolving Credit Commitment pursuant to this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 xml:space="preserve">on behalf of the Revolving Credit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amendment shall not modify this Agreement or any other Loan Document in any manner materially adverse to any Lender without the consent of such Lenders materially adversely affected thereby in accordance with </w:t>
      </w:r>
      <w:r>
        <w:rPr>
          <w:rFonts w:ascii="Times New Roman;sans-serif" w:hAnsi="Times New Roman;sans-serif"/>
          <w:b w:val="false"/>
          <w:color w:val="000000"/>
          <w:sz w:val="22"/>
          <w:u w:val="single"/>
        </w:rPr>
        <w:t>Section 13.2</w:t>
      </w:r>
      <w:r>
        <w:rPr>
          <w:color w:val="000000"/>
        </w:rPr>
        <w:t xml:space="preserve"> </w:t>
      </w:r>
      <w:r>
        <w:rPr>
          <w:rFonts w:ascii="Times New Roman;sans-serif" w:hAnsi="Times New Roman;sans-serif"/>
          <w:b w:val="false"/>
          <w:color w:val="000000"/>
          <w:sz w:val="22"/>
        </w:rPr>
        <w: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    Upon the execution, delivery, acceptance and recording of the applicable Lender Addition and Acknowledgement Agreement, from and after the applicable Revolving Credit Increase Effective Date, (i) each Increasing Revolving Lender shall have a Revolving Credit Commitment as set forth in the Register and all the rights and obligations of a Revolving Credit Lender with a Revolving Credit Commitment hereunder and (ii) all Revolving Credit Loans made on account of the increased portion of the Revolving Credit Commitment pursuant to this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shall bear interest at the rate as determined and agreed to at the time of such increase by the Borrowers and each Increasing Revolving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    The Administrative Agent shall maintain a copy of each Lender Addition and Acknowledgement Agreement delivered to it in accordance with </w:t>
      </w:r>
      <w:r>
        <w:rPr>
          <w:rFonts w:ascii="Times New Roman;sans-serif" w:hAnsi="Times New Roman;sans-serif"/>
          <w:b w:val="false"/>
          <w:color w:val="000000"/>
          <w:sz w:val="22"/>
          <w:u w:val="single"/>
        </w:rPr>
        <w:t>Section 2.8(c)</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78"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The Applicable Margin and pricing grid for the additional Revolving Credit Commitments (and corresponding Loans) shall be the same as the Applicable Margin and pricing grid for the Revolving Credit Commitments (and corresponding Loans) in effect prior to the increase thereof unless the Applicable Margin and pricing grid for the Revolving Credit Commitment (and corresponding Loan) as in effect prior to the increase thereof are increased to an amount that is equal to the Applicable Margin and pricing grid for such additional Revolving Credit Commitments (and corresponding Loans), it being agreed that the consent of any Lender that is not an Increasing Revolving Lender shall not be required for any amendment required to effect the foregoing.</w:t>
      </w:r>
    </w:p>
    <w:p>
      <w:pPr>
        <w:pStyle w:val="TextBody"/>
        <w:bidi w:val="0"/>
        <w:spacing w:lineRule="auto" w:line="288" w:before="0" w:after="0"/>
        <w:ind w:left="0" w:right="0" w:firstLine="72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For the avoidance of doubt, if the Borrowers incur increased Revolving Credit Commitments in reliance on the Fixed Incremental Revolving Amount and/or any Incremental Term Loan in reliance on the Fixed Incremental Term Loan Amount on the same date that it incurs increased Revolving Credit Commitments in reliance on the Ratio Incremental Revolving Amount, then unless such Borrower elects otherwise, each increased Revolving Credit Commitment will be deemed incurred first in reliance on the Ratio Incremental Revolving Amount to the extent permitted (without including in the applicable financial calculation the amount of any Indebtedness being incurred in reliance upon the Fixed Incremental Revolving Amount or the Fixed Incremental Term Loan Amount) and if all or any portion of any increased Revolving Credit Commitment was previously incurred in reliance on the Fixed Incremental Revolving Amount and, at any later time of determination, such amount could have been incurred instead in reliance on the Ratio Incremental Revolving Amount, then the Borrowers may, upon written notice to the Administrative Agent, elect that such Indebtedness be reclassified at such later time of determination as having been incurred pursuant to the Ratio Incremental Revolving amount and thereafter such Indebtedness shall not count as a utilization of the Fixed Incremental Revolving Amount.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2.9    </w:t>
      </w:r>
      <w:r>
        <w:rPr>
          <w:rFonts w:ascii="Times New Roman;sans-serif" w:hAnsi="Times New Roman;sans-serif"/>
          <w:b/>
          <w:color w:val="000000"/>
          <w:sz w:val="22"/>
          <w:u w:val="single"/>
        </w:rPr>
        <w:t>Optional Incremental Term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As an alternative to, or in addition to,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above, subject to the conditions set forth below, at any time prior to the Maturity Date, the Company shall have the right upon not less than thirty (30) days’ (or such shorter period as may be agreed to by the Administrative Agent) prior written notice to the Administrative Agent pursuant to an Incremental Term Loan Notification, to request term loans in an aggregate principal amount as may be specified by the Company (such term loans, the “</w:t>
      </w:r>
      <w:r>
        <w:rPr>
          <w:rFonts w:ascii="Times New Roman;sans-serif" w:hAnsi="Times New Roman;sans-serif"/>
          <w:b w:val="false"/>
          <w:color w:val="000000"/>
          <w:sz w:val="22"/>
          <w:u w:val="single"/>
        </w:rPr>
        <w:t>Incremental Term Loans</w:t>
      </w:r>
      <w:r>
        <w:rPr>
          <w:color w:val="000000"/>
        </w:rPr>
        <w:t>”</w:t>
      </w:r>
      <w:r>
        <w:rPr>
          <w:rFonts w:ascii="Times New Roman;sans-serif" w:hAnsi="Times New Roman;sans-serif"/>
          <w:b w:val="false"/>
          <w:color w:val="000000"/>
          <w:sz w:val="22"/>
        </w:rPr>
        <w:t>). Such Incremental Term Loan Notification shall specify the applicable Incremental Term Loan Effective Date, and on or prior to such date, the applicable Borrower shall deliver a Loan Notice with respect to such Incremental Term Loan.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Each Incremental Term Loan shall be obtained from existing Lenders or from New Lenders that qualify as Eligible Assignees (each such New Lender, collectively with the existing Lenders providing Incremental Term Loans, the “</w:t>
      </w:r>
      <w:r>
        <w:rPr>
          <w:rFonts w:ascii="Times New Roman;sans-serif" w:hAnsi="Times New Roman;sans-serif"/>
          <w:b w:val="false"/>
          <w:color w:val="000000"/>
          <w:sz w:val="22"/>
          <w:u w:val="single"/>
        </w:rPr>
        <w:t>Incremental Term Lenders</w:t>
      </w:r>
      <w:r>
        <w:rPr>
          <w:color w:val="000000"/>
        </w:rPr>
        <w:t>”</w:t>
      </w:r>
      <w:r>
        <w:rPr>
          <w:rFonts w:ascii="Times New Roman;sans-serif" w:hAnsi="Times New Roman;sans-serif"/>
          <w:b w:val="false"/>
          <w:color w:val="000000"/>
          <w:sz w:val="22"/>
        </w:rPr>
        <w:t xml:space="preserve">), in each case in accordance with this </w:t>
      </w:r>
      <w:r>
        <w:rPr>
          <w:rFonts w:ascii="Times New Roman;sans-serif" w:hAnsi="Times New Roman;sans-serif"/>
          <w:b w:val="false"/>
          <w:color w:val="000000"/>
          <w:sz w:val="22"/>
          <w:u w:val="single"/>
        </w:rPr>
        <w:t>Section 2.9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provide any portion of such Incremental Term Loans.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strike/>
          <w:color w:val="FF0000"/>
          <w:sz w:val="22"/>
        </w:rPr>
        <w:t>The</w:t>
      </w:r>
      <w:r>
        <w:rPr>
          <w:rFonts w:ascii="Times New Roman;sans-serif" w:hAnsi="Times New Roman;sans-serif"/>
          <w:b w:val="false"/>
          <w:color w:val="0000FF"/>
          <w:sz w:val="22"/>
          <w:u w:val="single"/>
        </w:rPr>
        <w:t>Subject to Section 1.3, the</w:t>
      </w:r>
      <w:r>
        <w:rPr>
          <w:color w:val="000000"/>
        </w:rPr>
        <w:t xml:space="preserve"> </w:t>
      </w:r>
      <w:r>
        <w:rPr>
          <w:rFonts w:ascii="Times New Roman;sans-serif" w:hAnsi="Times New Roman;sans-serif"/>
          <w:b w:val="false"/>
          <w:color w:val="000000"/>
          <w:sz w:val="22"/>
        </w:rPr>
        <w:t>following terms and conditions shall apply to each Incremental Term Loan: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such Incremental Term Loan made pursuant to this </w:t>
      </w:r>
      <w:r>
        <w:rPr>
          <w:rFonts w:ascii="Times New Roman;sans-serif" w:hAnsi="Times New Roman;sans-serif"/>
          <w:b w:val="false"/>
          <w:color w:val="000000"/>
          <w:sz w:val="22"/>
          <w:u w:val="single"/>
        </w:rPr>
        <w:t xml:space="preserve">Section 2.9 </w:t>
      </w:r>
      <w:r>
        <w:rPr>
          <w:rFonts w:ascii="Times New Roman;sans-serif" w:hAnsi="Times New Roman;sans-serif"/>
          <w:b w:val="false"/>
          <w:color w:val="000000"/>
          <w:sz w:val="22"/>
        </w:rPr>
        <w:t xml:space="preserve">shall constitute an Obligation of the applicable Borrower and shall be guaranteed and, if applicable, secured with the other Extensions of Credit on a </w:t>
      </w:r>
      <w:r>
        <w:rPr>
          <w:rFonts w:ascii="Times New Roman;sans-serif" w:hAnsi="Times New Roman;sans-serif"/>
          <w:b w:val="false"/>
          <w:color w:val="000000"/>
          <w:sz w:val="22"/>
          <w:u w:val="single"/>
        </w:rPr>
        <w:t>pari passu</w:t>
      </w:r>
      <w:r>
        <w:rPr>
          <w:color w:val="000000"/>
        </w:rPr>
        <w:t xml:space="preserve"> </w:t>
      </w:r>
      <w:r>
        <w:rPr>
          <w:rFonts w:ascii="Times New Roman;sans-serif" w:hAnsi="Times New Roman;sans-serif"/>
          <w:b w:val="false"/>
          <w:color w:val="000000"/>
          <w:sz w:val="22"/>
        </w:rPr>
        <w:t>basis;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79"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the Administrative Agent shall have received from the Company an Officer’s Compliance Certificate, in each case in form and substance reasonably satisfactory to the Administrative Agent, demonstrating that, as of the Incremental Term Loan Effective Date and after giving effect to any such Incremental Term Loan (and, if applicable, any simultaneous increase in the Revolving Credit Commitment pursuant to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 xml:space="preserve">, the Company will be in pro forma compliance with the financial covenants set forth in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no Default or Event of Default shall have occurred and be continuing as of the applicable Incremental Term Loan Effective Date and immediately after giving effect to the making of any such Incremental Term Loans (and, if applicable, any simultaneous increase in the Revolving Credit Commitment pursuant to </w:t>
      </w:r>
      <w:r>
        <w:rPr>
          <w:rFonts w:ascii="Times New Roman;sans-serif" w:hAnsi="Times New Roman;sans-serif"/>
          <w:b w:val="false"/>
          <w:color w:val="000000"/>
          <w:sz w:val="22"/>
          <w:u w:val="single"/>
        </w:rPr>
        <w:t>Section 2.8)</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the representations and warranties made by each Credit Party in this Agreement and in the other Loan Documents shall be true and correct in all material respects (or, if qualified by materiality or Material Adverse Effect, in all respects) on and as of the Incremental Term Loan Effective Date with the same effect as if made on and as of such date (other than those representations and warranties that by their terms speak as of a particular date, which representations and warranties shall be true and correct in all material respects (or, if qualified by materiality or Material Adverse Effect, in all respects) as of such particular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    in no event shall the aggregate principal amount of all Incremental Term Loans made pursuant to this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 xml:space="preserve">after the </w:t>
      </w:r>
      <w:r>
        <w:rPr>
          <w:rFonts w:ascii="Times New Roman;sans-serif" w:hAnsi="Times New Roman;sans-serif"/>
          <w:b w:val="false"/>
          <w:strike/>
          <w:color w:val="FF0000"/>
          <w:sz w:val="22"/>
        </w:rPr>
        <w:t>First</w:t>
      </w:r>
      <w:r>
        <w:rPr>
          <w:rFonts w:ascii="Times New Roman;sans-serif" w:hAnsi="Times New Roman;sans-serif"/>
          <w:b w:val="false"/>
          <w:color w:val="0000FF"/>
          <w:sz w:val="22"/>
          <w:u w:val="single"/>
        </w:rPr>
        <w:t>Third</w:t>
      </w:r>
      <w:r>
        <w:rPr>
          <w:color w:val="000000"/>
        </w:rPr>
        <w:t xml:space="preserve"> </w:t>
      </w:r>
      <w:r>
        <w:rPr>
          <w:rFonts w:ascii="Times New Roman;sans-serif" w:hAnsi="Times New Roman;sans-serif"/>
          <w:b w:val="false"/>
          <w:color w:val="000000"/>
          <w:sz w:val="22"/>
        </w:rPr>
        <w:t xml:space="preserve">Amendment Effective Date exceed the sum of (i) (x) </w:t>
      </w:r>
      <w:r>
        <w:rPr>
          <w:rFonts w:ascii="Times New Roman;sans-serif" w:hAnsi="Times New Roman;sans-serif"/>
          <w:b w:val="false"/>
          <w:color w:val="0000FF"/>
          <w:sz w:val="22"/>
          <w:u w:val="single"/>
        </w:rPr>
        <w:t xml:space="preserve">the greater of (A) </w:t>
      </w:r>
      <w:r>
        <w:rPr>
          <w:rFonts w:ascii="Times New Roman;sans-serif" w:hAnsi="Times New Roman;sans-serif"/>
          <w:b w:val="false"/>
          <w:color w:val="000000"/>
          <w:sz w:val="22"/>
        </w:rPr>
        <w:t>$</w:t>
      </w:r>
      <w:r>
        <w:rPr>
          <w:rFonts w:ascii="Times New Roman;sans-serif" w:hAnsi="Times New Roman;sans-serif"/>
          <w:b w:val="false"/>
          <w:strike/>
          <w:color w:val="FF0000"/>
          <w:sz w:val="22"/>
        </w:rPr>
        <w:t>250,000,000</w:t>
      </w:r>
      <w:r>
        <w:rPr>
          <w:rFonts w:ascii="Times New Roman;sans-serif" w:hAnsi="Times New Roman;sans-serif"/>
          <w:b w:val="false"/>
          <w:color w:val="0000FF"/>
          <w:sz w:val="22"/>
          <w:u w:val="single"/>
        </w:rPr>
        <w:t>360,000,000 and (B) 100% of EBITDA determined as of the most recently ended fiscal quarter for which financial statements have been delivered to the Administrative Agent (the “Fixed Incremental Term Loan Amount”)</w:t>
      </w:r>
      <w:r>
        <w:rPr>
          <w:color w:val="000000"/>
        </w:rPr>
        <w:t xml:space="preserve">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(y) the sum of (A) the aggregate principal amount of all prior or simultaneous increases in the Revolving Credit Commitment made pursuant to </w:t>
      </w:r>
      <w:r>
        <w:rPr>
          <w:rFonts w:ascii="Times New Roman;sans-serif" w:hAnsi="Times New Roman;sans-serif"/>
          <w:b w:val="false"/>
          <w:color w:val="000000"/>
          <w:sz w:val="22"/>
          <w:u w:val="single"/>
        </w:rPr>
        <w:t>Section 2.8(c)(v)(i)</w:t>
      </w:r>
      <w:r>
        <w:rPr>
          <w:color w:val="000000"/>
        </w:rPr>
        <w:t xml:space="preserve"> </w:t>
      </w:r>
      <w:r>
        <w:rPr>
          <w:rFonts w:ascii="Times New Roman;sans-serif" w:hAnsi="Times New Roman;sans-serif"/>
          <w:b w:val="false"/>
          <w:color w:val="000000"/>
          <w:sz w:val="22"/>
        </w:rPr>
        <w:t xml:space="preserve">after the </w:t>
      </w:r>
      <w:r>
        <w:rPr>
          <w:rFonts w:ascii="Times New Roman;sans-serif" w:hAnsi="Times New Roman;sans-serif"/>
          <w:b w:val="false"/>
          <w:strike/>
          <w:color w:val="FF0000"/>
          <w:sz w:val="22"/>
        </w:rPr>
        <w:t>First</w:t>
      </w:r>
      <w:r>
        <w:rPr>
          <w:rFonts w:ascii="Times New Roman;sans-serif" w:hAnsi="Times New Roman;sans-serif"/>
          <w:b w:val="false"/>
          <w:color w:val="0000FF"/>
          <w:sz w:val="22"/>
          <w:u w:val="single"/>
        </w:rPr>
        <w:t>Third</w:t>
      </w:r>
      <w:r>
        <w:rPr>
          <w:color w:val="000000"/>
        </w:rPr>
        <w:t xml:space="preserve"> </w:t>
      </w:r>
      <w:r>
        <w:rPr>
          <w:rFonts w:ascii="Times New Roman;sans-serif" w:hAnsi="Times New Roman;sans-serif"/>
          <w:b w:val="false"/>
          <w:color w:val="000000"/>
          <w:sz w:val="22"/>
        </w:rPr>
        <w:t xml:space="preserve">Amendment Effective Date and (B) the aggregate principal amount of all prior Incremental Term Loans made pursuant to </w:t>
      </w:r>
      <w:r>
        <w:rPr>
          <w:rFonts w:ascii="Times New Roman;sans-serif" w:hAnsi="Times New Roman;sans-serif"/>
          <w:b w:val="false"/>
          <w:color w:val="000000"/>
          <w:sz w:val="22"/>
          <w:u w:val="single"/>
        </w:rPr>
        <w:t>Section 2.9(c)(v)(i)</w:t>
      </w:r>
      <w:r>
        <w:rPr>
          <w:color w:val="000000"/>
        </w:rPr>
        <w:t xml:space="preserve"> </w:t>
      </w:r>
      <w:r>
        <w:rPr>
          <w:rFonts w:ascii="Times New Roman;sans-serif" w:hAnsi="Times New Roman;sans-serif"/>
          <w:b w:val="false"/>
          <w:color w:val="000000"/>
          <w:sz w:val="22"/>
        </w:rPr>
        <w:t xml:space="preserve">after the </w:t>
      </w:r>
      <w:r>
        <w:rPr>
          <w:rFonts w:ascii="Times New Roman;sans-serif" w:hAnsi="Times New Roman;sans-serif"/>
          <w:b w:val="false"/>
          <w:strike/>
          <w:color w:val="FF0000"/>
          <w:sz w:val="22"/>
        </w:rPr>
        <w:t>First</w:t>
      </w:r>
      <w:r>
        <w:rPr>
          <w:rFonts w:ascii="Times New Roman;sans-serif" w:hAnsi="Times New Roman;sans-serif"/>
          <w:b w:val="false"/>
          <w:color w:val="0000FF"/>
          <w:sz w:val="22"/>
          <w:u w:val="single"/>
        </w:rPr>
        <w:t>Third</w:t>
      </w:r>
      <w:r>
        <w:rPr>
          <w:color w:val="000000"/>
        </w:rPr>
        <w:t xml:space="preserve"> </w:t>
      </w:r>
      <w:r>
        <w:rPr>
          <w:rFonts w:ascii="Times New Roman;sans-serif" w:hAnsi="Times New Roman;sans-serif"/>
          <w:b w:val="false"/>
          <w:color w:val="000000"/>
          <w:sz w:val="22"/>
        </w:rPr>
        <w:t xml:space="preserve">Amendment Effective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at the Borrower’s option, up to an amount of Incremental Term Loans such that the Net Leverage Ratio (calculated on a pro forma basis after giving effect to such increases (assuming the borrowing of the maximum credit thereunder) and the application of the proceeds therefrom) shall be no greater than </w:t>
      </w:r>
      <w:r>
        <w:rPr>
          <w:rFonts w:ascii="Times New Roman;sans-serif" w:hAnsi="Times New Roman;sans-serif"/>
          <w:b w:val="false"/>
          <w:strike/>
          <w:color w:val="FF0000"/>
          <w:sz w:val="22"/>
        </w:rPr>
        <w:t>3.25</w:t>
      </w:r>
      <w:r>
        <w:rPr>
          <w:rFonts w:ascii="Times New Roman;sans-serif" w:hAnsi="Times New Roman;sans-serif"/>
          <w:b w:val="false"/>
          <w:color w:val="0000FF"/>
          <w:sz w:val="22"/>
          <w:u w:val="single"/>
        </w:rPr>
        <w:t>3.50</w:t>
      </w:r>
      <w:r>
        <w:rPr>
          <w:color w:val="000000"/>
        </w:rPr>
        <w:t xml:space="preserve"> </w:t>
      </w:r>
      <w:r>
        <w:rPr>
          <w:rFonts w:ascii="Times New Roman;sans-serif" w:hAnsi="Times New Roman;sans-serif"/>
          <w:b w:val="false"/>
          <w:color w:val="000000"/>
          <w:sz w:val="22"/>
        </w:rPr>
        <w:t>to 1.00</w:t>
      </w:r>
      <w:r>
        <w:rPr>
          <w:color w:val="0000FF"/>
          <w:u w:val="single"/>
        </w:rPr>
        <w:t xml:space="preserve"> </w:t>
      </w:r>
      <w:r>
        <w:rPr>
          <w:rFonts w:ascii="Times New Roman;sans-serif" w:hAnsi="Times New Roman;sans-serif"/>
          <w:b w:val="false"/>
          <w:color w:val="0000FF"/>
          <w:sz w:val="22"/>
          <w:u w:val="single"/>
        </w:rPr>
        <w:t>(the “Ratio Incremental Term Loan Amount”)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the amount of such Incremental Term Loan obtained hereunder shall not be less than a minimum principal amount of $10,000,000, or, if less, the remaining amount permitted pursuant to clause (v)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(vii)    any Incremental Term Loan shall: (A) have a maturity date that is no earlier than the then latest Maturity Date; (B) have a weighted average life to maturity that is no shorter than the weighted average life to maturity of the existing Term Loans (it being understood that, subject to the foregoing, the amortization schedule applicable to such Incremental Term Loan shall be determined by the applicable Borrower and the Lenders of such Incremental Term Loan); and (C) otherwise have terms and conditions, subject to the conditions set forth in the preceding clauses (A) and (B), as are determined by the applicable Borrower and the Lenders of such Incremental Term Loan;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the negative covenants and events of default relating to such Incremental Term Loan, if not consistent with the terms of the existing Credit Facility, shall not be, as determined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80"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its reasonable business judgment, materially more restrictive, taken as a whole, to the Company and its Restricted Subsidiaries than the existing Credit Facility (except to the extent permitted above or below with respect to the maturity date, amortization, mandatory prepayments and interest rate and except for such other terms which (x) the existing Lenders receive the benefit of such more restrictive terms of or (y) are applicable only after the latest Maturity Date then in effect);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    unless previously provided, the Administrative Agent shall have received a resolution duly adopted by the board of directors of each Credit Party authorizing such Incremental Term Loan;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    each Incremental Term Loan shall be made on the applicable Incremental Term Loan Effective Date specified in the Incremental Term Loan Notification and will mature and amortize in a manner reasonably acceptable to the Administrative Agent, the Incremental Term Lenders making such Incremental Term Loan and the Company, but such Incremental Term Loan will not in any event have a maturity date earlier than the Maturity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    the Borrowers and each Incremental Term Lender shall execute and deliver a Lender Addition and Acknowledgement Agreement to the Administrative Agent, for its acceptance and recording in the Register;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    the Administrative Agent shall have received any documents or information, including any joinder agreements and opinions of counsel, in connection with such Incremental Term Loan as it may request in its reasonable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Notwithstanding the provisions of </w:t>
      </w:r>
      <w:r>
        <w:rPr>
          <w:rFonts w:ascii="Times New Roman;sans-serif" w:hAnsi="Times New Roman;sans-serif"/>
          <w:b w:val="false"/>
          <w:color w:val="000000"/>
          <w:sz w:val="22"/>
          <w:u w:val="single"/>
        </w:rPr>
        <w:t>Section 13.2</w:t>
      </w:r>
      <w:r>
        <w:rPr>
          <w:color w:val="000000"/>
        </w:rPr>
        <w:t xml:space="preserve"> </w:t>
      </w:r>
      <w:r>
        <w:rPr>
          <w:rFonts w:ascii="Times New Roman;sans-serif" w:hAnsi="Times New Roman;sans-serif"/>
          <w:b w:val="false"/>
          <w:color w:val="000000"/>
          <w:sz w:val="22"/>
        </w:rPr>
        <w:t xml:space="preserve">to the contrary, the Administrative Agent is hereby authorized to execute and deliver amendment documentation evidencing any amendments necessary to effectuate the Incremental Term Loan pursuant to this </w:t>
      </w:r>
      <w:r>
        <w:rPr>
          <w:rFonts w:ascii="Times New Roman;sans-serif" w:hAnsi="Times New Roman;sans-serif"/>
          <w:b w:val="false"/>
          <w:color w:val="000000"/>
          <w:sz w:val="22"/>
          <w:u w:val="single"/>
        </w:rPr>
        <w:t>Section 2.9</w:t>
      </w:r>
      <w:r>
        <w:rPr>
          <w:color w:val="000000"/>
        </w:rPr>
        <w:t xml:space="preserve"> </w:t>
      </w:r>
      <w:r>
        <w:rPr>
          <w:rFonts w:ascii="Times New Roman;sans-serif" w:hAnsi="Times New Roman;sans-serif"/>
          <w:b w:val="false"/>
          <w:color w:val="000000"/>
          <w:sz w:val="22"/>
        </w:rPr>
        <w:t xml:space="preserve">on behalf of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amendment shall not modify this Agreement or any other Loan Document in any manner materially adverse to any Lender without the consent of such Lenders adversely affected thereby in accordance with </w:t>
      </w:r>
      <w:r>
        <w:rPr>
          <w:rFonts w:ascii="Times New Roman;sans-serif" w:hAnsi="Times New Roman;sans-serif"/>
          <w:b w:val="false"/>
          <w:color w:val="000000"/>
          <w:sz w:val="22"/>
          <w:u w:val="single"/>
        </w:rPr>
        <w:t>Section 13.2</w:t>
      </w:r>
      <w:r>
        <w:rPr>
          <w:color w:val="000000"/>
        </w:rPr>
        <w:t xml:space="preserve"> </w:t>
      </w:r>
      <w:r>
        <w:rPr>
          <w:rFonts w:ascii="Times New Roman;sans-serif" w:hAnsi="Times New Roman;sans-serif"/>
          <w:b w:val="false"/>
          <w:color w:val="000000"/>
          <w:sz w:val="22"/>
        </w:rPr>
        <w:t>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Upon the execution, delivery, acceptance and recording of the applicable Lender Addition and Acknowledgement Agreement, from and after the applicable Incremental Term Loan Effective Date, each Incremental Term Lender shall have an Incremental Term Loan Commitment as set forth in the Register and all the rights and obligations of a Lender with such an Incremental Term Loan Commitment hereunder. The applicable Incremental Term Lenders shall make the Incremental Term Loans to the applicable Borrower on the applicable Incremental Term Loan Effective Date in an amount equal to the Incremental Term Loan Commitment of each Incremental Term Lender with respect to such Incremental Term Loan as agreed upon pursuant to subsection (b)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    The Administrative Agent shall maintain a copy of each Lender Addition and Acknowledgement Agreement delivered to it in accordance with </w:t>
      </w:r>
      <w:r>
        <w:rPr>
          <w:rFonts w:ascii="Times New Roman;sans-serif" w:hAnsi="Times New Roman;sans-serif"/>
          <w:b w:val="false"/>
          <w:color w:val="000000"/>
          <w:sz w:val="22"/>
          <w:u w:val="single"/>
        </w:rPr>
        <w:t>Section 2.9(c)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(g)    The Applicable Margin and pricing grid, if applicable, for the Incremental Term Loans shall be determined on the applicable Incremental Term Loan Effective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Applicable Margin and pricing grid, if any, for any Incremental Term Loan shall not exceed the Applicable Margin and pricing grid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81"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Term Loans and the Revolving Credit Commitment by more than 50 basis points unless the Applicable Margin and pricing grid for the Term Loans and the Revolving Credit Commitment are increased to an amount that is no more than 50 basis points less than the Applicable Margin and pricing grid for the applicable Incremental Term Loan.</w:t>
      </w:r>
    </w:p>
    <w:p>
      <w:pPr>
        <w:pStyle w:val="TextBody"/>
        <w:bidi w:val="0"/>
        <w:spacing w:lineRule="auto" w:line="288" w:before="0" w:after="0"/>
        <w:ind w:left="0" w:right="0" w:firstLine="72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For the avoidance of doubt, if the Borrowers incur increased Incremental Term Loan Commitments in reliance on the Fixed Incremental Term Loan Amount and/or any increased Revolving Credit Commitments in reliance on the Fixed Incremental Revolving Amount on the same date that it incurs increased Incremental Term Loan Commitments in reliance on the Ratio Incremental Term Loan Amount, then unless such Borrower elects otherwise, each increased Incremental Term Loan Commitment will be deemed incurred first in reliance on the Ratio Incremental Term Loan Amount to the extent permitted (without including in the applicable financial calculation the amount of any Indebtedness being incurred in reliance upon the Fixed Incremental Term Loan Amount or the Fixed Incremental Revolving Amount) and if all or any portion of any increased Incremental Term Loan Commitment was previously incurred in reliance on the Fixed Incremental Term Loan Amount and, at any later time of determination, such amount could have been incurred instead in reliance on the Ratio Incremental Term Loan Amount, then the Borrowers may, upon written notice to the Administrative Agent, elect that such Indebtedness be reclassified at such later time of determination as having been incurred pursuant to the Ratio Incremental Term Loan Amount and thereafter such Indebtedness shall not count as a utilization of the Fixed Incremental Term Loan Amount.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2.10    </w:t>
      </w:r>
      <w:r>
        <w:rPr>
          <w:rFonts w:ascii="Times New Roman;sans-serif" w:hAnsi="Times New Roman;sans-serif"/>
          <w:b/>
          <w:color w:val="000000"/>
          <w:sz w:val="22"/>
          <w:u w:val="single"/>
        </w:rPr>
        <w:t>Additional Borrowers</w:t>
      </w:r>
      <w:r>
        <w:rPr>
          <w:rFonts w:ascii="Times New Roman;sans-serif" w:hAnsi="Times New Roman;sans-serif"/>
          <w:b w:val="false"/>
          <w:color w:val="000000"/>
          <w:sz w:val="22"/>
        </w:rPr>
        <w:t>.</w:t>
      </w:r>
      <w:r>
        <w:rPr>
          <w:strike/>
          <w:color w:val="FF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Subsidiary Borrowers</w:t>
      </w:r>
      <w:r>
        <w:rPr>
          <w:rFonts w:ascii="Times New Roman;sans-serif" w:hAnsi="Times New Roman;sans-serif"/>
          <w:b w:val="false"/>
          <w:color w:val="000000"/>
          <w:sz w:val="22"/>
        </w:rPr>
        <w:t>. The Company may from time to time request that a Restricted Subsidiary be added to this Agreement and the other Loan Documents as an additional Borrower with the ability to request and receive Extensions of Credit from the Lenders (each, a “</w:t>
      </w:r>
      <w:r>
        <w:rPr>
          <w:rFonts w:ascii="Times New Roman;sans-serif" w:hAnsi="Times New Roman;sans-serif"/>
          <w:b w:val="false"/>
          <w:color w:val="000000"/>
          <w:sz w:val="22"/>
          <w:u w:val="single"/>
        </w:rPr>
        <w:t>Subsidiary Borrower</w:t>
      </w:r>
      <w:r>
        <w:rPr>
          <w:color w:val="000000"/>
        </w:rPr>
        <w:t>”</w:t>
      </w:r>
      <w:r>
        <w:rPr>
          <w:rFonts w:ascii="Times New Roman;sans-serif" w:hAnsi="Times New Roman;sans-serif"/>
          <w:b w:val="false"/>
          <w:color w:val="000000"/>
          <w:sz w:val="22"/>
        </w:rPr>
        <w:t xml:space="preserve">). No more than five (5) requests shall be delivered during the term of this Agreement. Each such request shall be delivered in writing to the Administrative Agent and the Lenders and shall specify the name of such Subsidiary, such Subsidiary’s jurisdiction of organization, the Tranche under which such Subsidiary would be able to request and receive Extensions of Credit from the Lenders, and the Business Day on which the Company would like such joinder to be given effect. Such request shall be delivered at least thirty (30) days (or such shorter period as may be agreed by the Administrative Agent in its sole discretion) prior to the date on which the Company wishes to join such Subsidiary Borrower hereto. The Administrative Agent and the Lenders, subsequent to their receipt of such request, may ask the Company for additional information related to the proposed Subsidiary Borrower in their respective reasonable discretion. Taxes resulting from payments to any Lender by any such Subsidiary Borrower shall not be treated as Indemnified Taxes to the extent that Taxes resulting from such payment would have been Excluded Taxes if such payments had been made by the Company. In addition, no Lender shall be required to make Extensions of Credit to such Subsidiary Borrower if such Lender shall have given notice to the Administrative Agent and the Company within fifteen (15) Business Days after its receipt of the request to join such Subsidiary Borrower hereto that such Lender has determined in good faith that it would be subject, in making Extensions of Credit to such Subsidiary Borrower, to (i) regulatory or legal limitations or restrictions, (ii) material internal operations burdens or (iii) material financial disadvantage arising out of or attributable to the location or jurisdiction of organization of such Subsidiary Borrower or the nature of its activities. If all of the Lenders under the applicable Tranche inform the Administrative Agent and the Company that they are subject to such regulatory, legal or other burdens or limitations and restrictions or are otherwise disadvantaged as described above, then such Subsidiary Borrower shall not be joined hereto. If only a subset of the Lenders are unable to make Extensions of Credit to such Subsidiary Borrower as a result of the foregoing, then the Administrative Agent shall have the right to adjust (including, without limitation, further tranching hereof) the provisions of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and the other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82"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conditions of this Agreement as it may reasonably determine to enable the Lenders that are able to make Extensions of Credit to such Subsidiary Borrower without becoming subject to any such regulatory or any legal restriction or limitation or such burden or financial disadvantage, and without causing the Company or any Subsidiary Borrower to incur any such disadvantages of its own (including any such disadvantage in the form of being required to indemnify Lenders for withholding payments including Taxes), to make Extensions of Credit available to such Subsidiary Borrower on a non-pro rata basis with Lenders that are not so able, with such adjustments to be made in a manner that, to the extent practicable, are reasonably equitable to all the Lenders. In order to join a Subsidiary Borrower hereto, the Company shall cause the delivery of the following to the Administrative Agent and the Lenders at least five (5) Business Days prior to the date on which the Company has requested that such joinder be given effect: (i) a joinder agreement executed by the Company, the applicable Subsidiary Borrower and the Administrative Agent, in form and substance reasonably acceptable to each of them, pursuant to which such Subsidiary Borrower shall agree to be bound by the terms and conditions hereof and shall be entitled to request and receive Extensions of Credit hereunder; (ii) appropriate Notes made by such Subsidiary Borrower in favor of the applicable Lenders; (iii) organizational documents, resolutions, incumbency certificates and other similar corporate documents in respect of such Subsidiary Borrower, each in form and substance reasonably acceptable to the Administrative Agent, (iv) opinions of counsel for the Subsidiary Borrower in form and substance reasonably acceptable to the Administrative Agent; (v) documentation and other information reasonably requested by the Lenders or the Administrative Agent </w:t>
      </w:r>
      <w:r>
        <w:rPr>
          <w:rFonts w:ascii="Times New Roman;sans-serif" w:hAnsi="Times New Roman;sans-serif"/>
          <w:b w:val="false"/>
          <w:color w:val="0000FF"/>
          <w:sz w:val="22"/>
          <w:u w:val="single"/>
        </w:rPr>
        <w:t xml:space="preserve">at least ten (10) Business Days prior to the date on which the Company has requested that such joinder be given effect that is required </w:t>
      </w:r>
      <w:r>
        <w:rPr>
          <w:rFonts w:ascii="Times New Roman;sans-serif" w:hAnsi="Times New Roman;sans-serif"/>
          <w:b w:val="false"/>
          <w:color w:val="000000"/>
          <w:sz w:val="22"/>
        </w:rPr>
        <w:t xml:space="preserve">under applicable “know your customer” and anti-money laundering rules and regulations, including the Patriot Act and the Beneficial Ownership Regulation; (vi) no-default certificates, borrowing requests and other similar deliverables as required for the Company under </w:t>
      </w:r>
      <w:r>
        <w:rPr>
          <w:rFonts w:ascii="Times New Roman;sans-serif" w:hAnsi="Times New Roman;sans-serif"/>
          <w:b w:val="false"/>
          <w:color w:val="000000"/>
          <w:sz w:val="22"/>
          <w:u w:val="single"/>
        </w:rPr>
        <w:t>Sections 5.1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5.2</w:t>
      </w:r>
      <w:r>
        <w:rPr>
          <w:rFonts w:ascii="Times New Roman;sans-serif" w:hAnsi="Times New Roman;sans-serif"/>
          <w:b w:val="false"/>
          <w:color w:val="000000"/>
          <w:sz w:val="22"/>
        </w:rPr>
        <w:t xml:space="preserve">; and (vii) such other agreements, documents and instruments reasonably requested by the Administrative Agent (it being agreed that the forms of agreements and deliverables delivered by the Company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are acceptable for purposes of any Domestic Subsidiary being added as a Subsidiary Borrower). Upon satisfaction of the requirements set forth in this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 xml:space="preserve">, the applicable Subsidiary Borrower shall for all purposes of this Agreement be a party to this Agreement. The Company and the Administrative Agent may enter into an amendment hereto, in form and substance reasonably acceptable to each of them, to give further effect to the addition of such Subsidiary Borrower hereto, and the Lenders authorize the Administrative Agent to enter into such an amendment;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such amendment shall be technical and ministerial in nature and shall be focused solely on appropriately inserting the Subsidiary Borrower into this Agreement and the other Loan Documents. The Company shall guarantee the Obligations of each Subsidiary Borrower on terms and conditions reasonably acceptable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Obligations</w:t>
      </w:r>
      <w:r>
        <w:rPr>
          <w:rFonts w:ascii="Times New Roman;sans-serif" w:hAnsi="Times New Roman;sans-serif"/>
          <w:b w:val="false"/>
          <w:color w:val="000000"/>
          <w:sz w:val="22"/>
        </w:rPr>
        <w:t xml:space="preserve">. The Obligations of the Company and each of the Subsidiary Borrowers that are Domestic Subsidiaries shall be joint and several in nature regardless of which such Person actually receives Extensions of Credit hereunder or the amount of such Extensions of Credit received or the manner in which the Administrative Agent, any Issuing Lender or any Lender accounts for such Extensions of Credit on its books and records. Notwithstanding anything contained to the contrary herein or in any Loan Document (including any Subsidiary Borrower joinder agreement), (A) no Subsidiary Borrower that is a Foreign Subsidiary shall be obligated with respect to any Obligations of the Company or of any Domestic Subsidiary and, for the avoidance of doubt, no Subsidiary Borrower that is a Foreign Subsidiary shall be obligated to make any payment with respect to any Obligation of the Company or any Domestic Subsidiary hereunder or under any other Loan Document, (B) the Obligations owed by a Subsidiary Borrower that is a Foreign Subsidiary shall be several and not joint with the Obligations of the Company or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83"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Subsidiary Borrower that is a Domestic Subsidiary and (C) no Subsidiary Borrower that is a Foreign Subsidiary shall be obligated as a Guarantor under the Guaranty Agreement with respect to the Obligations of the Company or any Domestic Subsidiary.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Appointment</w:t>
      </w:r>
      <w:r>
        <w:rPr>
          <w:rFonts w:ascii="Times New Roman;sans-serif" w:hAnsi="Times New Roman;sans-serif"/>
          <w:b w:val="false"/>
          <w:color w:val="000000"/>
          <w:sz w:val="22"/>
        </w:rPr>
        <w:t xml:space="preserve">. Each Subsidiary of the Company that is or becomes a “Subsidiary Borrower” pursuant to this </w:t>
      </w:r>
      <w:r>
        <w:rPr>
          <w:rFonts w:ascii="Times New Roman;sans-serif" w:hAnsi="Times New Roman;sans-serif"/>
          <w:b w:val="false"/>
          <w:color w:val="000000"/>
          <w:sz w:val="22"/>
          <w:u w:val="single"/>
        </w:rPr>
        <w:t>Section 2.10</w:t>
      </w:r>
      <w:r>
        <w:rPr>
          <w:color w:val="000000"/>
        </w:rPr>
        <w:t xml:space="preserve"> </w:t>
      </w:r>
      <w:r>
        <w:rPr>
          <w:rFonts w:ascii="Times New Roman;sans-serif" w:hAnsi="Times New Roman;sans-serif"/>
          <w:b w:val="false"/>
          <w:color w:val="000000"/>
          <w:sz w:val="22"/>
        </w:rPr>
        <w:t>hereby irrevocably appoints the Company to act as its agent for all purposes of this Agreement and the other Loan Documents and agrees that (i) the Company may execute such documents on behalf of such Subsidiary Borrower as the Company deems appropriate in its sole discretion and each Subsidiary Borrower shall be obligated by all of the terms of any such document executed on its behalf, (ii) any notice or communication delivered by the Administrative Agent or the Lender to the Company shall be deemed delivered to each Subsidiary Borrower and (iii) the Administrative Agent or the Lenders may accept, and be permitted to rely on, any document, instrument or agreement executed by the Company on behalf of each of the Credit Parties.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Termination</w:t>
      </w:r>
      <w:r>
        <w:rPr>
          <w:rFonts w:ascii="Times New Roman;sans-serif" w:hAnsi="Times New Roman;sans-serif"/>
          <w:b w:val="false"/>
          <w:color w:val="000000"/>
          <w:sz w:val="22"/>
        </w:rPr>
        <w:t>. The Company may from time to time, upon not less than 15 Business Days’ notice from the Company to the Administrative Agent (or such shorter period as may be agreed by the Administrative Agent), terminate a Subsidiary Borrower’s status as such, provided that there are no outstanding Loans payable by such Subsidiary Borrower, or other amounts payable by such Subsidiary Borrower on account of any Loans made to it, as of the effective date of such termination.</w:t>
      </w:r>
    </w:p>
    <w:p>
      <w:pPr>
        <w:pStyle w:val="TextBody"/>
        <w:bidi w:val="0"/>
        <w:spacing w:lineRule="auto" w:line="288" w:before="0" w:after="240"/>
        <w:ind w:left="0" w:right="0" w:firstLine="720"/>
        <w:jc w:val="both"/>
        <w:rPr/>
      </w:pPr>
      <w:r>
        <w:rPr>
          <w:rFonts w:ascii="Times New Roman;sans-serif" w:hAnsi="Times New Roman;sans-serif"/>
          <w:b/>
          <w:color w:val="0000FF"/>
          <w:sz w:val="22"/>
          <w:u w:val="single"/>
        </w:rPr>
        <w:t>SECTION 2.11    Sustainability Adjustments</w:t>
      </w:r>
      <w:r>
        <w:rPr>
          <w:rFonts w:ascii="Times New Roman;sans-serif" w:hAnsi="Times New Roman;sans-serif"/>
          <w:b w:val="false"/>
          <w:color w:val="0000FF"/>
          <w:sz w:val="22"/>
          <w:u w:val="single"/>
        </w:rPr>
        <w:t>.</w:t>
      </w:r>
    </w:p>
    <w:p>
      <w:pPr>
        <w:pStyle w:val="TextBody"/>
        <w:bidi w:val="0"/>
        <w:spacing w:lineRule="auto" w:line="288" w:before="0" w:after="240"/>
        <w:ind w:left="0" w:right="0" w:firstLine="360"/>
        <w:jc w:val="left"/>
        <w:rPr/>
      </w:pPr>
      <w:r>
        <w:rPr>
          <w:rFonts w:ascii="Times New Roman;sans-serif" w:hAnsi="Times New Roman;sans-serif"/>
          <w:b w:val="false"/>
          <w:color w:val="0000FF"/>
          <w:sz w:val="22"/>
        </w:rPr>
        <w:t>a.    </w:t>
      </w:r>
      <w:r>
        <w:rPr>
          <w:rFonts w:ascii="Times New Roman;sans-serif" w:hAnsi="Times New Roman;sans-serif"/>
          <w:b w:val="false"/>
          <w:color w:val="0000FF"/>
          <w:sz w:val="22"/>
          <w:u w:val="single"/>
        </w:rPr>
        <w:t>ESG Amendment. On or prior to the date which is twelve (12) months following the Third Amendment Effective Date, the Borrowers, in consultation with the Sustainability Coordinator, shall be entitled to establish specified Key Performance Indicators (</w:t>
      </w:r>
      <w:r>
        <w:rPr>
          <w:color w:val="0000FF"/>
          <w:u w:val="single"/>
        </w:rPr>
        <w:t>“</w:t>
      </w:r>
      <w:r>
        <w:rPr>
          <w:rFonts w:ascii="Times New Roman;sans-serif" w:hAnsi="Times New Roman;sans-serif"/>
          <w:b w:val="false"/>
          <w:color w:val="0000FF"/>
          <w:sz w:val="22"/>
          <w:u w:val="single"/>
        </w:rPr>
        <w:t>KPI’s”) with respect to certain Environmental, Social and Governance (“ESG”)</w:t>
      </w:r>
      <w:r>
        <w:rPr>
          <w:color w:val="0000FF"/>
          <w:u w:val="single"/>
        </w:rPr>
        <w:t xml:space="preserve"> </w:t>
      </w:r>
      <w:r>
        <w:rPr>
          <w:rFonts w:ascii="Times New Roman;sans-serif" w:hAnsi="Times New Roman;sans-serif"/>
          <w:b w:val="false"/>
          <w:color w:val="0000FF"/>
          <w:sz w:val="22"/>
          <w:u w:val="single"/>
        </w:rPr>
        <w:t xml:space="preserve">targets of the Borrowers and their Restricted Subsidiaries. The Sustainability Coordinator, the Company and the Administrative Agent may amend this Agreement (such amendment, the “ESG Amendment”) solely for the purpose of incorporating the KPI’s and other related provisions (the “ESG Pricing Provisions”) into this Agreement, and any such amendment (including provisions with respect to the reporting and validation of the measurement of the proposed KPI’s) shall become effective with the written consent of the Required Lenders, the Company, the Administrative Agent and the Sustainability Coordinator. Upon effectiveness of any such ESG Amendment, based on the Borrowers’ performance against the KPI’s, certain adjustments (increase, decrease or no adjustment) to the otherwise applicable Commitment Fee, Applicable Margin for Base Rate Loans and Applicable Margin for Term SOFR Loans, Daily SOFR Loans and Designated Currency Rate Loans; </w:t>
      </w:r>
      <w:r>
        <w:rPr>
          <w:rFonts w:ascii="Times New Roman;sans-serif" w:hAnsi="Times New Roman;sans-serif"/>
          <w:b w:val="false"/>
          <w:i/>
          <w:color w:val="0000FF"/>
          <w:sz w:val="22"/>
          <w:u w:val="single"/>
        </w:rPr>
        <w:t>provided</w:t>
      </w:r>
      <w:r>
        <w:rPr>
          <w:color w:val="0000FF"/>
          <w:u w:val="single"/>
        </w:rPr>
        <w:t xml:space="preserve"> </w:t>
      </w:r>
      <w:r>
        <w:rPr>
          <w:rFonts w:ascii="Times New Roman;sans-serif" w:hAnsi="Times New Roman;sans-serif"/>
          <w:b w:val="false"/>
          <w:color w:val="0000FF"/>
          <w:sz w:val="22"/>
          <w:u w:val="single"/>
        </w:rPr>
        <w:t xml:space="preserve">that the amount of such adjustments shall not exceed (x) a 0.020% increase and/or decrease in the otherwise applicable Commitment Fee and (y) a 0.075% increase and/or decrease in the otherwise applicable Applicable Margin for Base Rate Loans and Applicable Margin for Term SOFR Loans, Daily SOFR Loans and Designated Currency Rate Loans, and the adjustments to the Applicable Margin for Base Rate Loans shall be the same as the adjustments to the Applicable Margin for Term SOFR Loans, Daily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84"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val="false"/>
          <w:color w:val="0000FF"/>
          <w:sz w:val="22"/>
          <w:u w:val="single"/>
        </w:rPr>
        <w:t xml:space="preserve">SOFR Loans and Designated Currency Rate Loans; </w:t>
      </w:r>
      <w:r>
        <w:rPr>
          <w:rFonts w:ascii="Times New Roman;sans-serif" w:hAnsi="Times New Roman;sans-serif"/>
          <w:b w:val="false"/>
          <w:i/>
          <w:color w:val="0000FF"/>
          <w:sz w:val="22"/>
          <w:u w:val="single"/>
        </w:rPr>
        <w:t>provided further</w:t>
      </w:r>
      <w:r>
        <w:rPr>
          <w:color w:val="0000FF"/>
          <w:u w:val="single"/>
        </w:rPr>
        <w:t xml:space="preserve"> </w:t>
      </w:r>
      <w:r>
        <w:rPr>
          <w:rFonts w:ascii="Times New Roman;sans-serif" w:hAnsi="Times New Roman;sans-serif"/>
          <w:b w:val="false"/>
          <w:color w:val="0000FF"/>
          <w:sz w:val="22"/>
          <w:u w:val="single"/>
        </w:rPr>
        <w:t>that (i)</w:t>
      </w:r>
      <w:r>
        <w:rPr>
          <w:color w:val="0000FF"/>
          <w:u w:val="single"/>
        </w:rPr>
        <w:t xml:space="preserve"> </w:t>
      </w:r>
      <w:r>
        <w:rPr>
          <w:rFonts w:ascii="Times New Roman;sans-serif" w:hAnsi="Times New Roman;sans-serif"/>
          <w:b w:val="false"/>
          <w:color w:val="0000FF"/>
          <w:sz w:val="22"/>
          <w:u w:val="single"/>
        </w:rPr>
        <w:t>in no event shall the applicable Commitment Fee, Applicable Margin for Base Rate Loans and Applicable Margin for Term SOFR Loans, Daily SOFR Loans and Designated Currency Rate Loans be less than zero and (ii) such adjustments shall be made on a per annum basis, and shall not be cumulative from year to year. The pricing adjustments pursuant to the KPI’s will require, among other things, reporting and validation of the measurement of the KPI’s in a manner that is aligned with the Sustainability Linked Loan Principles and is to be agreed between the Company and the Sustainability Coordinator (each acting reasonably), including the appointment of a Sustainability Assurance Provider. Following the effectiveness of the ESG Amendment, any modification to the ESG Pricing Provisions shall be subject only to the consent of the Company and the Required Lenders if such modification does not have the effect of reducing the applicable Commitment Fee or applicable Applicable Margin for Base Rate Loans and Applicable Margin for Term SOFR Loans, Daily SOFR Loans and Designated Currency Rate Loans to a level not otherwise permitted by this paragraph (it being understood that any such modification having the effect of reducing the applicable Commitment Fee, Applicable Margin for Base Rate Loans or Applicable Margin for Term SOFR Loans, Daily SOFR Loans and Designated Currency Rate Loans to a level not otherwise permitted by this paragraph would require approval by all affected Lenders in accordance with Section 13.2).</w:t>
      </w:r>
    </w:p>
    <w:p>
      <w:pPr>
        <w:pStyle w:val="TextBody"/>
        <w:bidi w:val="0"/>
        <w:spacing w:before="0" w:after="240"/>
        <w:jc w:val="both"/>
        <w:rPr/>
      </w:pPr>
      <w:r>
        <w:rPr/>
      </w:r>
    </w:p>
    <w:p>
      <w:pPr>
        <w:pStyle w:val="TextBody"/>
        <w:bidi w:val="0"/>
        <w:spacing w:lineRule="auto" w:line="288" w:before="0" w:after="240"/>
        <w:ind w:left="0" w:right="0" w:firstLine="360"/>
        <w:jc w:val="left"/>
        <w:rPr/>
      </w:pPr>
      <w:r>
        <w:rPr>
          <w:rFonts w:ascii="Times New Roman;sans-serif" w:hAnsi="Times New Roman;sans-serif"/>
          <w:b w:val="false"/>
          <w:color w:val="0000FF"/>
          <w:sz w:val="22"/>
        </w:rPr>
        <w:t>b.    </w:t>
      </w:r>
      <w:r>
        <w:rPr>
          <w:rFonts w:ascii="Times New Roman;sans-serif" w:hAnsi="Times New Roman;sans-serif"/>
          <w:b w:val="false"/>
          <w:color w:val="0000FF"/>
          <w:sz w:val="22"/>
          <w:u w:val="single"/>
        </w:rPr>
        <w:t>Sustainability Coordinator. The Sustainability Coordinator will (i) assist the Company in determining the ESG Pricing Provisions in connection with the ESG Amendment and (ii) assist the Company in preparing informational materials focused on ESG to be used in connection with the ESG Amendment.</w:t>
      </w:r>
    </w:p>
    <w:p>
      <w:pPr>
        <w:pStyle w:val="TextBody"/>
        <w:bidi w:val="0"/>
        <w:spacing w:before="0" w:after="240"/>
        <w:jc w:val="both"/>
        <w:rPr/>
      </w:pPr>
      <w:r>
        <w:rPr/>
      </w:r>
    </w:p>
    <w:p>
      <w:pPr>
        <w:pStyle w:val="TextBody"/>
        <w:bidi w:val="0"/>
        <w:spacing w:lineRule="auto" w:line="288" w:before="0" w:after="240"/>
        <w:ind w:left="0" w:right="0" w:firstLine="360"/>
        <w:jc w:val="left"/>
        <w:rPr/>
      </w:pPr>
      <w:r>
        <w:rPr>
          <w:rFonts w:ascii="Times New Roman;sans-serif" w:hAnsi="Times New Roman;sans-serif"/>
          <w:b w:val="false"/>
          <w:color w:val="0000FF"/>
          <w:sz w:val="22"/>
        </w:rPr>
        <w:t>c.    </w:t>
      </w:r>
      <w:r>
        <w:rPr>
          <w:rFonts w:ascii="Times New Roman;sans-serif" w:hAnsi="Times New Roman;sans-serif"/>
          <w:b w:val="false"/>
          <w:color w:val="0000FF"/>
          <w:sz w:val="22"/>
          <w:u w:val="single"/>
        </w:rPr>
        <w:t>Conflicting Provisions. This Section shall supersede any provisions in Section 13.2 to the contrary.</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III</w:t>
        <w:br/>
        <w:br/>
        <w:t>[INTENTIONALLY OMITTED]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IV</w:t>
        <w:br/>
        <w:br/>
        <w:t>GENERAL LOAN PROVISIONS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4.1    </w:t>
      </w:r>
      <w:r>
        <w:rPr>
          <w:rFonts w:ascii="Times New Roman;sans-serif" w:hAnsi="Times New Roman;sans-serif"/>
          <w:b/>
          <w:color w:val="000000"/>
          <w:sz w:val="22"/>
          <w:u w:val="single"/>
        </w:rPr>
        <w:t>Interest and Default Rate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Interest</w:t>
      </w:r>
      <w:r>
        <w:rPr>
          <w:rFonts w:ascii="Times New Roman;sans-serif" w:hAnsi="Times New Roman;sans-serif"/>
          <w:b w:val="false"/>
          <w:color w:val="000000"/>
          <w:sz w:val="22"/>
        </w:rPr>
        <w:t xml:space="preserve">. Subject to the provisions of </w:t>
      </w:r>
      <w:r>
        <w:rPr>
          <w:rFonts w:ascii="Times New Roman;sans-serif" w:hAnsi="Times New Roman;sans-serif"/>
          <w:b w:val="false"/>
          <w:color w:val="000000"/>
          <w:sz w:val="22"/>
          <w:u w:val="single"/>
        </w:rPr>
        <w:t>Section 4.1(b)</w:t>
      </w:r>
      <w:r>
        <w:rPr>
          <w:rFonts w:ascii="Times New Roman;sans-serif" w:hAnsi="Times New Roman;sans-serif"/>
          <w:b w:val="false"/>
          <w:color w:val="000000"/>
          <w:sz w:val="22"/>
        </w:rPr>
        <w:t xml:space="preserve">, (i) each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 xml:space="preserve">Rate Loan under a Facility shall bear interest on the outstanding principal amount thereof for each Interest Period from the applicable borrowing date at a rate per annum equal to the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 Term</w:t>
      </w:r>
      <w:r>
        <w:rPr>
          <w:color w:val="000000"/>
        </w:rPr>
        <w:t xml:space="preserve"> </w:t>
      </w:r>
      <w:r>
        <w:rPr>
          <w:rFonts w:ascii="Times New Roman;sans-serif" w:hAnsi="Times New Roman;sans-serif"/>
          <w:b w:val="false"/>
          <w:color w:val="000000"/>
          <w:sz w:val="22"/>
        </w:rPr>
        <w:t xml:space="preserve">Rate for such Interest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Margin for such Facility; (ii) </w:t>
      </w:r>
      <w:r>
        <w:rPr>
          <w:rFonts w:ascii="Times New Roman;sans-serif" w:hAnsi="Times New Roman;sans-serif"/>
          <w:b w:val="false"/>
          <w:color w:val="0000FF"/>
          <w:sz w:val="22"/>
          <w:u w:val="single"/>
        </w:rPr>
        <w:t xml:space="preserve">each Designated Currency Daily Rate Loan under a Facility shall bear interest on the outstanding principal amount thereof from the applicable borrowing date at a rate per annum equal to Designated Currency Daily Rate plus the Applicable Margin for such Facility; (iii) each Daily SOFR Loan under a Facility shall bear interest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85"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FF"/>
          <w:sz w:val="22"/>
          <w:u w:val="single"/>
        </w:rPr>
        <w:t>outstanding principal amount thereof from the applicable borrowing date at a rate per annum equal to Daily SOFR plus the Applicable Margin for such Facility; (iv) each Term SOFR Loan under a Facility shall bear interest on the outstanding principal amount thereof for each Interest Period from the applicable borrowing date at a rate per annum equal to the sum of Term SOFR for such Interest Period plus the Applicable Margin for such Facility, (v) </w:t>
      </w:r>
      <w:r>
        <w:rPr>
          <w:rFonts w:ascii="Times New Roman;sans-serif" w:hAnsi="Times New Roman;sans-serif"/>
          <w:b w:val="false"/>
          <w:color w:val="000000"/>
          <w:sz w:val="22"/>
        </w:rPr>
        <w:t xml:space="preserve">each Base Rate Loan under a Facility shall bear interest on the outstanding principal amount thereof from the applicable borrowing date at a rate per annum equal to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Margin for such Facility; and (</w:t>
      </w:r>
      <w:r>
        <w:rPr>
          <w:rFonts w:ascii="Times New Roman;sans-serif" w:hAnsi="Times New Roman;sans-serif"/>
          <w:b w:val="false"/>
          <w:strike/>
          <w:color w:val="FF0000"/>
          <w:sz w:val="22"/>
        </w:rPr>
        <w:t>iii</w:t>
      </w:r>
      <w:r>
        <w:rPr>
          <w:rFonts w:ascii="Times New Roman;sans-serif" w:hAnsi="Times New Roman;sans-serif"/>
          <w:b w:val="false"/>
          <w:color w:val="0000FF"/>
          <w:sz w:val="22"/>
          <w:u w:val="single"/>
        </w:rPr>
        <w:t>vi</w:t>
      </w:r>
      <w:r>
        <w:rPr>
          <w:rFonts w:ascii="Times New Roman;sans-serif" w:hAnsi="Times New Roman;sans-serif"/>
          <w:b w:val="false"/>
          <w:color w:val="000000"/>
          <w:sz w:val="22"/>
        </w:rPr>
        <w:t xml:space="preserve">) each Swingline Loan shall bear interest on the outstanding principal amount thereof from the applicable borrowing date at a rate per annum equal to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Margin for the Revolving Credit Facility.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Default Rate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Upon the occurrence and during the continuance of a Payment Event of Default, such overdue amount shall thereafter bear interest at a fluctuating interest rate per annum equal to the Default Rate until paid in full to the fullest extent permitted by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Upon the request of the Required Lenders, while any Event of Default exists (including a Payment Event of Default), all outstanding Obligations (including Letter of Credit Fees) may accrue at a fluctuating interest rate per annum at all times equal to the Default Rate to the fullest extent permitted by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Laws.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Accrued and unpaid interest on past due amounts (including interest on past due interest) shall be due and payable upon demand.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Interest Payments</w:t>
      </w:r>
      <w:r>
        <w:rPr>
          <w:rFonts w:ascii="Times New Roman;sans-serif" w:hAnsi="Times New Roman;sans-serif"/>
          <w:b w:val="false"/>
          <w:color w:val="000000"/>
          <w:sz w:val="22"/>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Maximum Rate</w:t>
      </w:r>
      <w:r>
        <w:rPr>
          <w:rFonts w:ascii="Times New Roman;sans-serif" w:hAnsi="Times New Roman;sans-serif"/>
          <w:b w:val="false"/>
          <w:color w:val="000000"/>
          <w:sz w:val="22"/>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Company (or the applicable Borrower) any interest received by the Lenders in excess of the maximum lawful rate or (ii) apply such excess to the principal balance of the Obligations on a pro rata basis. It is the intent hereof that no Borrower pay or contract to pay, and that neither the Administrative Agent nor any Lender receive or contract to receive, directly or indirectly in any manner whatsoever, interest in excess of that which may be paid by a Borrower under Applicable Law.</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4.2    </w:t>
      </w:r>
      <w:r>
        <w:rPr>
          <w:rFonts w:ascii="Times New Roman;sans-serif" w:hAnsi="Times New Roman;sans-serif"/>
          <w:b/>
          <w:color w:val="000000"/>
          <w:sz w:val="22"/>
          <w:u w:val="single"/>
        </w:rPr>
        <w:t>Computation of Interest and Fees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All computations of interest for Base Rate Loans (including Base Rate Loans determined by reference to </w:t>
      </w:r>
      <w:r>
        <w:rPr>
          <w:rFonts w:ascii="Times New Roman;sans-serif" w:hAnsi="Times New Roman;sans-serif"/>
          <w:b w:val="false"/>
          <w:strike/>
          <w:color w:val="FF0000"/>
          <w:sz w:val="22"/>
        </w:rPr>
        <w:t>the Eurocurrency Rate</w:t>
      </w:r>
      <w:r>
        <w:rPr>
          <w:rFonts w:ascii="Times New Roman;sans-serif" w:hAnsi="Times New Roman;sans-serif"/>
          <w:b w:val="false"/>
          <w:color w:val="0000FF"/>
          <w:sz w:val="22"/>
          <w:u w:val="single"/>
        </w:rPr>
        <w:t>SOFR</w:t>
      </w:r>
      <w:r>
        <w:rPr>
          <w:rFonts w:ascii="Times New Roman;sans-serif" w:hAnsi="Times New Roman;sans-serif"/>
          <w:b w:val="false"/>
          <w:color w:val="000000"/>
          <w:sz w:val="22"/>
        </w:rPr>
        <w:t xml:space="preserve">) shall be made on the basis of a year of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86"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365 or 366 days, as the case may be, and actual days elapsed. All </w:t>
      </w:r>
      <w:r>
        <w:rPr>
          <w:rFonts w:ascii="Times New Roman;sans-serif" w:hAnsi="Times New Roman;sans-serif"/>
          <w:b w:val="false"/>
          <w:color w:val="0000FF"/>
          <w:sz w:val="22"/>
          <w:u w:val="single"/>
        </w:rPr>
        <w:t xml:space="preserve">computations of interest for Designated Currency Rate Loans shall be made on a basis of a year as set forth in Schedule 4.2 for such Designated Currency Rate Loans and actual days elapsed. All </w:t>
      </w:r>
      <w:r>
        <w:rPr>
          <w:rFonts w:ascii="Times New Roman;sans-serif" w:hAnsi="Times New Roman;sans-serif"/>
          <w:b w:val="false"/>
          <w:color w:val="000000"/>
          <w:sz w:val="22"/>
        </w:rPr>
        <w:t xml:space="preserve">other computations of fees and interest </w:t>
      </w:r>
      <w:r>
        <w:rPr>
          <w:rFonts w:ascii="Times New Roman;sans-serif" w:hAnsi="Times New Roman;sans-serif"/>
          <w:b w:val="false"/>
          <w:color w:val="0000FF"/>
          <w:sz w:val="22"/>
          <w:u w:val="single"/>
        </w:rPr>
        <w:t xml:space="preserve">(including those with respect to Term SOFR Loans and Daily SOFR Loans) </w:t>
      </w:r>
      <w:r>
        <w:rPr>
          <w:rFonts w:ascii="Times New Roman;sans-serif" w:hAnsi="Times New Roman;sans-serif"/>
          <w:b w:val="false"/>
          <w:color w:val="000000"/>
          <w:sz w:val="22"/>
        </w:rPr>
        <w:t>shall be made on the basis of a 360</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day year and actual days elapsed (which results in more fees or interest, as applicable, being paid than if computed on the basis of a 365 day year)</w:t>
      </w:r>
      <w:r>
        <w:rPr>
          <w:rFonts w:ascii="Times New Roman;sans-serif" w:hAnsi="Times New Roman;sans-serif"/>
          <w:b w:val="false"/>
          <w:strike/>
          <w:color w:val="FF0000"/>
          <w:sz w:val="22"/>
        </w:rPr>
        <w:t xml:space="preserve">, </w:t>
      </w:r>
      <w:r>
        <w:rPr>
          <w:rFonts w:ascii="Times New Roman;sans-serif" w:hAnsi="Times New Roman;sans-serif"/>
          <w:b w:val="false"/>
          <w:strike/>
          <w:color w:val="008000"/>
          <w:sz w:val="22"/>
        </w:rPr>
        <w:t xml:space="preserve">or, in the case of </w:t>
      </w:r>
      <w:r>
        <w:rPr>
          <w:rFonts w:ascii="Times New Roman;sans-serif" w:hAnsi="Times New Roman;sans-serif"/>
          <w:b w:val="false"/>
          <w:strike/>
          <w:color w:val="FF0000"/>
          <w:sz w:val="22"/>
        </w:rPr>
        <w:t>interest in respect of Loans denominated in Foreign Currencies as to which market practice differs from the foregoing, in accordance with such market practice</w:t>
      </w:r>
      <w:r>
        <w:rPr>
          <w:rFonts w:ascii="Times New Roman;sans-serif" w:hAnsi="Times New Roman;sans-serif"/>
          <w:b w:val="false"/>
          <w:color w:val="000000"/>
          <w:sz w:val="22"/>
        </w:rPr>
        <w:t xml:space="preserve">. Interest shall accrue on each Loan for the day on which the Loan is made, and shall not accrue on a Loan, or any portion thereof, for the day on which the Loan or such portion is 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Loan that is repaid on the same day on which it is made shall, subject to </w:t>
      </w:r>
      <w:r>
        <w:rPr>
          <w:rFonts w:ascii="Times New Roman;sans-serif" w:hAnsi="Times New Roman;sans-serif"/>
          <w:b w:val="false"/>
          <w:color w:val="000000"/>
          <w:sz w:val="22"/>
          <w:u w:val="single"/>
        </w:rPr>
        <w:t>Section 4.4(a)</w:t>
      </w:r>
      <w:r>
        <w:rPr>
          <w:rFonts w:ascii="Times New Roman;sans-serif" w:hAnsi="Times New Roman;sans-serif"/>
          <w:b w:val="false"/>
          <w:color w:val="000000"/>
          <w:sz w:val="22"/>
        </w:rPr>
        <w:t>, bear interest for one (1) day. Each determination by the Administrative Agent of an interest rate or fee hereunder shall be conclusive and binding for all purposes, absent manifest error.</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(b)    Notwithstanding the foregoing, in the event that any financial statement or Officer’s Compliance Certificate delivered pursuant to </w:t>
      </w:r>
      <w:r>
        <w:rPr>
          <w:rFonts w:ascii="Times New Roman;sans-serif" w:hAnsi="Times New Roman;sans-serif"/>
          <w:b w:val="false"/>
          <w:color w:val="000000"/>
          <w:sz w:val="22"/>
          <w:u w:val="single"/>
        </w:rPr>
        <w:t>Section 7.1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7.2</w:t>
      </w:r>
      <w:r>
        <w:rPr>
          <w:color w:val="000000"/>
        </w:rPr>
        <w:t xml:space="preserve"> </w:t>
      </w:r>
      <w:r>
        <w:rPr>
          <w:rFonts w:ascii="Times New Roman;sans-serif" w:hAnsi="Times New Roman;sans-serif"/>
          <w:b w:val="false"/>
          <w:color w:val="000000"/>
          <w:sz w:val="22"/>
        </w:rPr>
        <w:t>is shown to be inaccurate (regardless of whether (A) this Agreement is in effect, (B) the Revolving Credit Commitments, Swingline Commitments, or Term Loan Commitments are in effect, or (C) any Extension of Credit is outstanding when such inaccuracy is discovered or such financial statement or Officer’s Compliance Certificate was delivered), and such inaccuracy, if corrected, would have led to the application of (i) a higher Applicable Margin for any period (an “</w:t>
      </w:r>
      <w:r>
        <w:rPr>
          <w:rFonts w:ascii="Times New Roman;sans-serif" w:hAnsi="Times New Roman;sans-serif"/>
          <w:b w:val="false"/>
          <w:color w:val="000000"/>
          <w:sz w:val="22"/>
          <w:u w:val="single"/>
        </w:rPr>
        <w:t>Applicable Period</w:t>
      </w:r>
      <w:r>
        <w:rPr>
          <w:color w:val="000000"/>
        </w:rPr>
        <w:t>”</w:t>
      </w:r>
      <w:r>
        <w:rPr>
          <w:rFonts w:ascii="Times New Roman;sans-serif" w:hAnsi="Times New Roman;sans-serif"/>
          <w:b w:val="false"/>
          <w:color w:val="000000"/>
          <w:sz w:val="22"/>
        </w:rPr>
        <w:t xml:space="preserve">) than the Applicable Margin applied for such Applicable Period, and only in such case, then (1) the Company shall promptly deliver to the Administrative Agent a corrected Officer’s Compliance Certificate for such Applicable Period, (2) the Applicable Margin for such Applicable Period shall be determined as if the Net Leverage Ratio in the corrected Officer’s Compliance Certificate were applicable for such Applicable Period and (3) the Company shall promptly pay to the Administrative Agent the accrued additional interest and fees, as applicable, owing as a result of such increased Applicable Margin for such Applicable Period, which payment shall be promptly applied by the Administrative Agent in accordance with </w:t>
      </w:r>
      <w:r>
        <w:rPr>
          <w:rFonts w:ascii="Times New Roman;sans-serif" w:hAnsi="Times New Roman;sans-serif"/>
          <w:b w:val="false"/>
          <w:color w:val="000000"/>
          <w:sz w:val="22"/>
          <w:u w:val="single"/>
        </w:rPr>
        <w:t>Section 4.4</w:t>
      </w:r>
      <w:r>
        <w:rPr>
          <w:color w:val="000000"/>
        </w:rPr>
        <w:t xml:space="preserve"> </w:t>
      </w:r>
      <w:r>
        <w:rPr>
          <w:rFonts w:ascii="Times New Roman;sans-serif" w:hAnsi="Times New Roman;sans-serif"/>
          <w:b w:val="false"/>
          <w:color w:val="000000"/>
          <w:sz w:val="22"/>
        </w:rPr>
        <w:t xml:space="preserve">and (ii) a lower Applicable Margin for such Applicable Period, the Lenders shall have no obligation to repay any interest or fees to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as a result of any restatement or other event, a proper calculation of the Net Leverage Ratio would have resulted in higher pricing for one or more periods and lower pricing for one or more other periods (due to the shifting of income or expenses from one period to another period or any similar reason), then the amount payable by the Company pursuant to clause (i) above shall be based upon the excess, if any, of the amount of interest and fees that should have been paid for all Applicable Periods over the amount of interest and fees paid for all such Applicable Periods. Nothing in this paragraph shall limit the rights of the Administrative Agent and Lenders with respect to </w:t>
      </w:r>
      <w:r>
        <w:rPr>
          <w:rFonts w:ascii="Times New Roman;sans-serif" w:hAnsi="Times New Roman;sans-serif"/>
          <w:b w:val="false"/>
          <w:color w:val="000000"/>
          <w:sz w:val="22"/>
          <w:u w:val="single"/>
        </w:rPr>
        <w:t>Section 4.1(b)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4.3    </w:t>
      </w:r>
      <w:r>
        <w:rPr>
          <w:rFonts w:ascii="Times New Roman;sans-serif" w:hAnsi="Times New Roman;sans-serif"/>
          <w:b/>
          <w:color w:val="000000"/>
          <w:sz w:val="22"/>
          <w:u w:val="single"/>
        </w:rPr>
        <w:t>Fees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In addition to certain fees described in subsections (h) and (i) of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Commitment Fee (Revolving Credit Facility)</w:t>
      </w:r>
      <w:r>
        <w:rPr>
          <w:rFonts w:ascii="Times New Roman;sans-serif" w:hAnsi="Times New Roman;sans-serif"/>
          <w:b w:val="false"/>
          <w:color w:val="000000"/>
          <w:sz w:val="22"/>
        </w:rPr>
        <w:t xml:space="preserve">. Commencing on the Closing Date, the Company shall pay to the Administrative Agent, for the account of the Lenders (other than any Defaulting Lenders), a non-refundable commitment fee </w:t>
      </w:r>
      <w:r>
        <w:rPr>
          <w:rFonts w:ascii="Times New Roman;sans-serif" w:hAnsi="Times New Roman;sans-serif"/>
          <w:b w:val="false"/>
          <w:color w:val="0000FF"/>
          <w:sz w:val="22"/>
          <w:u w:val="single"/>
        </w:rPr>
        <w:t xml:space="preserve">(the “Commitment Fee”) </w:t>
      </w:r>
      <w:r>
        <w:rPr>
          <w:rFonts w:ascii="Times New Roman;sans-serif" w:hAnsi="Times New Roman;sans-serif"/>
          <w:b w:val="false"/>
          <w:color w:val="000000"/>
          <w:sz w:val="22"/>
        </w:rPr>
        <w:t xml:space="preserve">at a rate per annum equal to the Applicable Margin times (i) for Lenders under the Dollar Tranche, the actual daily unused portion of the Revolving Credit Commitment for such Tranche (other than the Defaulting Lenders, if 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amount of outstanding Swingline Loans shall not be considered usage of the Revolving Credit Commitment under such Tranche for the purpose of calculating such commitment fee; and (ii) for Lenders under the Designated Currency Tranche, the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87"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actual daily unused portion of the Revolving Credit Commitment for such Tranche (other than the Defaulting Lenders, if any). The commitment fee shall be payable in arrears on the last Business Day of each calendar quarter during the term of this Agreement commencing </w:t>
      </w:r>
      <w:r>
        <w:rPr>
          <w:rFonts w:ascii="Times New Roman;sans-serif" w:hAnsi="Times New Roman;sans-serif"/>
          <w:b w:val="false"/>
          <w:strike/>
          <w:color w:val="FF0000"/>
          <w:sz w:val="22"/>
        </w:rPr>
        <w:t>December 31</w:t>
      </w:r>
      <w:r>
        <w:rPr>
          <w:rFonts w:ascii="Times New Roman;sans-serif" w:hAnsi="Times New Roman;sans-serif"/>
          <w:b w:val="false"/>
          <w:color w:val="0000FF"/>
          <w:sz w:val="22"/>
          <w:u w:val="single"/>
        </w:rPr>
        <w:t>June 30</w:t>
      </w:r>
      <w:r>
        <w:rPr>
          <w:rFonts w:ascii="Times New Roman;sans-serif" w:hAnsi="Times New Roman;sans-serif"/>
          <w:b w:val="false"/>
          <w:color w:val="000000"/>
          <w:sz w:val="22"/>
        </w:rPr>
        <w:t xml:space="preserve">, </w:t>
      </w:r>
      <w:r>
        <w:rPr>
          <w:rFonts w:ascii="Times New Roman;sans-serif" w:hAnsi="Times New Roman;sans-serif"/>
          <w:b w:val="false"/>
          <w:strike/>
          <w:color w:val="FF0000"/>
          <w:sz w:val="22"/>
        </w:rPr>
        <w:t>2020</w:t>
      </w:r>
      <w:r>
        <w:rPr>
          <w:rFonts w:ascii="Times New Roman;sans-serif" w:hAnsi="Times New Roman;sans-serif"/>
          <w:b w:val="false"/>
          <w:color w:val="0000FF"/>
          <w:sz w:val="22"/>
          <w:u w:val="single"/>
        </w:rPr>
        <w:t>2024</w:t>
      </w:r>
      <w:r>
        <w:rPr>
          <w:rFonts w:ascii="Times New Roman;sans-serif" w:hAnsi="Times New Roman;sans-serif"/>
          <w:b w:val="false"/>
          <w:color w:val="000000"/>
          <w:sz w:val="22"/>
        </w:rPr>
        <w:t>, and on the last day of the Availability Period. Such commitment fee shall be distributed by the Administrative Agent to the Revolving Credit Lenders (other than any Defaulting Lender) under a Tranche pro rata in accordance with the Revolving Credit Lenders’ respective Revolving Credit Commitment Percentages under such Tranche.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Administrative Agent’s Fees</w:t>
      </w:r>
      <w:r>
        <w:rPr>
          <w:rFonts w:ascii="Times New Roman;sans-serif" w:hAnsi="Times New Roman;sans-serif"/>
          <w:b w:val="false"/>
          <w:color w:val="000000"/>
          <w:sz w:val="22"/>
        </w:rPr>
        <w:t>. In order to compensate the Administrative Agent for structuring and syndicating the Loans and for its obligations hereunder, the Company agrees to pay to the Administrative Agent and its Affiliates, for their own account, the fees set forth in the Administrative Agent Fee Letter.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Other Fees</w:t>
      </w:r>
      <w:r>
        <w:rPr>
          <w:rFonts w:ascii="Times New Roman;sans-serif" w:hAnsi="Times New Roman;sans-serif"/>
          <w:b w:val="false"/>
          <w:color w:val="000000"/>
          <w:sz w:val="22"/>
        </w:rPr>
        <w:t>. The Company shall pay to the Lenders, in Dollars, such fees as shall have been separately agreed upon in writing in the amounts and at the times so specified</w:t>
      </w:r>
      <w:r>
        <w:rPr>
          <w:color w:val="0000FF"/>
          <w:u w:val="single"/>
        </w:rPr>
        <w:t xml:space="preserve"> </w:t>
      </w:r>
      <w:r>
        <w:rPr>
          <w:rFonts w:ascii="Times New Roman;sans-serif" w:hAnsi="Times New Roman;sans-serif"/>
          <w:b w:val="false"/>
          <w:color w:val="0000FF"/>
          <w:sz w:val="22"/>
          <w:u w:val="single"/>
        </w:rPr>
        <w:t>(including any fees agreed in writing with the Sustainability Coordinator)</w:t>
      </w:r>
      <w:r>
        <w:rPr>
          <w:rFonts w:ascii="Times New Roman;sans-serif" w:hAnsi="Times New Roman;sans-serif"/>
          <w:b w:val="false"/>
          <w:color w:val="000000"/>
          <w:sz w:val="22"/>
        </w:rPr>
        <w:t>. Such fees shall be fully earned when paid and shall not be refundable for any reason whatsoever.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4.4    </w:t>
      </w:r>
      <w:r>
        <w:rPr>
          <w:rFonts w:ascii="Times New Roman;sans-serif" w:hAnsi="Times New Roman;sans-serif"/>
          <w:b/>
          <w:color w:val="000000"/>
          <w:sz w:val="22"/>
          <w:u w:val="single"/>
        </w:rPr>
        <w:t>Payments Generally; Administrative Agent’s Clawback</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All payments to be made by any Borrower, subject to </w:t>
      </w:r>
      <w:r>
        <w:rPr>
          <w:rFonts w:ascii="Times New Roman;sans-serif" w:hAnsi="Times New Roman;sans-serif"/>
          <w:b w:val="false"/>
          <w:color w:val="000000"/>
          <w:sz w:val="22"/>
          <w:u w:val="single"/>
        </w:rPr>
        <w:t>Section 4.11(a)</w:t>
      </w:r>
      <w:r>
        <w:rPr>
          <w:rFonts w:ascii="Times New Roman;sans-serif" w:hAnsi="Times New Roman;sans-serif"/>
          <w:b w:val="false"/>
          <w:color w:val="000000"/>
          <w:sz w:val="22"/>
        </w:rPr>
        <w:t xml:space="preserve">, shall be made free and clear of and without condition or deduction for any counterclaim, defense, recoupment or setoff. Except as otherwise expressly provided herein and except with respect to principal of and interest on Loans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all payments by a Borrower hereunder shall be made to the Administrative Agent, for the account of the respective Lenders to which such payment is owed, at the applicable</w:t>
      </w:r>
      <w:r>
        <w:rPr>
          <w:color w:val="000000"/>
        </w:rPr>
        <w:t xml:space="preserve"> </w:t>
      </w:r>
      <w:r>
        <w:rPr>
          <w:rFonts w:ascii="Times New Roman;sans-serif" w:hAnsi="Times New Roman;sans-serif"/>
          <w:b w:val="false"/>
          <w:color w:val="000000"/>
          <w:sz w:val="22"/>
        </w:rPr>
        <w:t xml:space="preserve">Administrative Agent’s Office in Dollars and in Same Day Funds not later than </w:t>
      </w:r>
      <w:r>
        <w:rPr>
          <w:rFonts w:ascii="Times New Roman;sans-serif" w:hAnsi="Times New Roman;sans-serif"/>
          <w:b w:val="false"/>
          <w:strike/>
          <w:color w:val="FF0000"/>
          <w:sz w:val="22"/>
        </w:rPr>
        <w:t>2:00 p.m</w:t>
      </w:r>
      <w:r>
        <w:rPr>
          <w:rFonts w:ascii="Times New Roman;sans-serif" w:hAnsi="Times New Roman;sans-serif"/>
          <w:b w:val="false"/>
          <w:color w:val="0000FF"/>
          <w:sz w:val="22"/>
          <w:u w:val="single"/>
        </w:rPr>
        <w:t>2:00 p.m</w:t>
      </w:r>
      <w:r>
        <w:rPr>
          <w:rFonts w:ascii="Times New Roman;sans-serif" w:hAnsi="Times New Roman;sans-serif"/>
          <w:b w:val="false"/>
          <w:color w:val="000000"/>
          <w:sz w:val="22"/>
        </w:rPr>
        <w:t xml:space="preserve">. on the date specified herein. Except as otherwise expressly provided herein, all payments by the Company and the Subsidiary Borrowers hereunder with respect to principal and interest on Loans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shall be made to the Administrative Agent, for the account of the respective Lenders to which such payment is owed, at the applicable Administrative Agent’s Office in such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of the Company or a Subsidiary Borrower is prohibited by any Applicable Law from making any required payment hereunder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the Company or such Subsidiary Borrower shall make such payment in Dollars in the Dollar Amount of the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payment amount. The Administrative Agent will promptly distribute to each Lender its Commitment Percentage in respect of the relevant Facility (or other applicable share as provided herein) of such payment in like funds as received by wire transfer to such Lender’s Lending Office. All payments received by the Administrative Agent (i) after </w:t>
      </w:r>
      <w:r>
        <w:rPr>
          <w:rFonts w:ascii="Times New Roman;sans-serif" w:hAnsi="Times New Roman;sans-serif"/>
          <w:b w:val="false"/>
          <w:strike/>
          <w:color w:val="FF0000"/>
          <w:sz w:val="22"/>
        </w:rPr>
        <w:t>2:00 p.m</w:t>
      </w:r>
      <w:r>
        <w:rPr>
          <w:rFonts w:ascii="Times New Roman;sans-serif" w:hAnsi="Times New Roman;sans-serif"/>
          <w:b w:val="false"/>
          <w:color w:val="0000FF"/>
          <w:sz w:val="22"/>
          <w:u w:val="single"/>
        </w:rPr>
        <w:t>2:00 p.m</w:t>
      </w:r>
      <w:r>
        <w:rPr>
          <w:rFonts w:ascii="Times New Roman;sans-serif" w:hAnsi="Times New Roman;sans-serif"/>
          <w:b w:val="false"/>
          <w:color w:val="000000"/>
          <w:sz w:val="22"/>
        </w:rPr>
        <w:t xml:space="preserve">., in the case of payments in Dollars, or (ii) after the Applicable Time specified by the Administrative Agent, in the case of payments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 xml:space="preserve">Currency, shall in each case be deemed received on the next succeeding Business Day and any applicable interest or fee shall continue to accrue. Subject to </w:t>
      </w:r>
      <w:r>
        <w:rPr>
          <w:rFonts w:ascii="Times New Roman;sans-serif" w:hAnsi="Times New Roman;sans-serif"/>
          <w:b w:val="false"/>
          <w:color w:val="000000"/>
          <w:sz w:val="22"/>
          <w:u w:val="single"/>
        </w:rPr>
        <w:t>Section 2.7(a)</w:t>
      </w:r>
      <w:r>
        <w:rPr>
          <w:color w:val="000000"/>
        </w:rPr>
        <w:t xml:space="preserve"> </w:t>
      </w:r>
      <w:r>
        <w:rPr>
          <w:rFonts w:ascii="Times New Roman;sans-serif" w:hAnsi="Times New Roman;sans-serif"/>
          <w:b w:val="false"/>
          <w:color w:val="000000"/>
          <w:sz w:val="22"/>
        </w:rPr>
        <w:t>and as otherwise specifically provided for in this Agreement, if any payment to be made by a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88"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(i)    </w:t>
      </w:r>
      <w:r>
        <w:rPr>
          <w:rFonts w:ascii="Times New Roman;sans-serif" w:hAnsi="Times New Roman;sans-serif"/>
          <w:b w:val="false"/>
          <w:color w:val="000000"/>
          <w:sz w:val="22"/>
          <w:u w:val="single"/>
        </w:rPr>
        <w:t>Funding by Lenders; Presumption by Administrative Agent</w:t>
      </w:r>
      <w:r>
        <w:rPr>
          <w:rFonts w:ascii="Times New Roman;sans-serif" w:hAnsi="Times New Roman;sans-serif"/>
          <w:b w:val="false"/>
          <w:color w:val="000000"/>
          <w:sz w:val="22"/>
        </w:rPr>
        <w:t xml:space="preserve">. Unless the Administrative Agent shall have received notice from a Lender prior to the proposed date of any Extension of Credit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Loans (or, in the case of any Extension of Credit of Base Rate Loans, prior to 12:00 noon on the date of such Extension of Credit) that such Lender will not make available to the Administrative Agent such Lender’s share of such Extension of Credit, the Administrative Agent may assume that such Lender has made such share available on such date in accordance with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 xml:space="preserve">(or, in the case of an Extension of Credit of Base Rate Loans, that such Lender has made such share available in accordance with and at the time required by </w:t>
      </w:r>
      <w:r>
        <w:rPr>
          <w:rFonts w:ascii="Times New Roman;sans-serif" w:hAnsi="Times New Roman;sans-serif"/>
          <w:b w:val="false"/>
          <w:color w:val="000000"/>
          <w:sz w:val="22"/>
          <w:u w:val="single"/>
        </w:rPr>
        <w:t>Section 2.2</w:t>
      </w:r>
      <w:r>
        <w:rPr>
          <w:rFonts w:ascii="Times New Roman;sans-serif" w:hAnsi="Times New Roman;sans-serif"/>
          <w:b w:val="false"/>
          <w:color w:val="000000"/>
          <w:sz w:val="22"/>
        </w:rPr>
        <w:t xml:space="preserve">) and may, in reliance upon such assumption, make available to the applicable Borrower a corresponding amount. In such event, if a Lender has not in fact made its share of the applicable Extension of Credit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administrative, processing or similar fees customarily charged by the Administrative Agent in connection with the foregoing, and (B) in the case of a payment to be made by such Borrower, the interest rate applicable to Base Rate Loans or in the case of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Extension of Credit to the Administrative Agent, then the amount so paid shall constitute such Lender’s Loan included in such Extension of Credit. Any payment by any Borrower shall be without prejudice to any claim such Borrower may have against a Lender that shall have failed to make such payment to the Administrative Agent.</w:t>
      </w:r>
    </w:p>
    <w:p>
      <w:pPr>
        <w:pStyle w:val="TextBody"/>
        <w:bidi w:val="0"/>
        <w:spacing w:lineRule="auto" w:line="288" w:before="0" w:after="240"/>
        <w:ind w:left="0" w:right="0" w:firstLine="360"/>
        <w:jc w:val="left"/>
        <w:rPr/>
      </w:pPr>
      <w:r>
        <w:rPr>
          <w:rFonts w:ascii="Times New Roman;sans-serif" w:hAnsi="Times New Roman;sans-serif"/>
          <w:b w:val="false"/>
          <w:color w:val="000000"/>
          <w:sz w:val="22"/>
        </w:rPr>
        <w:t>ii.    </w:t>
      </w:r>
      <w:r>
        <w:rPr>
          <w:rFonts w:ascii="Times New Roman;sans-serif" w:hAnsi="Times New Roman;sans-serif"/>
          <w:b w:val="false"/>
          <w:color w:val="000000"/>
          <w:sz w:val="24"/>
          <w:u w:val="single"/>
        </w:rPr>
        <w:t>Payments by Borrower; Presumptions by Administrative Agent</w:t>
      </w:r>
      <w:r>
        <w:rPr>
          <w:rFonts w:ascii="Times New Roman;sans-serif" w:hAnsi="Times New Roman;sans-serif"/>
          <w:b w:val="false"/>
          <w:color w:val="000000"/>
          <w:sz w:val="24"/>
        </w:rPr>
        <w:t>. Unless the Administrative Agent shall have received notice from the applicable Borrower prior to the date on which any payment is due to the Administrative Agent for the account of the Lenders or the Issuing Lenders hereunder that such Borrower will not make such payment, the Administrative Agent may assume that such Borrower has made such payment on such date in accordance herewith and may, in reliance upon such assumption, distribute to the Appropriate Lenders or the Issuing Lenders, as the case may be, the amount due. With respect to any payment that the Administrative Agent makes for the account of the Lenders or any Issuing Lender hereunder as to which the Administrative Agent determines (which determination shall be conclusive absent manifest error) that any of the following applies (such payment referred to as the “</w:t>
      </w:r>
      <w:r>
        <w:rPr>
          <w:rFonts w:ascii="Times New Roman;sans-serif" w:hAnsi="Times New Roman;sans-serif"/>
          <w:b w:val="false"/>
          <w:color w:val="000000"/>
          <w:sz w:val="24"/>
          <w:u w:val="single"/>
        </w:rPr>
        <w:t>Rescindable Amount</w:t>
      </w:r>
      <w:r>
        <w:rPr>
          <w:color w:val="000000"/>
        </w:rPr>
        <w:t>”</w:t>
      </w:r>
      <w:r>
        <w:rPr>
          <w:rFonts w:ascii="Times New Roman;sans-serif" w:hAnsi="Times New Roman;sans-serif"/>
          <w:b w:val="false"/>
          <w:color w:val="000000"/>
          <w:sz w:val="24"/>
        </w:rPr>
        <w:t>): (1) the applicable Borrower has not in fact made such payment; (2) the Administrative Agent has made a payment in excess of the amount so paid by the applicable Borrower (whether or not then owed); or (3) the Administrative Agent has for any reason otherwise erroneously made such payment; then each of the Appropriate Lenders or the Issuing Lenders, as the case may be, severally agrees to repay to the Administrative Agent forthwith on demand the Rescindable Amount so distributed to such Lender or such Issuing Lender, in Same Day Funds</w:t>
      </w:r>
      <w:r>
        <w:rPr>
          <w:color w:val="000000"/>
        </w:rPr>
        <w:t xml:space="preserve"> </w:t>
      </w:r>
      <w:r>
        <w:rPr>
          <w:rFonts w:ascii="Times New Roman;sans-serif" w:hAnsi="Times New Roman;sans-serif"/>
          <w:b w:val="false"/>
          <w:color w:val="000000"/>
          <w:sz w:val="24"/>
        </w:rPr>
        <w:t>with interest thereon, for each day from and including the date such amount is distributed to it to but excluding the date of payment to the Administrative Agent, at the Overnight Rate.</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89"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notice of the Administrative Agent to any Lender or any Borrower with respect to any amount owing under this subsection (b) shall be conclusive, absent manifest error.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Failure to Satisfy Conditions Precedent</w:t>
      </w:r>
      <w:r>
        <w:rPr>
          <w:rFonts w:ascii="Times New Roman;sans-serif" w:hAnsi="Times New Roman;sans-serif"/>
          <w:b w:val="false"/>
          <w:color w:val="000000"/>
          <w:sz w:val="22"/>
        </w:rPr>
        <w:t xml:space="preserve">. If any Lender makes available to the Administrative Agent funds for any Loan to be made by such Lender as provided in the foregoing provisions of this Agreement, and such funds are not made available to the applicable Borrower by the Administrative Agent because the conditions to the applicable Extension of Credit set forth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are not satisfied or waived in accordance with the terms hereof, the Administrative Agent shall return such funds (in like funds as received from such Lender) to such Lender, without interest.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Obligations of Lenders Several</w:t>
      </w:r>
      <w:r>
        <w:rPr>
          <w:rFonts w:ascii="Times New Roman;sans-serif" w:hAnsi="Times New Roman;sans-serif"/>
          <w:b w:val="false"/>
          <w:color w:val="000000"/>
          <w:sz w:val="22"/>
        </w:rPr>
        <w:t xml:space="preserve">. The obligations of the Lenders hereunder to make Term Loans and Revolving Credit Loans, to fund participations in Letters of Credit and Swingline Loans and to make payments pursuant to </w:t>
      </w:r>
      <w:r>
        <w:rPr>
          <w:rFonts w:ascii="Times New Roman;sans-serif" w:hAnsi="Times New Roman;sans-serif"/>
          <w:b w:val="false"/>
          <w:color w:val="000000"/>
          <w:sz w:val="22"/>
          <w:u w:val="single"/>
        </w:rPr>
        <w:t>Section 13.4(c)</w:t>
      </w:r>
      <w:r>
        <w:rPr>
          <w:color w:val="000000"/>
        </w:rPr>
        <w:t xml:space="preserve"> </w:t>
      </w:r>
      <w:r>
        <w:rPr>
          <w:rFonts w:ascii="Times New Roman;sans-serif" w:hAnsi="Times New Roman;sans-serif"/>
          <w:b w:val="false"/>
          <w:color w:val="000000"/>
          <w:sz w:val="22"/>
        </w:rPr>
        <w:t xml:space="preserve">are several and not joint. The failure of any Lender to make any Loan, to fund any such participation or to make any payment under </w:t>
      </w:r>
      <w:r>
        <w:rPr>
          <w:rFonts w:ascii="Times New Roman;sans-serif" w:hAnsi="Times New Roman;sans-serif"/>
          <w:b w:val="false"/>
          <w:color w:val="000000"/>
          <w:sz w:val="22"/>
          <w:u w:val="single"/>
        </w:rPr>
        <w:t>Section 13.4(c)</w:t>
      </w:r>
      <w:r>
        <w:rPr>
          <w:color w:val="000000"/>
        </w:rPr>
        <w:t xml:space="preserve"> </w:t>
      </w:r>
      <w:r>
        <w:rPr>
          <w:rFonts w:ascii="Times New Roman;sans-serif" w:hAnsi="Times New Roman;sans-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ans-serif" w:hAnsi="Times New Roman;sans-serif"/>
          <w:b w:val="false"/>
          <w:color w:val="000000"/>
          <w:sz w:val="22"/>
          <w:u w:val="single"/>
        </w:rPr>
        <w:t>Section 13.4(c)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Funding Source</w:t>
      </w:r>
      <w:r>
        <w:rPr>
          <w:rFonts w:ascii="Times New Roman;sans-serif" w:hAnsi="Times New Roman;sans-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Pro Rata Treatment</w:t>
      </w:r>
      <w:r>
        <w:rPr>
          <w:rFonts w:ascii="Times New Roman;sans-serif" w:hAnsi="Times New Roman;sans-serif"/>
          <w:b w:val="false"/>
          <w:color w:val="000000"/>
          <w:sz w:val="22"/>
        </w:rPr>
        <w:t xml:space="preserve">. Except to the extent otherwise provided herein: (i) each Extension of Credit (other than borrowings of Swingline Loans) shall be made from the Appropriate Lenders, each payment of fees under </w:t>
      </w:r>
      <w:r>
        <w:rPr>
          <w:rFonts w:ascii="Times New Roman;sans-serif" w:hAnsi="Times New Roman;sans-serif"/>
          <w:b w:val="false"/>
          <w:color w:val="000000"/>
          <w:sz w:val="22"/>
          <w:u w:val="single"/>
        </w:rPr>
        <w:t>Section 4.3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2.3(h)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w:t>
      </w:r>
      <w:r>
        <w:rPr>
          <w:color w:val="000000"/>
        </w:rPr>
        <w:t xml:space="preserve"> </w:t>
      </w:r>
      <w:r>
        <w:rPr>
          <w:rFonts w:ascii="Times New Roman;sans-serif" w:hAnsi="Times New Roman;sans-serif"/>
          <w:b w:val="false"/>
          <w:color w:val="000000"/>
          <w:sz w:val="22"/>
        </w:rPr>
        <w:t>shall be made for account of the Appropriate Lenders, and each termination or reduction of the amount of the Commitments shall be applied to the respective Commitments of the Lenders, pro rata according to the amounts of their respective Commitments; (ii) each Extension of Credit shall be allocated pro rata among the Lenders according to the amounts of their respective Commitments (in the case of the making of Revolving Credit Loans) or their respective Loans that are to be included in such Extension of Credit (in the case of conversions and continuations of Loans); (iii) each payment or prepayment of principal of Loans by the Borrowers shall be made for account of the Appropriate Lenders pro rata in accordance with the respective unpaid principal amounts of the Loans held by them; and (iv) each payment of interest on Loans by the Borrowers shall be made for account of the Appropriate Lenders pro rata in accordance with the amounts of interest on such Loans then due and payable to the respective Appropriate Lenders.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4.5    </w:t>
      </w:r>
      <w:r>
        <w:rPr>
          <w:rFonts w:ascii="Times New Roman;sans-serif" w:hAnsi="Times New Roman;sans-serif"/>
          <w:b/>
          <w:color w:val="000000"/>
          <w:sz w:val="22"/>
          <w:u w:val="single"/>
        </w:rPr>
        <w:t>Evidence of Debt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Extensions of Credit</w:t>
      </w:r>
      <w:r>
        <w:rPr>
          <w:rFonts w:ascii="Times New Roman;sans-serif" w:hAnsi="Times New Roman;sans-serif"/>
          <w:b w:val="false"/>
          <w:color w:val="000000"/>
          <w:sz w:val="22"/>
        </w:rPr>
        <w:t xml:space="preserve">. The Extensions of Credit made by each Lender shall be evidenced by one or more accounts or records </w:t>
      </w:r>
      <w:r>
        <w:rPr>
          <w:rFonts w:ascii="Times New Roman;sans-serif" w:hAnsi="Times New Roman;sans-serif"/>
          <w:b w:val="false"/>
          <w:strike/>
          <w:color w:val="FF0000"/>
          <w:sz w:val="22"/>
        </w:rPr>
        <w:t xml:space="preserve">(including the Register maintained pursuant to </w:t>
      </w:r>
      <w:r>
        <w:rPr>
          <w:rFonts w:ascii="Times New Roman;sans-serif" w:hAnsi="Times New Roman;sans-serif"/>
          <w:b w:val="false"/>
          <w:strike/>
          <w:color w:val="FF0000"/>
          <w:sz w:val="22"/>
          <w:u w:val="single"/>
        </w:rPr>
        <w:t>Section 13.9(c)</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 xml:space="preserve">maintained by such Lender </w:t>
      </w:r>
      <w:r>
        <w:rPr>
          <w:rFonts w:ascii="Times New Roman;sans-serif" w:hAnsi="Times New Roman;sans-serif"/>
          <w:b w:val="false"/>
          <w:strike/>
          <w:color w:val="FF0000"/>
          <w:sz w:val="22"/>
        </w:rPr>
        <w:t xml:space="preserve">and by the Administrative Agent </w:t>
      </w:r>
      <w:r>
        <w:rPr>
          <w:rFonts w:ascii="Times New Roman;sans-serif" w:hAnsi="Times New Roman;sans-serif"/>
          <w:b w:val="false"/>
          <w:color w:val="000000"/>
          <w:sz w:val="22"/>
        </w:rPr>
        <w:t xml:space="preserve">in the ordinary course of business. The </w:t>
      </w:r>
      <w:r>
        <w:rPr>
          <w:rFonts w:ascii="Times New Roman;sans-serif" w:hAnsi="Times New Roman;sans-serif"/>
          <w:b w:val="false"/>
          <w:strike/>
          <w:color w:val="FF0000"/>
          <w:sz w:val="22"/>
        </w:rPr>
        <w:t>accounts or records (including</w:t>
      </w:r>
      <w:r>
        <w:rPr>
          <w:rFonts w:ascii="Times New Roman;sans-serif" w:hAnsi="Times New Roman;sans-serif"/>
          <w:b w:val="false"/>
          <w:color w:val="0000FF"/>
          <w:sz w:val="22"/>
          <w:u w:val="single"/>
        </w:rPr>
        <w:t>Administrative Agent shall maintain</w:t>
      </w:r>
      <w:r>
        <w:rPr>
          <w:color w:val="000000"/>
        </w:rPr>
        <w:t xml:space="preserve"> </w:t>
      </w:r>
      <w:r>
        <w:rPr>
          <w:rFonts w:ascii="Times New Roman;sans-serif" w:hAnsi="Times New Roman;sans-serif"/>
          <w:b w:val="false"/>
          <w:color w:val="000000"/>
          <w:sz w:val="22"/>
        </w:rPr>
        <w:t xml:space="preserve">the Register </w:t>
      </w:r>
      <w:r>
        <w:rPr>
          <w:rFonts w:ascii="Times New Roman;sans-serif" w:hAnsi="Times New Roman;sans-serif"/>
          <w:b w:val="false"/>
          <w:strike/>
          <w:color w:val="FF0000"/>
          <w:sz w:val="22"/>
        </w:rPr>
        <w:t>maintained pursuant to</w:t>
      </w:r>
      <w:r>
        <w:rPr>
          <w:rFonts w:ascii="Times New Roman;sans-serif" w:hAnsi="Times New Roman;sans-serif"/>
          <w:b w:val="false"/>
          <w:color w:val="0000FF"/>
          <w:sz w:val="22"/>
          <w:u w:val="single"/>
        </w:rPr>
        <w:t>in accordance with</w:t>
      </w:r>
      <w:r>
        <w:rPr>
          <w:color w:val="000000"/>
        </w:rPr>
        <w:t xml:space="preserve"> </w:t>
      </w:r>
      <w:r>
        <w:rPr>
          <w:rFonts w:ascii="Times New Roman;sans-serif" w:hAnsi="Times New Roman;sans-serif"/>
          <w:b w:val="false"/>
          <w:color w:val="000000"/>
          <w:sz w:val="22"/>
          <w:u w:val="single"/>
        </w:rPr>
        <w:t>Section 13.9(c)</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 The accounts or records</w:t>
      </w:r>
      <w:r>
        <w:rPr>
          <w:color w:val="000000"/>
        </w:rPr>
        <w:t xml:space="preserve"> </w:t>
      </w:r>
      <w:r>
        <w:rPr>
          <w:rFonts w:ascii="Times New Roman;sans-serif" w:hAnsi="Times New Roman;sans-serif"/>
          <w:b w:val="false"/>
          <w:color w:val="000000"/>
          <w:sz w:val="22"/>
        </w:rPr>
        <w:t xml:space="preserve">maintained by </w:t>
      </w:r>
      <w:r>
        <w:rPr>
          <w:rFonts w:ascii="Times New Roman;sans-serif" w:hAnsi="Times New Roman;sans-serif"/>
          <w:b w:val="false"/>
          <w:strike/>
          <w:color w:val="FF0000"/>
          <w:sz w:val="22"/>
        </w:rPr>
        <w:t xml:space="preserve">the Administrative Agent and </w:t>
      </w:r>
      <w:r>
        <w:rPr>
          <w:rFonts w:ascii="Times New Roman;sans-serif" w:hAnsi="Times New Roman;sans-serif"/>
          <w:b w:val="false"/>
          <w:color w:val="000000"/>
          <w:sz w:val="22"/>
        </w:rPr>
        <w:t xml:space="preserve">each Lender shall be conclusive absent manifest error of the amount of the Extensions of Credit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w:t>
      </w:r>
      <w:r>
        <w:rPr>
          <w:rFonts w:ascii="Times New Roman;sans-serif" w:hAnsi="Times New Roman;sans-serif"/>
          <w:b w:val="false"/>
          <w:strike/>
          <w:color w:val="FF0000"/>
          <w:sz w:val="22"/>
        </w:rPr>
        <w:t xml:space="preserve">accounts and records of the Administrative Agent in respect of such matters,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90"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FF0000"/>
          <w:sz w:val="22"/>
        </w:rPr>
        <w:t>the accounts and records of the Administrative Agent (including</w:t>
      </w:r>
      <w:r>
        <w:rPr>
          <w:rFonts w:ascii="Times New Roman;sans-serif" w:hAnsi="Times New Roman;sans-serif"/>
          <w:b w:val="false"/>
          <w:color w:val="0000FF"/>
          <w:sz w:val="22"/>
          <w:u w:val="single"/>
        </w:rPr>
        <w:t>Register,</w:t>
      </w:r>
      <w:r>
        <w:rPr>
          <w:color w:val="000000"/>
        </w:rPr>
        <w:t xml:space="preserve"> </w:t>
      </w:r>
      <w:r>
        <w:rPr>
          <w:rFonts w:ascii="Times New Roman;sans-serif" w:hAnsi="Times New Roman;sans-serif"/>
          <w:b w:val="false"/>
          <w:color w:val="000000"/>
          <w:sz w:val="22"/>
        </w:rPr>
        <w:t xml:space="preserve">the Register </w:t>
      </w:r>
      <w:r>
        <w:rPr>
          <w:rFonts w:ascii="Times New Roman;sans-serif" w:hAnsi="Times New Roman;sans-serif"/>
          <w:b w:val="false"/>
          <w:strike/>
          <w:color w:val="FF0000"/>
          <w:sz w:val="22"/>
        </w:rPr>
        <w:t xml:space="preserve">maintained pursuant to </w:t>
      </w:r>
      <w:r>
        <w:rPr>
          <w:rFonts w:ascii="Times New Roman;sans-serif" w:hAnsi="Times New Roman;sans-serif"/>
          <w:b w:val="false"/>
          <w:strike/>
          <w:color w:val="FF0000"/>
          <w:sz w:val="22"/>
          <w:u w:val="single"/>
        </w:rPr>
        <w:t>Section 13.9(c)</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shall control in the absence of manifest error. Upon the request of any Lender made through the Administrative Agent, a Borrower shall execute and deliver to such Lender (through the Administrative Agent) a Revolving Credit Note, Term Loan Note, Swingline Note, and/or Incremental Term Loan Note, as applicable, which shall evidence such Lender’s Revolving Credit Loans, Term Loan, Swingline Loans and/or Incremental Term Loans, as applicable, in addition to such accounts or records.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xml:space="preserve">. In addition to the accounts and records referred to in subsection (a), each Revolving Credit Lender and the Administrative Agent shall maintain in accordance with its usual practice accounts or records (including the Participant Register maintained pursuant to </w:t>
      </w:r>
      <w:r>
        <w:rPr>
          <w:rFonts w:ascii="Times New Roman;sans-serif" w:hAnsi="Times New Roman;sans-serif"/>
          <w:b w:val="false"/>
          <w:color w:val="000000"/>
          <w:sz w:val="22"/>
          <w:u w:val="single"/>
        </w:rPr>
        <w:t>Section 13.9(d)</w:t>
      </w:r>
      <w:r>
        <w:rPr>
          <w:rFonts w:ascii="Times New Roman;sans-serif" w:hAnsi="Times New Roman;sans-serif"/>
          <w:b w:val="false"/>
          <w:color w:val="000000"/>
          <w:sz w:val="22"/>
        </w:rPr>
        <w:t xml:space="preserve">) evidencing the purchases and sales by such Revolving Credit Lender of participations in L/C Obligations and Swingline Loans. In the event of any conflict between the accounts and records maintained by the Administrative Agent and the accounts and records of any Revolving Credit Lender in respect of such matters, the accounts and records of the Administrative Agent (including the Participant Register maintained pursuant to </w:t>
      </w:r>
      <w:r>
        <w:rPr>
          <w:rFonts w:ascii="Times New Roman;sans-serif" w:hAnsi="Times New Roman;sans-serif"/>
          <w:b w:val="false"/>
          <w:color w:val="000000"/>
          <w:sz w:val="22"/>
          <w:u w:val="single"/>
        </w:rPr>
        <w:t>Section 13.9(d)</w:t>
      </w:r>
      <w:r>
        <w:rPr>
          <w:rFonts w:ascii="Times New Roman;sans-serif" w:hAnsi="Times New Roman;sans-serif"/>
          <w:b w:val="false"/>
          <w:color w:val="000000"/>
          <w:sz w:val="22"/>
        </w:rPr>
        <w:t>) shall control in the absence of manifest error.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4.6    </w:t>
      </w:r>
      <w:r>
        <w:rPr>
          <w:rFonts w:ascii="Times New Roman;sans-serif" w:hAnsi="Times New Roman;sans-serif"/>
          <w:b/>
          <w:color w:val="000000"/>
          <w:sz w:val="22"/>
          <w:u w:val="single"/>
        </w:rPr>
        <w:t>Adjustments</w:t>
      </w:r>
      <w:r>
        <w:rPr>
          <w:rFonts w:ascii="Times New Roman;sans-serif" w:hAnsi="Times New Roman;sans-serif"/>
          <w:b w:val="false"/>
          <w:color w:val="000000"/>
          <w:sz w:val="22"/>
        </w:rPr>
        <w:t>.</w:t>
      </w:r>
      <w:r>
        <w:rPr>
          <w:strike/>
          <w:color w:val="FF0000"/>
          <w:u w:val="single"/>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91"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Times New Roman;sans-serif" w:hAnsi="Times New Roman;sans-serif"/>
          <w:b w:val="false"/>
          <w:color w:val="000000"/>
          <w:sz w:val="22"/>
          <w:u w:val="single"/>
        </w:rPr>
        <w:t>Section 4.13</w:t>
      </w:r>
      <w:r>
        <w:rPr>
          <w:rFonts w:ascii="Times New Roman;sans-serif" w:hAnsi="Times New Roman;sans-serif"/>
          <w:b w:val="false"/>
          <w:color w:val="000000"/>
          <w:sz w:val="22"/>
        </w:rPr>
        <w:t>, or (z) any payment obtained by a Lender as consideration for the assignment of or sale of a participation in any of its Loans or subparticipations in L/C Obligations or Swingline Loans to any assignee or participant, other than an assignment to any Credit Party or any Affiliate thereof (as to which the provisions of this Section shall apply).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Each Borrower consents to the foregoing and agrees, to the extent it may effectively do so under </w:t>
      </w:r>
      <w:r>
        <w:rPr>
          <w:rFonts w:ascii="Times New Roman;sans-serif" w:hAnsi="Times New Roman;sans-serif"/>
          <w:b w:val="false"/>
          <w:strike/>
          <w:color w:val="FF0000"/>
          <w:sz w:val="24"/>
        </w:rPr>
        <w:t>applicable</w:t>
      </w:r>
      <w:r>
        <w:rPr>
          <w:rFonts w:ascii="Times New Roman;sans-serif" w:hAnsi="Times New Roman;sans-serif"/>
          <w:b w:val="false"/>
          <w:color w:val="0000FF"/>
          <w:sz w:val="24"/>
          <w:u w:val="single"/>
        </w:rPr>
        <w:t>Applicable</w:t>
      </w:r>
      <w:r>
        <w:rPr>
          <w:color w:val="000000"/>
        </w:rPr>
        <w:t xml:space="preserve"> </w:t>
      </w:r>
      <w:r>
        <w:rPr>
          <w:rFonts w:ascii="Times New Roman;sans-serif" w:hAnsi="Times New Roman;sans-serif"/>
          <w:b w:val="false"/>
          <w:color w:val="000000"/>
          <w:sz w:val="24"/>
        </w:rPr>
        <w:t>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4.7    </w:t>
      </w:r>
      <w:r>
        <w:rPr>
          <w:rFonts w:ascii="Times New Roman;sans-serif" w:hAnsi="Times New Roman;sans-serif"/>
          <w:b/>
          <w:color w:val="000000"/>
          <w:sz w:val="22"/>
          <w:u w:val="single"/>
        </w:rPr>
        <w:t>Illegality</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If any Lender determines that any law has made it unlawful, or that any Governmental Authority has asserted that it is unlawful, for any Lender or its applicable Lending Office to make, maintain or fund or charge interest with respect to any Extension of Credit or to determine or charge interest rates based upon </w:t>
      </w:r>
      <w:r>
        <w:rPr>
          <w:rFonts w:ascii="Times New Roman;sans-serif" w:hAnsi="Times New Roman;sans-serif"/>
          <w:b w:val="false"/>
          <w:strike/>
          <w:color w:val="FF0000"/>
          <w:sz w:val="22"/>
        </w:rPr>
        <w:t>the Eurocurrency</w:t>
      </w:r>
      <w:r>
        <w:rPr>
          <w:rFonts w:ascii="Times New Roman;sans-serif" w:hAnsi="Times New Roman;sans-serif"/>
          <w:b w:val="false"/>
          <w:color w:val="0000FF"/>
          <w:sz w:val="22"/>
          <w:u w:val="single"/>
        </w:rPr>
        <w:t>a Relevant</w:t>
      </w:r>
      <w:r>
        <w:rPr>
          <w:color w:val="000000"/>
        </w:rPr>
        <w:t xml:space="preserve"> </w:t>
      </w:r>
      <w:r>
        <w:rPr>
          <w:rFonts w:ascii="Times New Roman;sans-serif" w:hAnsi="Times New Roman;sans-serif"/>
          <w:b w:val="false"/>
          <w:color w:val="000000"/>
          <w:sz w:val="22"/>
        </w:rPr>
        <w:t xml:space="preserve">Rate, or any Governmental Authority has imposed material restrictions on the authority of such Lender to purchase or sell, or to take deposits of, Dollars or any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in the applicable interbank market, then, on notice thereof by such Lender to the Company through the Administrative Agent, (i) any obligation of such Lender to make</w:t>
      </w:r>
      <w:r>
        <w:rPr>
          <w:rFonts w:ascii="Times New Roman;sans-serif" w:hAnsi="Times New Roman;sans-serif"/>
          <w:b w:val="false"/>
          <w:color w:val="0000FF"/>
          <w:sz w:val="22"/>
          <w:u w:val="single"/>
        </w:rPr>
        <w:t>, maintain</w:t>
      </w:r>
      <w:r>
        <w:rPr>
          <w:color w:val="000000"/>
        </w:rPr>
        <w:t xml:space="preserve"> </w:t>
      </w:r>
      <w:r>
        <w:rPr>
          <w:rFonts w:ascii="Times New Roman;sans-serif" w:hAnsi="Times New Roman;sans-serif"/>
          <w:b w:val="false"/>
          <w:color w:val="000000"/>
          <w:sz w:val="22"/>
        </w:rPr>
        <w:t xml:space="preserve">or continue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Loans in the affected currency or currencies or, in the case of </w:t>
      </w:r>
      <w:r>
        <w:rPr>
          <w:rFonts w:ascii="Times New Roman;sans-serif" w:hAnsi="Times New Roman;sans-serif"/>
          <w:b w:val="false"/>
          <w:strike/>
          <w:color w:val="FF0000"/>
          <w:sz w:val="22"/>
        </w:rPr>
        <w:t xml:space="preserve">Eurocurrency Rate </w:t>
      </w:r>
      <w:r>
        <w:rPr>
          <w:rFonts w:ascii="Times New Roman;sans-serif" w:hAnsi="Times New Roman;sans-serif"/>
          <w:b w:val="false"/>
          <w:color w:val="000000"/>
          <w:sz w:val="22"/>
        </w:rPr>
        <w:t xml:space="preserve">Loans </w:t>
      </w:r>
      <w:r>
        <w:rPr>
          <w:rFonts w:ascii="Times New Roman;sans-serif" w:hAnsi="Times New Roman;sans-serif"/>
          <w:b w:val="false"/>
          <w:color w:val="0000FF"/>
          <w:sz w:val="22"/>
          <w:u w:val="single"/>
        </w:rPr>
        <w:t xml:space="preserve">denominated </w:t>
      </w:r>
      <w:r>
        <w:rPr>
          <w:rFonts w:ascii="Times New Roman;sans-serif" w:hAnsi="Times New Roman;sans-serif"/>
          <w:b w:val="false"/>
          <w:color w:val="000000"/>
          <w:sz w:val="22"/>
        </w:rPr>
        <w:t xml:space="preserve">in Dollars, to </w:t>
      </w:r>
      <w:r>
        <w:rPr>
          <w:rFonts w:ascii="Times New Roman;sans-serif" w:hAnsi="Times New Roman;sans-serif"/>
          <w:b w:val="false"/>
          <w:color w:val="0000FF"/>
          <w:sz w:val="22"/>
          <w:u w:val="single"/>
        </w:rPr>
        <w:t xml:space="preserve">make, continue or maintain Term SOFR Loans or Daily SOFR Loans or </w:t>
      </w:r>
      <w:r>
        <w:rPr>
          <w:rFonts w:ascii="Times New Roman;sans-serif" w:hAnsi="Times New Roman;sans-serif"/>
          <w:b w:val="false"/>
          <w:color w:val="000000"/>
          <w:sz w:val="22"/>
        </w:rPr>
        <w:t xml:space="preserve">convert Base Rate Loans to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 Loans or Daily SOFR</w:t>
      </w:r>
      <w:r>
        <w:rPr>
          <w:color w:val="000000"/>
        </w:rPr>
        <w:t xml:space="preserve"> </w:t>
      </w:r>
      <w:r>
        <w:rPr>
          <w:rFonts w:ascii="Times New Roman;sans-serif" w:hAnsi="Times New Roman;sans-serif"/>
          <w:b w:val="false"/>
          <w:color w:val="000000"/>
          <w:sz w:val="22"/>
        </w:rPr>
        <w:t xml:space="preserve">Loans shall be suspended, and (ii) if such notice asserts the illegality of such Lender making or maintaining Base Rate Loans the interest rate on which is determined by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w:t>
      </w:r>
      <w:r>
        <w:rPr>
          <w:color w:val="000000"/>
        </w:rPr>
        <w:t xml:space="preserve"> </w:t>
      </w:r>
      <w:r>
        <w:rPr>
          <w:rFonts w:ascii="Times New Roman;sans-serif" w:hAnsi="Times New Roman;sans-serif"/>
          <w:b w:val="false"/>
          <w:color w:val="000000"/>
          <w:sz w:val="22"/>
        </w:rPr>
        <w:t xml:space="preserve">component of the Base Rate, the interest rate on which Base Rate Loans of such Lender shall, if necessary to avoid such illegality, be determined by the Administrative Agent without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w:t>
      </w:r>
      <w:r>
        <w:rPr>
          <w:color w:val="000000"/>
        </w:rPr>
        <w:t xml:space="preserve"> </w:t>
      </w:r>
      <w:r>
        <w:rPr>
          <w:rFonts w:ascii="Times New Roman;sans-serif" w:hAnsi="Times New Roman;sans-serif"/>
          <w:b w:val="false"/>
          <w:color w:val="000000"/>
          <w:sz w:val="22"/>
        </w:rPr>
        <w:t xml:space="preserve">component of the Base Rate, in each case until such Lender notifies the Administrative Agent and the Company that the circumstances giving rise to such determination no longer exist. Upon receipt of such notice, (A) the Borrowers shall,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 xml:space="preserve">, upon demand from such Lender (with a copy to the Administrative Agent), prepay </w:t>
      </w:r>
      <w:r>
        <w:rPr>
          <w:rFonts w:ascii="Times New Roman;sans-serif" w:hAnsi="Times New Roman;sans-serif"/>
          <w:b w:val="false"/>
          <w:color w:val="0000FF"/>
          <w:sz w:val="22"/>
          <w:u w:val="single"/>
        </w:rPr>
        <w:t xml:space="preserve">all Designated Currency Rate Loans, Term SOFR Loans or Daily SOFR Loans, </w:t>
      </w:r>
      <w:r>
        <w:rPr>
          <w:rFonts w:ascii="Times New Roman;sans-serif" w:hAnsi="Times New Roman;sans-serif"/>
          <w:b w:val="false"/>
          <w:color w:val="000000"/>
          <w:sz w:val="22"/>
        </w:rPr>
        <w:t xml:space="preserve">or, if applicable and such Loans are denominated in Dollars, convert all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 Loans or Daily SOFR</w:t>
      </w:r>
      <w:r>
        <w:rPr>
          <w:color w:val="000000"/>
        </w:rPr>
        <w:t xml:space="preserve"> </w:t>
      </w:r>
      <w:r>
        <w:rPr>
          <w:rFonts w:ascii="Times New Roman;sans-serif" w:hAnsi="Times New Roman;sans-serif"/>
          <w:b w:val="false"/>
          <w:color w:val="000000"/>
          <w:sz w:val="22"/>
        </w:rPr>
        <w:t xml:space="preserve">Loans of such Lender to Base Rate Loans (the interest rate on which Base Rate Loans of such Lender shall, if necessary to avoid such illegality, be determined by the Administrative Agent without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w:t>
      </w:r>
      <w:r>
        <w:rPr>
          <w:color w:val="000000"/>
        </w:rPr>
        <w:t xml:space="preserve"> </w:t>
      </w:r>
      <w:r>
        <w:rPr>
          <w:rFonts w:ascii="Times New Roman;sans-serif" w:hAnsi="Times New Roman;sans-serif"/>
          <w:b w:val="false"/>
          <w:color w:val="000000"/>
          <w:sz w:val="22"/>
        </w:rPr>
        <w:t xml:space="preserve">component of the Base Rate), </w:t>
      </w:r>
      <w:r>
        <w:rPr>
          <w:rFonts w:ascii="Times New Roman;sans-serif" w:hAnsi="Times New Roman;sans-serif"/>
          <w:b w:val="false"/>
          <w:color w:val="0000FF"/>
          <w:sz w:val="22"/>
          <w:u w:val="single"/>
        </w:rPr>
        <w:t xml:space="preserve">in the case of Daily SOFR Loans and Designated Currency Daily Rate Loans, immediately, and, in the case of Term SOFR Loans and Designated Currency Term Rate Loans, </w:t>
      </w:r>
      <w:r>
        <w:rPr>
          <w:rFonts w:ascii="Times New Roman;sans-serif" w:hAnsi="Times New Roman;sans-serif"/>
          <w:b w:val="false"/>
          <w:color w:val="000000"/>
          <w:sz w:val="22"/>
        </w:rPr>
        <w:t xml:space="preserve">either on the last day of the Interest Period therefor, if such Lender may lawfully continue to maintain such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Loans or Designated Currency Term</w:t>
      </w:r>
      <w:r>
        <w:rPr>
          <w:color w:val="000000"/>
        </w:rPr>
        <w:t xml:space="preserve"> </w:t>
      </w:r>
      <w:r>
        <w:rPr>
          <w:rFonts w:ascii="Times New Roman;sans-serif" w:hAnsi="Times New Roman;sans-serif"/>
          <w:b w:val="false"/>
          <w:color w:val="000000"/>
          <w:sz w:val="22"/>
        </w:rPr>
        <w:t xml:space="preserve">Rate Loans to such day, or immediately, if such Lender may not lawfully continue to maintain such </w:t>
      </w:r>
      <w:r>
        <w:rPr>
          <w:rFonts w:ascii="Times New Roman;sans-serif" w:hAnsi="Times New Roman;sans-serif"/>
          <w:b w:val="false"/>
          <w:strike/>
          <w:color w:val="FF0000"/>
          <w:sz w:val="22"/>
        </w:rPr>
        <w:t>Eurocurrency Rate Loans</w:t>
      </w:r>
      <w:r>
        <w:rPr>
          <w:rFonts w:ascii="Times New Roman;sans-serif" w:hAnsi="Times New Roman;sans-serif"/>
          <w:b w:val="false"/>
          <w:color w:val="0000FF"/>
          <w:sz w:val="22"/>
          <w:u w:val="single"/>
        </w:rPr>
        <w:t xml:space="preserve">Term SOFR Loans or Designated Currency Term Rate Loans (provided, that, such conversion of Loans into Dollars shall not require satisfaction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92"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FF"/>
          <w:sz w:val="22"/>
          <w:u w:val="single"/>
        </w:rPr>
        <w:t>conditions set forth in Section 5.2(a) and (b), and the Loan Notice provided in connection with any such conversion of Loans into Dollars shall not be deemed to be a representation and warranty by such Borrower that the conditions specified in Sections 5.2(a) and (b) have been satisfied on and as of the date of such conversion)</w:t>
      </w:r>
      <w:r>
        <w:rPr>
          <w:color w:val="000000"/>
        </w:rPr>
        <w:t xml:space="preserve"> </w:t>
      </w:r>
      <w:r>
        <w:rPr>
          <w:rFonts w:ascii="Times New Roman;sans-serif" w:hAnsi="Times New Roman;sans-serif"/>
          <w:b w:val="false"/>
          <w:color w:val="000000"/>
          <w:sz w:val="22"/>
        </w:rPr>
        <w:t xml:space="preserve">and (B) if such notice asserts the illegality of such Lender determining or charging interest rates based upon </w:t>
      </w:r>
      <w:r>
        <w:rPr>
          <w:rFonts w:ascii="Times New Roman;sans-serif" w:hAnsi="Times New Roman;sans-serif"/>
          <w:b w:val="false"/>
          <w:strike/>
          <w:color w:val="FF0000"/>
          <w:sz w:val="22"/>
        </w:rPr>
        <w:t>the Eurocurrency Rate</w:t>
      </w:r>
      <w:r>
        <w:rPr>
          <w:rFonts w:ascii="Times New Roman;sans-serif" w:hAnsi="Times New Roman;sans-serif"/>
          <w:b w:val="false"/>
          <w:color w:val="0000FF"/>
          <w:sz w:val="22"/>
          <w:u w:val="single"/>
        </w:rPr>
        <w:t>Term SOFR</w:t>
      </w:r>
      <w:r>
        <w:rPr>
          <w:rFonts w:ascii="Times New Roman;sans-serif" w:hAnsi="Times New Roman;sans-serif"/>
          <w:b w:val="false"/>
          <w:color w:val="000000"/>
          <w:sz w:val="22"/>
        </w:rPr>
        <w:t xml:space="preserve">, the Administrative Agent shall during the period of such suspension compute the Base Rate applicable to such Lender without reference to the </w:t>
      </w:r>
      <w:r>
        <w:rPr>
          <w:rFonts w:ascii="Times New Roman;sans-serif" w:hAnsi="Times New Roman;sans-serif"/>
          <w:b w:val="false"/>
          <w:strike/>
          <w:color w:val="FF0000"/>
          <w:sz w:val="22"/>
        </w:rPr>
        <w:t>Eurocurrency Rate</w:t>
      </w:r>
      <w:r>
        <w:rPr>
          <w:rFonts w:ascii="Times New Roman;sans-serif" w:hAnsi="Times New Roman;sans-serif"/>
          <w:b w:val="false"/>
          <w:color w:val="0000FF"/>
          <w:sz w:val="22"/>
          <w:u w:val="single"/>
        </w:rPr>
        <w:t>Term SOFR</w:t>
      </w:r>
      <w:r>
        <w:rPr>
          <w:color w:val="000000"/>
        </w:rPr>
        <w:t xml:space="preserve"> </w:t>
      </w:r>
      <w:r>
        <w:rPr>
          <w:rFonts w:ascii="Times New Roman;sans-serif" w:hAnsi="Times New Roman;sans-serif"/>
          <w:b w:val="false"/>
          <w:color w:val="000000"/>
          <w:sz w:val="22"/>
        </w:rPr>
        <w:t xml:space="preserve">component thereof until the Administrative Agent is advised in writing by such Lender that it is no longer illegal for such Lender to determine or charge interest rates based upon </w:t>
      </w:r>
      <w:r>
        <w:rPr>
          <w:rFonts w:ascii="Times New Roman;sans-serif" w:hAnsi="Times New Roman;sans-serif"/>
          <w:b w:val="false"/>
          <w:strike/>
          <w:color w:val="FF0000"/>
          <w:sz w:val="22"/>
        </w:rPr>
        <w:t>the Eurocurrency Rate</w:t>
      </w:r>
      <w:r>
        <w:rPr>
          <w:rFonts w:ascii="Times New Roman;sans-serif" w:hAnsi="Times New Roman;sans-serif"/>
          <w:b w:val="false"/>
          <w:color w:val="0000FF"/>
          <w:sz w:val="22"/>
          <w:u w:val="single"/>
        </w:rPr>
        <w:t>Term SOFR</w:t>
      </w:r>
      <w:r>
        <w:rPr>
          <w:rFonts w:ascii="Times New Roman;sans-serif" w:hAnsi="Times New Roman;sans-serif"/>
          <w:b w:val="false"/>
          <w:color w:val="000000"/>
          <w:sz w:val="22"/>
        </w:rPr>
        <w:t xml:space="preserve">. Upon any such prepayment or conversion, the Borrowers shall also pay accrued interest on the amount so prepaid or converted, together with any additional amounts required pursuant to </w:t>
      </w:r>
      <w:r>
        <w:rPr>
          <w:rFonts w:ascii="Times New Roman;sans-serif" w:hAnsi="Times New Roman;sans-serif"/>
          <w:b w:val="false"/>
          <w:color w:val="000000"/>
          <w:sz w:val="22"/>
          <w:u w:val="single"/>
        </w:rPr>
        <w:t>Section 4.10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If, in any applicable jurisdiction, the Administrative Agent, any Issuing Lender or any Lender determines that any Applicable Law has made it unlawful, or that any Governmental Authority has asserted that it is unlawful, for the Administrative Agent, any Issuing Lender or any Lender to (i) perform any of its obligations hereunder or under any other Loan Document, (ii) to fund, hold a commitment or maintain its participation in any Loan or Letter of Credit or (iii) issue, make, maintain, fund or charge interest or fees with respect to any Extension of Credit to any Subsidiary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Extension of Credit shall be suspended, and to the extent required by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 xml:space="preserve">Law, cancelled. Upon receipt of such notice, the Credit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Law), (B) to the extent applicable to an Issuing Lender,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4.8    </w:t>
      </w:r>
      <w:r>
        <w:rPr>
          <w:rFonts w:ascii="Times New Roman;sans-serif" w:hAnsi="Times New Roman;sans-serif"/>
          <w:b/>
          <w:color w:val="000000"/>
          <w:sz w:val="22"/>
          <w:u w:val="single"/>
        </w:rPr>
        <w:t>Inability to Determine Rates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2"/>
        </w:rPr>
        <w:t xml:space="preserve">If in connection with any request for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 a Daily SOFR Loan, Designated Currency</w:t>
      </w:r>
      <w:r>
        <w:rPr>
          <w:color w:val="000000"/>
        </w:rPr>
        <w:t xml:space="preserve"> </w:t>
      </w:r>
      <w:r>
        <w:rPr>
          <w:rFonts w:ascii="Times New Roman;sans-serif" w:hAnsi="Times New Roman;sans-serif"/>
          <w:b w:val="false"/>
          <w:color w:val="000000"/>
          <w:sz w:val="22"/>
        </w:rPr>
        <w:t xml:space="preserve">Rate Loan or a conversion </w:t>
      </w:r>
      <w:r>
        <w:rPr>
          <w:rFonts w:ascii="Times New Roman;sans-serif" w:hAnsi="Times New Roman;sans-serif"/>
          <w:b w:val="false"/>
          <w:strike/>
          <w:color w:val="FF0000"/>
          <w:sz w:val="22"/>
        </w:rPr>
        <w:t>to or</w:t>
      </w:r>
      <w:r>
        <w:rPr>
          <w:rFonts w:ascii="Times New Roman;sans-serif" w:hAnsi="Times New Roman;sans-serif"/>
          <w:b w:val="false"/>
          <w:color w:val="0000FF"/>
          <w:sz w:val="22"/>
          <w:u w:val="single"/>
        </w:rPr>
        <w:t>of Base Rate Loans to Term SOFR Loans or a Daily SOFR Loans or a</w:t>
      </w:r>
      <w:r>
        <w:rPr>
          <w:color w:val="000000"/>
        </w:rPr>
        <w:t xml:space="preserve"> </w:t>
      </w:r>
      <w:r>
        <w:rPr>
          <w:rFonts w:ascii="Times New Roman;sans-serif" w:hAnsi="Times New Roman;sans-serif"/>
          <w:b w:val="false"/>
          <w:color w:val="000000"/>
          <w:sz w:val="22"/>
        </w:rPr>
        <w:t xml:space="preserve">continuation </w:t>
      </w:r>
      <w:r>
        <w:rPr>
          <w:rFonts w:ascii="Times New Roman;sans-serif" w:hAnsi="Times New Roman;sans-serif"/>
          <w:b w:val="false"/>
          <w:strike/>
          <w:color w:val="FF0000"/>
          <w:sz w:val="22"/>
        </w:rPr>
        <w:t>thereof</w:t>
      </w:r>
      <w:r>
        <w:rPr>
          <w:rFonts w:ascii="Times New Roman;sans-serif" w:hAnsi="Times New Roman;sans-serif"/>
          <w:b w:val="false"/>
          <w:color w:val="0000FF"/>
          <w:sz w:val="22"/>
          <w:u w:val="single"/>
        </w:rPr>
        <w:t>of any of Term SOFR Loans or Designated Currency Term Rate Loans, as applicable</w:t>
      </w:r>
      <w:r>
        <w:rPr>
          <w:rFonts w:ascii="Times New Roman;sans-serif" w:hAnsi="Times New Roman;sans-serif"/>
          <w:b w:val="false"/>
          <w:color w:val="000000"/>
          <w:sz w:val="22"/>
        </w:rPr>
        <w:t xml:space="preserve">, (i) the Administrative Agent determines </w:t>
      </w:r>
      <w:r>
        <w:rPr>
          <w:rFonts w:ascii="Times New Roman;sans-serif" w:hAnsi="Times New Roman;sans-serif"/>
          <w:b w:val="false"/>
          <w:strike/>
          <w:color w:val="FF0000"/>
          <w:sz w:val="22"/>
        </w:rPr>
        <w:t>that (A) deposits (whether in Dollars or a Foreign Currency)</w:t>
      </w:r>
      <w:r>
        <w:rPr>
          <w:strike/>
          <w:color w:val="FF0000"/>
        </w:rPr>
        <w:t xml:space="preserve"> </w:t>
      </w:r>
      <w:r>
        <w:rPr>
          <w:rFonts w:ascii="Times New Roman;sans-serif" w:hAnsi="Times New Roman;sans-serif"/>
          <w:b w:val="false"/>
          <w:strike/>
          <w:color w:val="FF0000"/>
          <w:sz w:val="22"/>
        </w:rPr>
        <w:t>are not being offered to banks in the applicable offshore interbank eurocurrency market for such currency</w:t>
      </w:r>
      <w:r>
        <w:rPr>
          <w:rFonts w:ascii="Times New Roman;sans-serif" w:hAnsi="Times New Roman;sans-serif"/>
          <w:b w:val="false"/>
          <w:color w:val="0000FF"/>
          <w:sz w:val="22"/>
          <w:u w:val="single"/>
        </w:rPr>
        <w:t>(which determination shall be conclusive absent manifest error) that (A) no Successor Rate for the Relevant Rate</w:t>
      </w:r>
      <w:r>
        <w:rPr>
          <w:color w:val="000000"/>
        </w:rPr>
        <w:t xml:space="preserve"> </w:t>
      </w:r>
      <w:r>
        <w:rPr>
          <w:rFonts w:ascii="Times New Roman;sans-serif" w:hAnsi="Times New Roman;sans-serif"/>
          <w:b w:val="false"/>
          <w:color w:val="000000"/>
          <w:sz w:val="22"/>
        </w:rPr>
        <w:t xml:space="preserve">for the applicable </w:t>
      </w:r>
      <w:r>
        <w:rPr>
          <w:rFonts w:ascii="Times New Roman;sans-serif" w:hAnsi="Times New Roman;sans-serif"/>
          <w:b w:val="false"/>
          <w:strike/>
          <w:color w:val="FF0000"/>
          <w:sz w:val="22"/>
        </w:rPr>
        <w:t>amount and Interest Period of such Eurocurrency Rate Loan</w:t>
      </w:r>
      <w:r>
        <w:rPr>
          <w:rFonts w:ascii="Times New Roman;sans-serif" w:hAnsi="Times New Roman;sans-serif"/>
          <w:b w:val="false"/>
          <w:color w:val="0000FF"/>
          <w:sz w:val="22"/>
          <w:u w:val="single"/>
        </w:rPr>
        <w:t>Agreed Currency has</w:t>
      </w:r>
      <w:r>
        <w:rPr>
          <w:color w:val="0000FF"/>
          <w:u w:val="single"/>
        </w:rPr>
        <w:t xml:space="preserve"> </w:t>
      </w:r>
      <w:r>
        <w:rPr>
          <w:rFonts w:ascii="Times New Roman;sans-serif" w:hAnsi="Times New Roman;sans-serif"/>
          <w:b w:val="false"/>
          <w:color w:val="0000FF"/>
          <w:sz w:val="22"/>
          <w:u w:val="single"/>
        </w:rPr>
        <w:t>been determined in accordance with Section 4.8(b) or Section 4.8(c) and the circumstances under clause (i) of Section 4.8(b) or of Section 4.8(c) or the Scheduled Unavailability Date, or the SOFR Scheduled Unavailability Date, has occurred with respect to such Relevant Rate (as applicable),</w:t>
      </w:r>
      <w:r>
        <w:rPr>
          <w:color w:val="000000"/>
        </w:rPr>
        <w:t xml:space="preserve"> </w:t>
      </w:r>
      <w:r>
        <w:rPr>
          <w:rFonts w:ascii="Times New Roman;sans-serif" w:hAnsi="Times New Roman;sans-serif"/>
          <w:b w:val="false"/>
          <w:color w:val="000000"/>
          <w:sz w:val="22"/>
        </w:rPr>
        <w:t xml:space="preserve">or (B) adequate and reasonable means do not </w:t>
      </w:r>
      <w:r>
        <w:rPr>
          <w:rFonts w:ascii="Times New Roman;sans-serif" w:hAnsi="Times New Roman;sans-serif"/>
          <w:b w:val="false"/>
          <w:color w:val="0000FF"/>
          <w:sz w:val="22"/>
          <w:u w:val="single"/>
        </w:rPr>
        <w:t xml:space="preserve">otherwise </w:t>
      </w:r>
      <w:r>
        <w:rPr>
          <w:rFonts w:ascii="Times New Roman;sans-serif" w:hAnsi="Times New Roman;sans-serif"/>
          <w:b w:val="false"/>
          <w:color w:val="000000"/>
          <w:sz w:val="22"/>
        </w:rPr>
        <w:t xml:space="preserve">exist for determining the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Relevant</w:t>
      </w:r>
      <w:r>
        <w:rPr>
          <w:color w:val="000000"/>
        </w:rPr>
        <w:t xml:space="preserve"> </w:t>
      </w:r>
      <w:r>
        <w:rPr>
          <w:rFonts w:ascii="Times New Roman;sans-serif" w:hAnsi="Times New Roman;sans-serif"/>
          <w:b w:val="false"/>
          <w:color w:val="000000"/>
          <w:sz w:val="22"/>
        </w:rPr>
        <w:t xml:space="preserve">Rate for </w:t>
      </w:r>
      <w:r>
        <w:rPr>
          <w:rFonts w:ascii="Times New Roman;sans-serif" w:hAnsi="Times New Roman;sans-serif"/>
          <w:b w:val="false"/>
          <w:strike/>
          <w:color w:val="FF0000"/>
          <w:sz w:val="22"/>
        </w:rPr>
        <w:t>any</w:t>
      </w:r>
      <w:r>
        <w:rPr>
          <w:rFonts w:ascii="Times New Roman;sans-serif" w:hAnsi="Times New Roman;sans-serif"/>
          <w:b w:val="false"/>
          <w:color w:val="0000FF"/>
          <w:sz w:val="22"/>
          <w:u w:val="single"/>
        </w:rPr>
        <w:t>the applicable Agreed Currency for any determination date(s) or</w:t>
      </w:r>
      <w:r>
        <w:rPr>
          <w:color w:val="000000"/>
        </w:rPr>
        <w:t xml:space="preserve"> </w:t>
      </w:r>
      <w:r>
        <w:rPr>
          <w:rFonts w:ascii="Times New Roman;sans-serif" w:hAnsi="Times New Roman;sans-serif"/>
          <w:b w:val="false"/>
          <w:color w:val="000000"/>
          <w:sz w:val="22"/>
        </w:rPr>
        <w:t>requested Interest Period</w:t>
      </w:r>
      <w:r>
        <w:rPr>
          <w:rFonts w:ascii="Times New Roman;sans-serif" w:hAnsi="Times New Roman;sans-serif"/>
          <w:b w:val="false"/>
          <w:color w:val="0000FF"/>
          <w:sz w:val="22"/>
          <w:u w:val="single"/>
        </w:rPr>
        <w:t>, as applicable,</w:t>
      </w:r>
      <w:r>
        <w:rPr>
          <w:color w:val="000000"/>
        </w:rPr>
        <w:t xml:space="preserve"> </w:t>
      </w:r>
      <w:r>
        <w:rPr>
          <w:rFonts w:ascii="Times New Roman;sans-serif" w:hAnsi="Times New Roman;sans-serif"/>
          <w:b w:val="false"/>
          <w:color w:val="000000"/>
          <w:sz w:val="22"/>
        </w:rPr>
        <w:t xml:space="preserve">with respect to a proposed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 Daily SOFR Loan or a Designated Currency</w:t>
      </w:r>
      <w:r>
        <w:rPr>
          <w:color w:val="000000"/>
        </w:rPr>
        <w:t xml:space="preserve"> </w:t>
      </w:r>
      <w:r>
        <w:rPr>
          <w:rFonts w:ascii="Times New Roman;sans-serif" w:hAnsi="Times New Roman;sans-serif"/>
          <w:b w:val="false"/>
          <w:color w:val="000000"/>
          <w:sz w:val="22"/>
        </w:rPr>
        <w:t xml:space="preserve">Rate Loan </w:t>
      </w:r>
      <w:r>
        <w:rPr>
          <w:rFonts w:ascii="Times New Roman;sans-serif" w:hAnsi="Times New Roman;sans-serif"/>
          <w:b w:val="false"/>
          <w:strike/>
          <w:color w:val="FF0000"/>
          <w:sz w:val="22"/>
        </w:rPr>
        <w:t xml:space="preserve">(whether denominated in Dollars or a Foreign Currency) </w:t>
      </w:r>
      <w:r>
        <w:rPr>
          <w:rFonts w:ascii="Times New Roman;sans-serif" w:hAnsi="Times New Roman;sans-serif"/>
          <w:b w:val="false"/>
          <w:color w:val="000000"/>
          <w:sz w:val="22"/>
        </w:rPr>
        <w:t>or in connection with an existing or proposed Base Rate Loan</w:t>
      </w:r>
      <w:r>
        <w:rPr>
          <w:strike/>
          <w:color w:val="FF0000"/>
        </w:rPr>
        <w:t xml:space="preserve"> </w:t>
      </w:r>
      <w:r>
        <w:rPr>
          <w:rFonts w:ascii="Times New Roman;sans-serif" w:hAnsi="Times New Roman;sans-serif"/>
          <w:b w:val="false"/>
          <w:strike/>
          <w:color w:val="FF0000"/>
          <w:sz w:val="22"/>
        </w:rPr>
        <w:t xml:space="preserve">(in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93"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FF0000"/>
          <w:sz w:val="22"/>
        </w:rPr>
        <w:t>with respect to clause (i), “</w:t>
      </w:r>
      <w:r>
        <w:rPr>
          <w:rFonts w:ascii="Times New Roman;sans-serif" w:hAnsi="Times New Roman;sans-serif"/>
          <w:b w:val="false"/>
          <w:strike/>
          <w:color w:val="FF0000"/>
          <w:sz w:val="22"/>
          <w:u w:val="single"/>
        </w:rPr>
        <w:t>Impacted Loans</w:t>
      </w:r>
      <w:r>
        <w:rPr>
          <w:strike/>
          <w:color w:val="FF0000"/>
        </w:rPr>
        <w:t>”</w:t>
      </w:r>
      <w:r>
        <w:rPr>
          <w:rFonts w:ascii="Times New Roman;sans-serif" w:hAnsi="Times New Roman;sans-serif"/>
          <w:b w:val="false"/>
          <w:strike/>
          <w:color w:val="FF0000"/>
          <w:sz w:val="22"/>
        </w:rPr>
        <w:t>)</w:t>
      </w:r>
      <w:r>
        <w:rPr>
          <w:rFonts w:ascii="Times New Roman;sans-serif" w:hAnsi="Times New Roman;sans-serif"/>
          <w:b w:val="false"/>
          <w:color w:val="000000"/>
          <w:sz w:val="22"/>
        </w:rPr>
        <w:t xml:space="preserve">, or (ii) the Administrative Agent or the Required Lenders determine that for any reason </w:t>
      </w:r>
      <w:r>
        <w:rPr>
          <w:rFonts w:ascii="Times New Roman;sans-serif" w:hAnsi="Times New Roman;sans-serif"/>
          <w:b w:val="false"/>
          <w:strike/>
          <w:color w:val="FF0000"/>
          <w:sz w:val="22"/>
        </w:rPr>
        <w:t xml:space="preserve">Eurocurrency Rate </w:t>
      </w:r>
      <w:r>
        <w:rPr>
          <w:rFonts w:ascii="Times New Roman;sans-serif" w:hAnsi="Times New Roman;sans-serif"/>
          <w:b w:val="false"/>
          <w:color w:val="0000FF"/>
          <w:sz w:val="22"/>
          <w:u w:val="single"/>
        </w:rPr>
        <w:t xml:space="preserve">that the Relevant Rate </w:t>
      </w:r>
      <w:r>
        <w:rPr>
          <w:rFonts w:ascii="Times New Roman;sans-serif" w:hAnsi="Times New Roman;sans-serif"/>
          <w:b w:val="false"/>
          <w:color w:val="008000"/>
          <w:sz w:val="22"/>
          <w:u w:val="single"/>
        </w:rPr>
        <w:t xml:space="preserve">with respect to a proposed </w:t>
      </w:r>
      <w:r>
        <w:rPr>
          <w:rFonts w:ascii="Times New Roman;sans-serif" w:hAnsi="Times New Roman;sans-serif"/>
          <w:b w:val="false"/>
          <w:color w:val="0000FF"/>
          <w:sz w:val="22"/>
          <w:u w:val="single"/>
        </w:rPr>
        <w:t xml:space="preserve">Loan denominated in an Agreed Currency </w:t>
      </w:r>
      <w:r>
        <w:rPr>
          <w:rFonts w:ascii="Times New Roman;sans-serif" w:hAnsi="Times New Roman;sans-serif"/>
          <w:b w:val="false"/>
          <w:color w:val="000000"/>
          <w:sz w:val="22"/>
        </w:rPr>
        <w:t>for any requested Interest Period</w:t>
      </w:r>
      <w:r>
        <w:rPr>
          <w:strike/>
          <w:color w:val="008000"/>
        </w:rPr>
        <w:t xml:space="preserve"> </w:t>
      </w:r>
      <w:r>
        <w:rPr>
          <w:rFonts w:ascii="Times New Roman;sans-serif" w:hAnsi="Times New Roman;sans-serif"/>
          <w:b w:val="false"/>
          <w:strike/>
          <w:color w:val="008000"/>
          <w:sz w:val="22"/>
        </w:rPr>
        <w:t xml:space="preserve">with respect to a proposed </w:t>
      </w:r>
      <w:r>
        <w:rPr>
          <w:rFonts w:ascii="Times New Roman;sans-serif" w:hAnsi="Times New Roman;sans-serif"/>
          <w:b w:val="false"/>
          <w:strike/>
          <w:color w:val="FF0000"/>
          <w:sz w:val="22"/>
        </w:rPr>
        <w:t>Eurocurrency Rate Loan</w:t>
      </w:r>
      <w:r>
        <w:rPr>
          <w:rFonts w:ascii="Times New Roman;sans-serif" w:hAnsi="Times New Roman;sans-serif"/>
          <w:b w:val="false"/>
          <w:color w:val="0000FF"/>
          <w:sz w:val="22"/>
          <w:u w:val="single"/>
        </w:rPr>
        <w:t>, as applicable, or determination date(s)</w:t>
      </w:r>
      <w:r>
        <w:rPr>
          <w:color w:val="000000"/>
        </w:rPr>
        <w:t xml:space="preserve"> </w:t>
      </w:r>
      <w:r>
        <w:rPr>
          <w:rFonts w:ascii="Times New Roman;sans-serif" w:hAnsi="Times New Roman;sans-serif"/>
          <w:b w:val="false"/>
          <w:color w:val="000000"/>
          <w:sz w:val="22"/>
        </w:rPr>
        <w:t xml:space="preserve">does not adequately and fairly reflect the cost to such Lenders of funding such Loan, the Administrative Agent will promptly so notify the Company and each Lender. </w:t>
      </w:r>
    </w:p>
    <w:p>
      <w:pPr>
        <w:pStyle w:val="TextBody"/>
        <w:bidi w:val="0"/>
        <w:spacing w:lineRule="auto" w:line="288" w:before="0" w:after="240"/>
        <w:jc w:val="both"/>
        <w:rPr/>
      </w:pPr>
      <w:r>
        <w:rPr>
          <w:rFonts w:ascii="Times New Roman;sans-serif" w:hAnsi="Times New Roman;sans-serif"/>
          <w:b w:val="false"/>
          <w:strike/>
          <w:color w:val="FF0000"/>
          <w:sz w:val="22"/>
        </w:rPr>
        <w:t xml:space="preserve">(a) </w:t>
      </w:r>
      <w:r>
        <w:rPr>
          <w:rFonts w:ascii="Times New Roman;sans-serif" w:hAnsi="Times New Roman;sans-serif"/>
          <w:b w:val="false"/>
          <w:color w:val="000000"/>
          <w:sz w:val="24"/>
        </w:rPr>
        <w:t xml:space="preserve">Thereafter, (x) the obligation of the Lenders to make or maintain </w:t>
      </w:r>
      <w:r>
        <w:rPr>
          <w:rFonts w:ascii="Times New Roman;sans-serif" w:hAnsi="Times New Roman;sans-serif"/>
          <w:b w:val="false"/>
          <w:strike/>
          <w:color w:val="FF0000"/>
          <w:sz w:val="24"/>
        </w:rPr>
        <w:t xml:space="preserve">Eurocurrency Rate </w:t>
      </w:r>
      <w:r>
        <w:rPr>
          <w:rFonts w:ascii="Times New Roman;sans-serif" w:hAnsi="Times New Roman;sans-serif"/>
          <w:b w:val="false"/>
          <w:color w:val="000000"/>
          <w:sz w:val="24"/>
        </w:rPr>
        <w:t xml:space="preserve">Loans in the affected </w:t>
      </w:r>
      <w:r>
        <w:rPr>
          <w:rFonts w:ascii="Times New Roman;sans-serif" w:hAnsi="Times New Roman;sans-serif"/>
          <w:b w:val="false"/>
          <w:strike/>
          <w:color w:val="FF0000"/>
          <w:sz w:val="24"/>
        </w:rPr>
        <w:t xml:space="preserve">currency or </w:t>
      </w:r>
      <w:r>
        <w:rPr>
          <w:rFonts w:ascii="Times New Roman;sans-serif" w:hAnsi="Times New Roman;sans-serif"/>
          <w:b w:val="false"/>
          <w:color w:val="000000"/>
          <w:sz w:val="24"/>
        </w:rPr>
        <w:t>currencies</w:t>
      </w:r>
      <w:r>
        <w:rPr>
          <w:rFonts w:ascii="Times New Roman;sans-serif" w:hAnsi="Times New Roman;sans-serif"/>
          <w:b w:val="false"/>
          <w:color w:val="0000FF"/>
          <w:sz w:val="24"/>
          <w:u w:val="single"/>
        </w:rPr>
        <w:t>, as applicable, or to convert Base Rate Loans to Term SOFR Loans or Daily SOFR Loans,</w:t>
      </w:r>
      <w:r>
        <w:rPr>
          <w:color w:val="000000"/>
        </w:rPr>
        <w:t xml:space="preserve"> </w:t>
      </w:r>
      <w:r>
        <w:rPr>
          <w:rFonts w:ascii="Times New Roman;sans-serif" w:hAnsi="Times New Roman;sans-serif"/>
          <w:b w:val="false"/>
          <w:color w:val="000000"/>
          <w:sz w:val="24"/>
        </w:rPr>
        <w:t>shall be suspended</w:t>
      </w:r>
      <w:r>
        <w:rPr>
          <w:strike/>
          <w:color w:val="FF0000"/>
        </w:rPr>
        <w:t xml:space="preserve"> </w:t>
      </w:r>
      <w:r>
        <w:rPr>
          <w:rFonts w:ascii="Times New Roman;sans-serif" w:hAnsi="Times New Roman;sans-serif"/>
          <w:b w:val="false"/>
          <w:strike/>
          <w:color w:val="FF0000"/>
          <w:sz w:val="24"/>
        </w:rPr>
        <w:t>(</w:t>
      </w:r>
      <w:r>
        <w:rPr>
          <w:rFonts w:ascii="Times New Roman;sans-serif" w:hAnsi="Times New Roman;sans-serif"/>
          <w:b w:val="false"/>
          <w:color w:val="0000FF"/>
          <w:sz w:val="24"/>
          <w:u w:val="single"/>
        </w:rPr>
        <w:t>, in each case,</w:t>
      </w:r>
      <w:r>
        <w:rPr>
          <w:color w:val="000000"/>
        </w:rPr>
        <w:t xml:space="preserve"> </w:t>
      </w:r>
      <w:r>
        <w:rPr>
          <w:rFonts w:ascii="Times New Roman;sans-serif" w:hAnsi="Times New Roman;sans-serif"/>
          <w:b w:val="false"/>
          <w:color w:val="000000"/>
          <w:sz w:val="24"/>
        </w:rPr>
        <w:t xml:space="preserve">to the extent of the affected </w:t>
      </w:r>
      <w:r>
        <w:rPr>
          <w:rFonts w:ascii="Times New Roman;sans-serif" w:hAnsi="Times New Roman;sans-serif"/>
          <w:b w:val="false"/>
          <w:strike/>
          <w:color w:val="FF0000"/>
          <w:sz w:val="24"/>
        </w:rPr>
        <w:t xml:space="preserve">Eurocurrency Rate </w:t>
      </w:r>
      <w:r>
        <w:rPr>
          <w:rFonts w:ascii="Times New Roman;sans-serif" w:hAnsi="Times New Roman;sans-serif"/>
          <w:b w:val="false"/>
          <w:color w:val="000000"/>
          <w:sz w:val="24"/>
        </w:rPr>
        <w:t xml:space="preserve">Loans or Interest </w:t>
      </w:r>
      <w:r>
        <w:rPr>
          <w:rFonts w:ascii="Times New Roman;sans-serif" w:hAnsi="Times New Roman;sans-serif"/>
          <w:b w:val="false"/>
          <w:strike/>
          <w:color w:val="FF0000"/>
          <w:sz w:val="24"/>
        </w:rPr>
        <w:t>Periods)</w:t>
      </w:r>
      <w:r>
        <w:rPr>
          <w:rFonts w:ascii="Times New Roman;sans-serif" w:hAnsi="Times New Roman;sans-serif"/>
          <w:b w:val="false"/>
          <w:color w:val="0000FF"/>
          <w:sz w:val="24"/>
          <w:u w:val="single"/>
        </w:rPr>
        <w:t>Period or determination date(s), as applicable</w:t>
      </w:r>
      <w:r>
        <w:rPr>
          <w:rFonts w:ascii="Times New Roman;sans-serif" w:hAnsi="Times New Roman;sans-serif"/>
          <w:b w:val="false"/>
          <w:color w:val="000000"/>
          <w:sz w:val="24"/>
        </w:rPr>
        <w:t xml:space="preserve">, and (y) in the event of a determination described in the preceding sentence with respect to the </w:t>
      </w:r>
      <w:r>
        <w:rPr>
          <w:rFonts w:ascii="Times New Roman;sans-serif" w:hAnsi="Times New Roman;sans-serif"/>
          <w:b w:val="false"/>
          <w:strike/>
          <w:color w:val="FF0000"/>
          <w:sz w:val="24"/>
        </w:rPr>
        <w:t>Eurocurrency Rate</w:t>
      </w:r>
      <w:r>
        <w:rPr>
          <w:rFonts w:ascii="Times New Roman;sans-serif" w:hAnsi="Times New Roman;sans-serif"/>
          <w:b w:val="false"/>
          <w:color w:val="0000FF"/>
          <w:sz w:val="24"/>
          <w:u w:val="single"/>
        </w:rPr>
        <w:t>Term SOFR</w:t>
      </w:r>
      <w:r>
        <w:rPr>
          <w:color w:val="000000"/>
        </w:rPr>
        <w:t xml:space="preserve"> </w:t>
      </w:r>
      <w:r>
        <w:rPr>
          <w:rFonts w:ascii="Times New Roman;sans-serif" w:hAnsi="Times New Roman;sans-serif"/>
          <w:b w:val="false"/>
          <w:color w:val="000000"/>
          <w:sz w:val="24"/>
        </w:rPr>
        <w:t xml:space="preserve">component of the Base Rate, the utilization of the </w:t>
      </w:r>
      <w:r>
        <w:rPr>
          <w:rFonts w:ascii="Times New Roman;sans-serif" w:hAnsi="Times New Roman;sans-serif"/>
          <w:b w:val="false"/>
          <w:strike/>
          <w:color w:val="FF0000"/>
          <w:sz w:val="24"/>
        </w:rPr>
        <w:t>Eurocurrency Rate</w:t>
      </w:r>
      <w:r>
        <w:rPr>
          <w:rFonts w:ascii="Times New Roman;sans-serif" w:hAnsi="Times New Roman;sans-serif"/>
          <w:b w:val="false"/>
          <w:color w:val="0000FF"/>
          <w:sz w:val="24"/>
          <w:u w:val="single"/>
        </w:rPr>
        <w:t>Term SOFR</w:t>
      </w:r>
      <w:r>
        <w:rPr>
          <w:color w:val="000000"/>
        </w:rPr>
        <w:t xml:space="preserve"> </w:t>
      </w:r>
      <w:r>
        <w:rPr>
          <w:rFonts w:ascii="Times New Roman;sans-serif" w:hAnsi="Times New Roman;sans-serif"/>
          <w:b w:val="false"/>
          <w:color w:val="000000"/>
          <w:sz w:val="24"/>
        </w:rPr>
        <w:t>component in determining the Base Rate shall be suspended, in each case until the Administrative Agent (</w:t>
      </w:r>
      <w:r>
        <w:rPr>
          <w:rFonts w:ascii="Times New Roman;sans-serif" w:hAnsi="Times New Roman;sans-serif"/>
          <w:b w:val="false"/>
          <w:strike/>
          <w:color w:val="FF0000"/>
          <w:sz w:val="24"/>
        </w:rPr>
        <w:t>upon the</w:t>
      </w:r>
      <w:r>
        <w:rPr>
          <w:rFonts w:ascii="Times New Roman;sans-serif" w:hAnsi="Times New Roman;sans-serif"/>
          <w:b w:val="false"/>
          <w:color w:val="0000FF"/>
          <w:sz w:val="24"/>
          <w:u w:val="single"/>
        </w:rPr>
        <w:t>or, in the case of a determination by the Required Lenders described in clause (ii) of this Section 4.8(a), until the Administrative Agent upon</w:t>
      </w:r>
      <w:r>
        <w:rPr>
          <w:color w:val="000000"/>
        </w:rPr>
        <w:t xml:space="preserve"> </w:t>
      </w:r>
      <w:r>
        <w:rPr>
          <w:rFonts w:ascii="Times New Roman;sans-serif" w:hAnsi="Times New Roman;sans-serif"/>
          <w:b w:val="false"/>
          <w:color w:val="000000"/>
          <w:sz w:val="24"/>
        </w:rPr>
        <w:t xml:space="preserve">instruction of the Required Lenders) revokes such notice. </w:t>
      </w:r>
    </w:p>
    <w:p>
      <w:pPr>
        <w:pStyle w:val="TextBody"/>
        <w:bidi w:val="0"/>
        <w:spacing w:lineRule="auto" w:line="288" w:before="0" w:after="240"/>
        <w:jc w:val="both"/>
        <w:rPr/>
      </w:pPr>
      <w:r>
        <w:rPr>
          <w:rFonts w:ascii="Times New Roman;sans-serif" w:hAnsi="Times New Roman;sans-serif"/>
          <w:b w:val="false"/>
          <w:color w:val="000000"/>
          <w:sz w:val="24"/>
        </w:rPr>
        <w:t xml:space="preserve">Upon receipt of such notice, </w:t>
      </w:r>
      <w:r>
        <w:rPr>
          <w:rFonts w:ascii="Times New Roman;sans-serif" w:hAnsi="Times New Roman;sans-serif"/>
          <w:b w:val="false"/>
          <w:color w:val="0000FF"/>
          <w:sz w:val="24"/>
          <w:u w:val="single"/>
        </w:rPr>
        <w:t xml:space="preserve">(i) </w:t>
      </w:r>
      <w:r>
        <w:rPr>
          <w:rFonts w:ascii="Times New Roman;sans-serif" w:hAnsi="Times New Roman;sans-serif"/>
          <w:b w:val="false"/>
          <w:color w:val="000000"/>
          <w:sz w:val="24"/>
        </w:rPr>
        <w:t xml:space="preserve">the </w:t>
      </w:r>
      <w:r>
        <w:rPr>
          <w:rFonts w:ascii="Times New Roman;sans-serif" w:hAnsi="Times New Roman;sans-serif"/>
          <w:b w:val="false"/>
          <w:strike/>
          <w:color w:val="FF0000"/>
          <w:sz w:val="24"/>
        </w:rPr>
        <w:t>applicable Borrower</w:t>
      </w:r>
      <w:r>
        <w:rPr>
          <w:rFonts w:ascii="Times New Roman;sans-serif" w:hAnsi="Times New Roman;sans-serif"/>
          <w:b w:val="false"/>
          <w:color w:val="0000FF"/>
          <w:sz w:val="24"/>
          <w:u w:val="single"/>
        </w:rPr>
        <w:t>Borrowers</w:t>
      </w:r>
      <w:r>
        <w:rPr>
          <w:color w:val="000000"/>
        </w:rPr>
        <w:t xml:space="preserve"> </w:t>
      </w:r>
      <w:r>
        <w:rPr>
          <w:rFonts w:ascii="Times New Roman;sans-serif" w:hAnsi="Times New Roman;sans-serif"/>
          <w:b w:val="false"/>
          <w:color w:val="000000"/>
          <w:sz w:val="24"/>
        </w:rPr>
        <w:t xml:space="preserve">may revoke any pending request for </w:t>
      </w:r>
      <w:r>
        <w:rPr>
          <w:rFonts w:ascii="Times New Roman;sans-serif" w:hAnsi="Times New Roman;sans-serif"/>
          <w:b w:val="false"/>
          <w:strike/>
          <w:color w:val="FF0000"/>
          <w:sz w:val="24"/>
        </w:rPr>
        <w:t>an Extension of Credit of, conversion to or</w:t>
      </w:r>
      <w:r>
        <w:rPr>
          <w:rFonts w:ascii="Times New Roman;sans-serif" w:hAnsi="Times New Roman;sans-serif"/>
          <w:b w:val="false"/>
          <w:color w:val="0000FF"/>
          <w:sz w:val="24"/>
          <w:u w:val="single"/>
        </w:rPr>
        <w:t>a borrowing of,</w:t>
      </w:r>
      <w:r>
        <w:rPr>
          <w:color w:val="000000"/>
        </w:rPr>
        <w:t xml:space="preserve"> </w:t>
      </w:r>
      <w:r>
        <w:rPr>
          <w:rFonts w:ascii="Times New Roman;sans-serif" w:hAnsi="Times New Roman;sans-serif"/>
          <w:b w:val="false"/>
          <w:color w:val="000000"/>
          <w:sz w:val="24"/>
        </w:rPr>
        <w:t xml:space="preserve">continuation of </w:t>
      </w:r>
      <w:r>
        <w:rPr>
          <w:rFonts w:ascii="Times New Roman;sans-serif" w:hAnsi="Times New Roman;sans-serif"/>
          <w:b w:val="false"/>
          <w:strike/>
          <w:color w:val="FF0000"/>
          <w:sz w:val="24"/>
        </w:rPr>
        <w:t>Eurocurrency</w:t>
      </w:r>
      <w:r>
        <w:rPr>
          <w:rFonts w:ascii="Times New Roman;sans-serif" w:hAnsi="Times New Roman;sans-serif"/>
          <w:b w:val="false"/>
          <w:color w:val="0000FF"/>
          <w:sz w:val="24"/>
          <w:u w:val="single"/>
        </w:rPr>
        <w:t>or conversion to Term SOFR Loans, Daily SOFR Loans, or Designated Currency</w:t>
      </w:r>
      <w:r>
        <w:rPr>
          <w:color w:val="000000"/>
        </w:rPr>
        <w:t xml:space="preserve"> </w:t>
      </w:r>
      <w:r>
        <w:rPr>
          <w:rFonts w:ascii="Times New Roman;sans-serif" w:hAnsi="Times New Roman;sans-serif"/>
          <w:b w:val="false"/>
          <w:color w:val="000000"/>
          <w:sz w:val="24"/>
        </w:rPr>
        <w:t xml:space="preserve">Rate Loans </w:t>
      </w:r>
      <w:r>
        <w:rPr>
          <w:rFonts w:ascii="Times New Roman;sans-serif" w:hAnsi="Times New Roman;sans-serif"/>
          <w:b w:val="false"/>
          <w:strike/>
          <w:color w:val="FF0000"/>
          <w:sz w:val="24"/>
        </w:rPr>
        <w:t>in the affected currency or currencies</w:t>
      </w:r>
      <w:r>
        <w:rPr>
          <w:strike/>
          <w:color w:val="FF0000"/>
        </w:rPr>
        <w:t xml:space="preserve"> </w:t>
      </w:r>
      <w:r>
        <w:rPr>
          <w:rFonts w:ascii="Times New Roman;sans-serif" w:hAnsi="Times New Roman;sans-serif"/>
          <w:b w:val="false"/>
          <w:strike/>
          <w:color w:val="FF0000"/>
          <w:sz w:val="24"/>
        </w:rPr>
        <w:t>(</w:t>
      </w:r>
      <w:r>
        <w:rPr>
          <w:rFonts w:ascii="Times New Roman;sans-serif" w:hAnsi="Times New Roman;sans-serif"/>
          <w:b w:val="false"/>
          <w:color w:val="000000"/>
          <w:sz w:val="24"/>
        </w:rPr>
        <w:t xml:space="preserve">to the extent of the affected </w:t>
      </w:r>
      <w:r>
        <w:rPr>
          <w:rFonts w:ascii="Times New Roman;sans-serif" w:hAnsi="Times New Roman;sans-serif"/>
          <w:b w:val="false"/>
          <w:strike/>
          <w:color w:val="FF0000"/>
          <w:sz w:val="24"/>
        </w:rPr>
        <w:t xml:space="preserve">Eurocurrency Rate </w:t>
      </w:r>
      <w:r>
        <w:rPr>
          <w:rFonts w:ascii="Times New Roman;sans-serif" w:hAnsi="Times New Roman;sans-serif"/>
          <w:b w:val="false"/>
          <w:color w:val="000000"/>
          <w:sz w:val="24"/>
        </w:rPr>
        <w:t xml:space="preserve">Loans or Interest </w:t>
      </w:r>
      <w:r>
        <w:rPr>
          <w:rFonts w:ascii="Times New Roman;sans-serif" w:hAnsi="Times New Roman;sans-serif"/>
          <w:b w:val="false"/>
          <w:strike/>
          <w:color w:val="FF0000"/>
          <w:sz w:val="24"/>
        </w:rPr>
        <w:t>Periods)</w:t>
      </w:r>
      <w:r>
        <w:rPr>
          <w:rFonts w:ascii="Times New Roman;sans-serif" w:hAnsi="Times New Roman;sans-serif"/>
          <w:b w:val="false"/>
          <w:color w:val="0000FF"/>
          <w:sz w:val="24"/>
          <w:u w:val="single"/>
        </w:rPr>
        <w:t>Period or determination date(s), as applicable</w:t>
      </w:r>
      <w:r>
        <w:rPr>
          <w:color w:val="000000"/>
        </w:rPr>
        <w:t xml:space="preserve"> </w:t>
      </w:r>
      <w:r>
        <w:rPr>
          <w:rFonts w:ascii="Times New Roman;sans-serif" w:hAnsi="Times New Roman;sans-serif"/>
          <w:b w:val="false"/>
          <w:color w:val="000000"/>
          <w:sz w:val="24"/>
        </w:rPr>
        <w:t xml:space="preserve">or, failing that, will be deemed to have converted such request into a request for </w:t>
      </w:r>
      <w:r>
        <w:rPr>
          <w:rFonts w:ascii="Times New Roman;sans-serif" w:hAnsi="Times New Roman;sans-serif"/>
          <w:b w:val="false"/>
          <w:strike/>
          <w:color w:val="FF0000"/>
          <w:sz w:val="24"/>
        </w:rPr>
        <w:t>an Extension of Credit</w:t>
      </w:r>
      <w:r>
        <w:rPr>
          <w:rFonts w:ascii="Times New Roman;sans-serif" w:hAnsi="Times New Roman;sans-serif"/>
          <w:b w:val="false"/>
          <w:color w:val="0000FF"/>
          <w:sz w:val="24"/>
          <w:u w:val="single"/>
        </w:rPr>
        <w:t>a borrowing</w:t>
      </w:r>
      <w:r>
        <w:rPr>
          <w:color w:val="000000"/>
        </w:rPr>
        <w:t xml:space="preserve"> </w:t>
      </w:r>
      <w:r>
        <w:rPr>
          <w:rFonts w:ascii="Times New Roman;sans-serif" w:hAnsi="Times New Roman;sans-serif"/>
          <w:b w:val="false"/>
          <w:color w:val="000000"/>
          <w:sz w:val="24"/>
        </w:rPr>
        <w:t xml:space="preserve">of Base Rate Loans </w:t>
      </w:r>
      <w:r>
        <w:rPr>
          <w:rFonts w:ascii="Times New Roman;sans-serif" w:hAnsi="Times New Roman;sans-serif"/>
          <w:b w:val="false"/>
          <w:color w:val="0000FF"/>
          <w:sz w:val="24"/>
          <w:u w:val="single"/>
        </w:rPr>
        <w:t xml:space="preserve">denominated </w:t>
      </w:r>
      <w:r>
        <w:rPr>
          <w:rFonts w:ascii="Times New Roman;sans-serif" w:hAnsi="Times New Roman;sans-serif"/>
          <w:b w:val="false"/>
          <w:color w:val="000000"/>
          <w:sz w:val="24"/>
        </w:rPr>
        <w:t xml:space="preserve">in Dollars in </w:t>
      </w:r>
      <w:r>
        <w:rPr>
          <w:rFonts w:ascii="Times New Roman;sans-serif" w:hAnsi="Times New Roman;sans-serif"/>
          <w:b w:val="false"/>
          <w:color w:val="0000FF"/>
          <w:sz w:val="24"/>
          <w:u w:val="single"/>
        </w:rPr>
        <w:t xml:space="preserve">the Dollar Amount of </w:t>
      </w:r>
      <w:r>
        <w:rPr>
          <w:rFonts w:ascii="Times New Roman;sans-serif" w:hAnsi="Times New Roman;sans-serif"/>
          <w:b w:val="false"/>
          <w:color w:val="000000"/>
          <w:sz w:val="24"/>
        </w:rPr>
        <w:t>the amount specified therein</w:t>
      </w:r>
      <w:r>
        <w:rPr>
          <w:rFonts w:ascii="Times New Roman;sans-serif" w:hAnsi="Times New Roman;sans-serif"/>
          <w:b w:val="false"/>
          <w:strike/>
          <w:color w:val="FF0000"/>
          <w:sz w:val="24"/>
        </w:rPr>
        <w:t>.</w:t>
      </w:r>
      <w:r>
        <w:rPr>
          <w:color w:val="008000"/>
          <w:u w:val="single"/>
        </w:rPr>
        <w:t xml:space="preserve"> </w:t>
      </w:r>
      <w:r>
        <w:rPr>
          <w:rFonts w:ascii="Times New Roman;sans-serif" w:hAnsi="Times New Roman;sans-serif"/>
          <w:b w:val="false"/>
          <w:color w:val="008000"/>
          <w:sz w:val="24"/>
          <w:u w:val="single"/>
        </w:rPr>
        <w:t xml:space="preserve">and (ii) (A) any outstanding </w:t>
      </w:r>
      <w:r>
        <w:rPr>
          <w:rFonts w:ascii="Times New Roman;sans-serif" w:hAnsi="Times New Roman;sans-serif"/>
          <w:b w:val="false"/>
          <w:color w:val="0000FF"/>
          <w:sz w:val="24"/>
          <w:u w:val="single"/>
        </w:rPr>
        <w:t xml:space="preserve">Daily SOFR Loans shall </w:t>
      </w:r>
      <w:r>
        <w:rPr>
          <w:rFonts w:ascii="Times New Roman;sans-serif" w:hAnsi="Times New Roman;sans-serif"/>
          <w:b w:val="false"/>
          <w:color w:val="008000"/>
          <w:sz w:val="24"/>
          <w:u w:val="single"/>
        </w:rPr>
        <w:t xml:space="preserve">be deemed to have been converted </w:t>
      </w:r>
      <w:r>
        <w:rPr>
          <w:rFonts w:ascii="Times New Roman;sans-serif" w:hAnsi="Times New Roman;sans-serif"/>
          <w:b w:val="false"/>
          <w:color w:val="0000FF"/>
          <w:sz w:val="24"/>
          <w:u w:val="single"/>
        </w:rPr>
        <w:t>to Base Rate Loans immediately, (B) any outstanding Term SOFR Loans shall be deemed to have been converted to Base Rate Loans immediately at the end of their respective applicable Interest Period and (C) any outstanding affected Designated Currency Rate Loans</w:t>
      </w:r>
      <w:r>
        <w:rPr>
          <w:rFonts w:ascii="Times New Roman;sans-serif" w:hAnsi="Times New Roman;sans-serif"/>
          <w:b w:val="false"/>
          <w:color w:val="008000"/>
          <w:sz w:val="24"/>
          <w:u w:val="single"/>
        </w:rPr>
        <w:t xml:space="preserve">, at the Company’s election, shall either (1) be converted into a borrowing of Base Rate Loans denominated in Dollars in the Dollar Amount of the amount of such outstanding </w:t>
      </w:r>
      <w:r>
        <w:rPr>
          <w:rFonts w:ascii="Times New Roman;sans-serif" w:hAnsi="Times New Roman;sans-serif"/>
          <w:b w:val="false"/>
          <w:color w:val="0000FF"/>
          <w:sz w:val="24"/>
          <w:u w:val="single"/>
        </w:rPr>
        <w:t xml:space="preserve">Designated Currency Rate Loan immediately, in the case of a Designated Currency Daily Rate Loan or </w:t>
      </w:r>
      <w:r>
        <w:rPr>
          <w:rFonts w:ascii="Times New Roman;sans-serif" w:hAnsi="Times New Roman;sans-serif"/>
          <w:b w:val="false"/>
          <w:color w:val="008000"/>
          <w:sz w:val="24"/>
          <w:u w:val="single"/>
        </w:rPr>
        <w:t>at the end of the applicable Interest Period</w:t>
      </w:r>
      <w:r>
        <w:rPr>
          <w:rFonts w:ascii="Times New Roman;sans-serif" w:hAnsi="Times New Roman;sans-serif"/>
          <w:b w:val="false"/>
          <w:color w:val="0000FF"/>
          <w:sz w:val="24"/>
          <w:u w:val="single"/>
        </w:rPr>
        <w:t xml:space="preserve">, in the case of a Designated Currency Term Rate Loan or (2) be prepaid in full immediately, in the case of a Designated Currency Daily Rate Loan, or </w:t>
      </w:r>
      <w:r>
        <w:rPr>
          <w:rFonts w:ascii="Times New Roman;sans-serif" w:hAnsi="Times New Roman;sans-serif"/>
          <w:b w:val="false"/>
          <w:color w:val="008000"/>
          <w:sz w:val="24"/>
          <w:u w:val="single"/>
        </w:rPr>
        <w:t>at the end of the applicable Interest Period</w:t>
      </w:r>
      <w:r>
        <w:rPr>
          <w:rFonts w:ascii="Times New Roman;sans-serif" w:hAnsi="Times New Roman;sans-serif"/>
          <w:b w:val="false"/>
          <w:color w:val="0000FF"/>
          <w:sz w:val="24"/>
          <w:u w:val="single"/>
        </w:rPr>
        <w:t>, in the case of a Designated Currency Term Rate Loan</w:t>
      </w:r>
      <w:r>
        <w:rPr>
          <w:rFonts w:ascii="Times New Roman;sans-serif" w:hAnsi="Times New Roman;sans-serif"/>
          <w:b w:val="false"/>
          <w:color w:val="008000"/>
          <w:sz w:val="24"/>
          <w:u w:val="single"/>
        </w:rPr>
        <w:t xml:space="preserve">; provided that if no election is made by the Company </w:t>
      </w:r>
      <w:r>
        <w:rPr>
          <w:rFonts w:ascii="Times New Roman;sans-serif" w:hAnsi="Times New Roman;sans-serif"/>
          <w:b w:val="false"/>
          <w:color w:val="0000FF"/>
          <w:sz w:val="24"/>
          <w:u w:val="single"/>
        </w:rPr>
        <w:t xml:space="preserve">(x) in the case of a Designated Currency Daily Rate Loan, by </w:t>
      </w:r>
      <w:r>
        <w:rPr>
          <w:rFonts w:ascii="Times New Roman;sans-serif" w:hAnsi="Times New Roman;sans-serif"/>
          <w:b w:val="false"/>
          <w:color w:val="008000"/>
          <w:sz w:val="24"/>
          <w:u w:val="single"/>
        </w:rPr>
        <w:t xml:space="preserve">the date that is three Business Days after receipt by the Company of such notice </w:t>
      </w:r>
      <w:r>
        <w:rPr>
          <w:rFonts w:ascii="Times New Roman;sans-serif" w:hAnsi="Times New Roman;sans-serif"/>
          <w:b w:val="false"/>
          <w:color w:val="0000FF"/>
          <w:sz w:val="24"/>
          <w:u w:val="single"/>
        </w:rPr>
        <w:t xml:space="preserve">or (y) in the case of a Designated Currency Term Rate Loan, by </w:t>
      </w:r>
      <w:r>
        <w:rPr>
          <w:rFonts w:ascii="Times New Roman;sans-serif" w:hAnsi="Times New Roman;sans-serif"/>
          <w:b w:val="false"/>
          <w:color w:val="008000"/>
          <w:sz w:val="24"/>
          <w:u w:val="single"/>
        </w:rPr>
        <w:t xml:space="preserve">the last day of the current Interest Period for the applicable </w:t>
      </w:r>
      <w:r>
        <w:rPr>
          <w:rFonts w:ascii="Times New Roman;sans-serif" w:hAnsi="Times New Roman;sans-serif"/>
          <w:b w:val="false"/>
          <w:color w:val="0000FF"/>
          <w:sz w:val="24"/>
          <w:u w:val="single"/>
        </w:rPr>
        <w:t xml:space="preserve">Designated Currency Term Rate </w:t>
      </w:r>
      <w:r>
        <w:rPr>
          <w:rFonts w:ascii="Times New Roman;sans-serif" w:hAnsi="Times New Roman;sans-serif"/>
          <w:b w:val="false"/>
          <w:color w:val="008000"/>
          <w:sz w:val="24"/>
          <w:u w:val="single"/>
        </w:rPr>
        <w:t>Loan, the Company shall be deemed to have elected clause (1) above.</w:t>
      </w:r>
    </w:p>
    <w:p>
      <w:pPr>
        <w:pStyle w:val="TextBody"/>
        <w:bidi w:val="0"/>
        <w:spacing w:lineRule="auto" w:line="288" w:before="0" w:after="24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 xml:space="preserve">(b) Notwithstanding the foregoing, if the Administrative Agent has made the determination described in clause (a)(i) of this Section, the Administrative Agent in consultation with the Company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94"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FF0000"/>
          <w:sz w:val="22"/>
        </w:rPr>
        <w:t>under clause (a)(i) of this Section, (2) the Administrative Agent or the</w:t>
      </w:r>
      <w:r>
        <w:rPr>
          <w:strike/>
          <w:color w:val="FF0000"/>
        </w:rPr>
        <w:t xml:space="preserve"> </w:t>
      </w:r>
      <w:r>
        <w:rPr>
          <w:rFonts w:ascii="Times New Roman;sans-serif" w:hAnsi="Times New Roman;sans-serif"/>
          <w:b w:val="false"/>
          <w:strike/>
          <w:color w:val="FF0000"/>
          <w:sz w:val="22"/>
        </w:rPr>
        <w:t>Required Lenders notify the Administrative Agent and the Company that such alternative interest rate does not adequately and fairly reflect the cost to the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w:t>
      </w:r>
      <w:r>
        <w:rPr>
          <w:color w:val="FF0000"/>
        </w:rPr>
        <w:t>    </w:t>
      </w:r>
      <w:r>
        <w:rPr>
          <w:rFonts w:ascii="Times New Roman;sans-serif" w:hAnsi="Times New Roman;sans-serif"/>
          <w:b w:val="false"/>
          <w:color w:val="0000FF"/>
          <w:sz w:val="22"/>
          <w:u w:val="single"/>
        </w:rPr>
        <w:t xml:space="preserve">Replacement of Daily SOFR, Term SOFR or SOFR Successor Rate. </w:t>
      </w:r>
      <w:r>
        <w:rPr>
          <w:rFonts w:ascii="Times New Roman;sans-serif" w:hAnsi="Times New Roman;sans-serif"/>
          <w:b w:val="false"/>
          <w:color w:val="000000"/>
          <w:sz w:val="22"/>
        </w:rPr>
        <w:t>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(i)    </w:t>
      </w:r>
      <w:r>
        <w:rPr>
          <w:rFonts w:ascii="Times New Roman;sans-serif" w:hAnsi="Times New Roman;sans-serif"/>
          <w:b w:val="false"/>
          <w:color w:val="000000"/>
          <w:sz w:val="22"/>
        </w:rPr>
        <w:t xml:space="preserve">adequate and reasonable means do not exist for ascertaining </w:t>
      </w:r>
      <w:r>
        <w:rPr>
          <w:rFonts w:ascii="Times New Roman;sans-serif" w:hAnsi="Times New Roman;sans-serif"/>
          <w:b w:val="false"/>
          <w:strike/>
          <w:color w:val="FF0000"/>
          <w:sz w:val="22"/>
        </w:rPr>
        <w:t>the Applicable Reference Rate for an Applicable Currency for any Interest Period hereunder or any other tenors of the Applicable Reference Rate for an Applicable Currency</w:t>
      </w:r>
      <w:r>
        <w:rPr>
          <w:rFonts w:ascii="Times New Roman;sans-serif" w:hAnsi="Times New Roman;sans-serif"/>
          <w:b w:val="false"/>
          <w:color w:val="0000FF"/>
          <w:sz w:val="22"/>
          <w:u w:val="single"/>
        </w:rPr>
        <w:t>SOFR and/or one month, three month and six month interest periods of Term SOFR</w:t>
      </w:r>
      <w:r>
        <w:rPr>
          <w:rFonts w:ascii="Times New Roman;sans-serif" w:hAnsi="Times New Roman;sans-serif"/>
          <w:b w:val="false"/>
          <w:color w:val="000000"/>
          <w:sz w:val="22"/>
        </w:rPr>
        <w:t xml:space="preserve">, including, </w:t>
      </w:r>
      <w:r>
        <w:rPr>
          <w:rFonts w:ascii="Times New Roman;sans-serif" w:hAnsi="Times New Roman;sans-serif"/>
          <w:b w:val="false"/>
          <w:strike/>
          <w:color w:val="FF0000"/>
          <w:sz w:val="22"/>
        </w:rPr>
        <w:t>without limitation</w:t>
      </w:r>
      <w:r>
        <w:rPr>
          <w:rFonts w:ascii="Times New Roman;sans-serif" w:hAnsi="Times New Roman;sans-serif"/>
          <w:b w:val="false"/>
          <w:color w:val="0000FF"/>
          <w:sz w:val="22"/>
          <w:u w:val="single"/>
        </w:rPr>
        <w:t>in each case</w:t>
      </w:r>
      <w:r>
        <w:rPr>
          <w:rFonts w:ascii="Times New Roman;sans-serif" w:hAnsi="Times New Roman;sans-serif"/>
          <w:b w:val="false"/>
          <w:color w:val="000000"/>
          <w:sz w:val="22"/>
        </w:rPr>
        <w:t xml:space="preserve">, because the </w:t>
      </w:r>
      <w:r>
        <w:rPr>
          <w:rFonts w:ascii="Times New Roman;sans-serif" w:hAnsi="Times New Roman;sans-serif"/>
          <w:b w:val="false"/>
          <w:color w:val="0000FF"/>
          <w:sz w:val="22"/>
          <w:u w:val="single"/>
        </w:rPr>
        <w:t xml:space="preserve">Term SOFR </w:t>
      </w:r>
      <w:r>
        <w:rPr>
          <w:rFonts w:ascii="Times New Roman;sans-serif" w:hAnsi="Times New Roman;sans-serif"/>
          <w:b w:val="false"/>
          <w:color w:val="000000"/>
          <w:sz w:val="22"/>
        </w:rPr>
        <w:t xml:space="preserve">Screen Rate </w:t>
      </w:r>
      <w:r>
        <w:rPr>
          <w:rFonts w:ascii="Times New Roman;sans-serif" w:hAnsi="Times New Roman;sans-serif"/>
          <w:b w:val="false"/>
          <w:color w:val="0000FF"/>
          <w:sz w:val="22"/>
          <w:u w:val="single"/>
        </w:rPr>
        <w:t xml:space="preserve">or SOFR, as applicable, </w:t>
      </w:r>
      <w:r>
        <w:rPr>
          <w:rFonts w:ascii="Times New Roman;sans-serif" w:hAnsi="Times New Roman;sans-serif"/>
          <w:b w:val="false"/>
          <w:color w:val="000000"/>
          <w:sz w:val="22"/>
        </w:rPr>
        <w:t>is not available or published on a current basis and such circumstances are unlikely to be temporary; or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(ii)    </w:t>
      </w:r>
      <w:r>
        <w:rPr>
          <w:rFonts w:ascii="Times New Roman;sans-serif" w:hAnsi="Times New Roman;sans-serif"/>
          <w:b w:val="false"/>
          <w:color w:val="000000"/>
          <w:sz w:val="22"/>
        </w:rPr>
        <w:t xml:space="preserve">the </w:t>
      </w:r>
      <w:r>
        <w:rPr>
          <w:rFonts w:ascii="Times New Roman;sans-serif" w:hAnsi="Times New Roman;sans-serif"/>
          <w:b w:val="false"/>
          <w:strike/>
          <w:color w:val="FF0000"/>
          <w:sz w:val="22"/>
        </w:rPr>
        <w:t xml:space="preserve">administrator of the Screen Rate for an </w:t>
      </w:r>
      <w:r>
        <w:rPr>
          <w:rFonts w:ascii="Times New Roman;sans-serif" w:hAnsi="Times New Roman;sans-serif"/>
          <w:b w:val="false"/>
          <w:color w:val="000000"/>
          <w:sz w:val="22"/>
        </w:rPr>
        <w:t xml:space="preserve">Applicable </w:t>
      </w:r>
      <w:r>
        <w:rPr>
          <w:rFonts w:ascii="Times New Roman;sans-serif" w:hAnsi="Times New Roman;sans-serif"/>
          <w:b w:val="false"/>
          <w:strike/>
          <w:color w:val="FF0000"/>
          <w:sz w:val="22"/>
        </w:rPr>
        <w:t xml:space="preserve">Currency or a Governmental </w:t>
      </w:r>
      <w:r>
        <w:rPr>
          <w:rFonts w:ascii="Times New Roman;sans-serif" w:hAnsi="Times New Roman;sans-serif"/>
          <w:b w:val="false"/>
          <w:color w:val="000000"/>
          <w:sz w:val="22"/>
        </w:rPr>
        <w:t xml:space="preserve">Authority </w:t>
      </w:r>
      <w:r>
        <w:rPr>
          <w:rFonts w:ascii="Times New Roman;sans-serif" w:hAnsi="Times New Roman;sans-serif"/>
          <w:b w:val="false"/>
          <w:strike/>
          <w:color w:val="008000"/>
          <w:sz w:val="22"/>
        </w:rPr>
        <w:t xml:space="preserve">having jurisdiction over the Administrative Agent or such administrator </w:t>
      </w:r>
      <w:r>
        <w:rPr>
          <w:rFonts w:ascii="Times New Roman;sans-serif" w:hAnsi="Times New Roman;sans-serif"/>
          <w:b w:val="false"/>
          <w:color w:val="000000"/>
          <w:sz w:val="22"/>
        </w:rPr>
        <w:t xml:space="preserve">has made a public statement identifying a specific date after which </w:t>
      </w:r>
      <w:r>
        <w:rPr>
          <w:rFonts w:ascii="Times New Roman;sans-serif" w:hAnsi="Times New Roman;sans-serif"/>
          <w:b w:val="false"/>
          <w:strike/>
          <w:color w:val="FF0000"/>
          <w:sz w:val="22"/>
        </w:rPr>
        <w:t>the Applicable Reference Rate for an Applicable Currency or the</w:t>
      </w:r>
      <w:r>
        <w:rPr>
          <w:rFonts w:ascii="Times New Roman;sans-serif" w:hAnsi="Times New Roman;sans-serif"/>
          <w:b w:val="false"/>
          <w:color w:val="0000FF"/>
          <w:sz w:val="22"/>
          <w:u w:val="single"/>
        </w:rPr>
        <w:t>SOFR and/or one month, three month and six month interest periods of Term SOFR or the Term SOFR</w:t>
      </w:r>
      <w:r>
        <w:rPr>
          <w:color w:val="000000"/>
        </w:rPr>
        <w:t xml:space="preserve"> </w:t>
      </w:r>
      <w:r>
        <w:rPr>
          <w:rFonts w:ascii="Times New Roman;sans-serif" w:hAnsi="Times New Roman;sans-serif"/>
          <w:b w:val="false"/>
          <w:color w:val="000000"/>
          <w:sz w:val="22"/>
        </w:rPr>
        <w:t xml:space="preserve">Screen Rate </w:t>
      </w:r>
      <w:r>
        <w:rPr>
          <w:rFonts w:ascii="Times New Roman;sans-serif" w:hAnsi="Times New Roman;sans-serif"/>
          <w:b w:val="false"/>
          <w:strike/>
          <w:color w:val="FF0000"/>
          <w:sz w:val="22"/>
        </w:rPr>
        <w:t xml:space="preserve">for an Applicable Currency </w:t>
      </w:r>
      <w:r>
        <w:rPr>
          <w:rFonts w:ascii="Times New Roman;sans-serif" w:hAnsi="Times New Roman;sans-serif"/>
          <w:b w:val="false"/>
          <w:color w:val="000000"/>
          <w:sz w:val="22"/>
        </w:rPr>
        <w:t xml:space="preserve">shall </w:t>
      </w:r>
      <w:r>
        <w:rPr>
          <w:rFonts w:ascii="Times New Roman;sans-serif" w:hAnsi="Times New Roman;sans-serif"/>
          <w:b w:val="false"/>
          <w:color w:val="0000FF"/>
          <w:sz w:val="22"/>
          <w:u w:val="single"/>
        </w:rPr>
        <w:t xml:space="preserve">or will </w:t>
      </w:r>
      <w:r>
        <w:rPr>
          <w:rFonts w:ascii="Times New Roman;sans-serif" w:hAnsi="Times New Roman;sans-serif"/>
          <w:b w:val="false"/>
          <w:color w:val="000000"/>
          <w:sz w:val="22"/>
        </w:rPr>
        <w:t xml:space="preserve">no longer be </w:t>
      </w:r>
      <w:r>
        <w:rPr>
          <w:rFonts w:ascii="Times New Roman;sans-serif" w:hAnsi="Times New Roman;sans-serif"/>
          <w:b w:val="false"/>
          <w:color w:val="0000FF"/>
          <w:sz w:val="22"/>
          <w:u w:val="single"/>
        </w:rPr>
        <w:t xml:space="preserve">representative or </w:t>
      </w:r>
      <w:r>
        <w:rPr>
          <w:rFonts w:ascii="Times New Roman;sans-serif" w:hAnsi="Times New Roman;sans-serif"/>
          <w:b w:val="false"/>
          <w:color w:val="000000"/>
          <w:sz w:val="22"/>
        </w:rPr>
        <w:t xml:space="preserve">made available, or </w:t>
      </w:r>
      <w:r>
        <w:rPr>
          <w:rFonts w:ascii="Times New Roman;sans-serif" w:hAnsi="Times New Roman;sans-serif"/>
          <w:b w:val="false"/>
          <w:color w:val="0000FF"/>
          <w:sz w:val="22"/>
          <w:u w:val="single"/>
        </w:rPr>
        <w:t xml:space="preserve">permitted to be </w:t>
      </w:r>
      <w:r>
        <w:rPr>
          <w:rFonts w:ascii="Times New Roman;sans-serif" w:hAnsi="Times New Roman;sans-serif"/>
          <w:b w:val="false"/>
          <w:color w:val="000000"/>
          <w:sz w:val="22"/>
        </w:rPr>
        <w:t xml:space="preserve">used for determining the interest rate of </w:t>
      </w:r>
      <w:r>
        <w:rPr>
          <w:rFonts w:ascii="Times New Roman;sans-serif" w:hAnsi="Times New Roman;sans-serif"/>
          <w:b w:val="false"/>
          <w:color w:val="0000FF"/>
          <w:sz w:val="22"/>
          <w:u w:val="single"/>
        </w:rPr>
        <w:t xml:space="preserve">syndicated </w:t>
      </w:r>
      <w:r>
        <w:rPr>
          <w:rFonts w:ascii="Times New Roman;sans-serif" w:hAnsi="Times New Roman;sans-serif"/>
          <w:b w:val="false"/>
          <w:color w:val="000000"/>
          <w:sz w:val="22"/>
        </w:rPr>
        <w:t xml:space="preserve">loans denominated in </w:t>
      </w:r>
      <w:r>
        <w:rPr>
          <w:rFonts w:ascii="Times New Roman;sans-serif" w:hAnsi="Times New Roman;sans-serif"/>
          <w:b w:val="false"/>
          <w:strike/>
          <w:color w:val="FF0000"/>
          <w:sz w:val="22"/>
        </w:rPr>
        <w:t>such Applicable Currency</w:t>
      </w:r>
      <w:r>
        <w:rPr>
          <w:rFonts w:ascii="Times New Roman;sans-serif" w:hAnsi="Times New Roman;sans-serif"/>
          <w:b w:val="false"/>
          <w:color w:val="0000FF"/>
          <w:sz w:val="22"/>
          <w:u w:val="single"/>
        </w:rPr>
        <w:t>Dollars, or shall or will otherwise cease</w:t>
      </w:r>
      <w:r>
        <w:rPr>
          <w:rFonts w:ascii="Times New Roman;sans-serif" w:hAnsi="Times New Roman;sans-serif"/>
          <w:b w:val="false"/>
          <w:color w:val="000000"/>
          <w:sz w:val="22"/>
        </w:rPr>
        <w:t>, provided that</w:t>
      </w:r>
      <w:r>
        <w:rPr>
          <w:rFonts w:ascii="Times New Roman;sans-serif" w:hAnsi="Times New Roman;sans-serif"/>
          <w:b w:val="false"/>
          <w:color w:val="0000FF"/>
          <w:sz w:val="22"/>
          <w:u w:val="single"/>
        </w:rPr>
        <w:t>, in each case</w:t>
      </w:r>
      <w:r>
        <w:rPr>
          <w:rFonts w:ascii="Times New Roman;sans-serif" w:hAnsi="Times New Roman;sans-serif"/>
          <w:b w:val="false"/>
          <w:color w:val="000000"/>
          <w:sz w:val="22"/>
        </w:rPr>
        <w:t>, at the time of such statement, there is no successor administrator that is satisfactory to the Administrative Agent</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 xml:space="preserve">that will continue to provide </w:t>
      </w:r>
      <w:r>
        <w:rPr>
          <w:rFonts w:ascii="Times New Roman;sans-serif" w:hAnsi="Times New Roman;sans-serif"/>
          <w:b w:val="false"/>
          <w:strike/>
          <w:color w:val="FF0000"/>
          <w:sz w:val="22"/>
        </w:rPr>
        <w:t>the Applicable Reference Rate for such Applicable Currency after such specific date (such specific date, the “</w:t>
      </w:r>
      <w:r>
        <w:rPr>
          <w:rFonts w:ascii="Times New Roman;sans-serif" w:hAnsi="Times New Roman;sans-serif"/>
          <w:b w:val="false"/>
          <w:color w:val="0000FF"/>
          <w:sz w:val="22"/>
          <w:u w:val="single"/>
        </w:rPr>
        <w:t>SOFR or such interest periods of Term SOFR, in each case, on a representative basis (the date on which SOFR and/or one month, three month and six month interest periods of Term SOFR or the Term SOFR Screen Rate is no longer representative or available permanently or indefinitely, the “SOFR</w:t>
      </w:r>
      <w:r>
        <w:rPr>
          <w:color w:val="000000"/>
          <w:u w:val="single"/>
        </w:rPr>
        <w:t xml:space="preserve"> </w:t>
      </w:r>
      <w:r>
        <w:rPr>
          <w:rFonts w:ascii="Times New Roman;sans-serif" w:hAnsi="Times New Roman;sans-serif"/>
          <w:b w:val="false"/>
          <w:color w:val="000000"/>
          <w:sz w:val="22"/>
          <w:u w:val="single"/>
        </w:rPr>
        <w:t>Scheduled Unavailability Date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strike/>
          <w:color w:val="FF0000"/>
          <w:sz w:val="22"/>
        </w:rPr>
        <w:t>or</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 xml:space="preserve">(iii) the administrator of the Screen Rate for an Applicable Currency or a </w:t>
      </w:r>
      <w:r>
        <w:rPr>
          <w:rFonts w:ascii="Times New Roman;sans-serif" w:hAnsi="Times New Roman;sans-serif"/>
          <w:b w:val="false"/>
          <w:strike/>
          <w:color w:val="008000"/>
          <w:sz w:val="22"/>
        </w:rPr>
        <w:t xml:space="preserve">Governmental Authority having jurisdiction over </w:t>
      </w:r>
      <w:r>
        <w:rPr>
          <w:rFonts w:ascii="Times New Roman;sans-serif" w:hAnsi="Times New Roman;sans-serif"/>
          <w:b w:val="false"/>
          <w:strike/>
          <w:color w:val="FF0000"/>
          <w:sz w:val="22"/>
        </w:rPr>
        <w:t>such administrator has made a public statement announcing that all Interest Periods and other tenors of the Applicable Reference Rate for an Applicable Currency are no longer representative; or</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 xml:space="preserve">(iv) syndicated loans currently being executed, or that include language similar to that contained in this </w:t>
      </w:r>
      <w:r>
        <w:rPr>
          <w:rFonts w:ascii="Times New Roman;sans-serif" w:hAnsi="Times New Roman;sans-serif"/>
          <w:b w:val="false"/>
          <w:strike/>
          <w:color w:val="FF0000"/>
          <w:sz w:val="22"/>
          <w:u w:val="single"/>
        </w:rPr>
        <w:t>Section 4.8</w:t>
      </w:r>
      <w:r>
        <w:rPr>
          <w:rFonts w:ascii="Times New Roman;sans-serif" w:hAnsi="Times New Roman;sans-serif"/>
          <w:b w:val="false"/>
          <w:strike/>
          <w:color w:val="FF0000"/>
          <w:sz w:val="22"/>
        </w:rPr>
        <w:t>, are being executed or amended (as applicable) to incorporate or adopt a new benchmark interest rate to replace the Applicable Reference Rate for an Applicable Currency;</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95"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FF0000"/>
          <w:sz w:val="22"/>
        </w:rPr>
        <w:t>then, with respect to Dollars in the case of clauses (i)-(iii) above, on a date and time determined by the Administrative Agent (any such date, the “</w:t>
      </w:r>
      <w:r>
        <w:rPr>
          <w:rFonts w:ascii="Times New Roman;sans-serif" w:hAnsi="Times New Roman;sans-serif"/>
          <w:b w:val="false"/>
          <w:strike/>
          <w:color w:val="FF0000"/>
          <w:sz w:val="22"/>
          <w:u w:val="single"/>
        </w:rPr>
        <w:t>Applicable Reference Rate Replacement Date</w:t>
      </w:r>
      <w:r>
        <w:rPr>
          <w:strike/>
          <w:color w:val="FF0000"/>
        </w:rPr>
        <w:t>”</w:t>
      </w:r>
      <w:r>
        <w:rPr>
          <w:rFonts w:ascii="Times New Roman;sans-serif" w:hAnsi="Times New Roman;sans-serif"/>
          <w:b w:val="false"/>
          <w:strike/>
          <w:color w:val="FF0000"/>
          <w:sz w:val="22"/>
        </w:rPr>
        <w:t>), which date shall be at the end of an Interest Period or on the relevant interest payment date, as applicable, for interest calculated and shall occur reasonably promptly upon the occurrence of any of the events or circumstances under clauses (i), (ii) or (iii) above and, solely with respect to clause (ii) above, no later than the Scheduled Unavailability Date, LIBOR will be replaced hereunder and under any Loan Document with, subject to the proviso below, the first available alternative set forth in the order below for any payment period for interest calculated that can be determined by the Administrative Agent</w:t>
      </w:r>
      <w:r>
        <w:rPr>
          <w:rFonts w:ascii="Times New Roman;sans-serif" w:hAnsi="Times New Roman;sans-serif"/>
          <w:b w:val="false"/>
          <w:strike/>
          <w:color w:val="008000"/>
          <w:sz w:val="22"/>
        </w:rPr>
        <w:t xml:space="preserve">, in each case, without any </w:t>
      </w:r>
      <w:r>
        <w:rPr>
          <w:rFonts w:ascii="Times New Roman;sans-serif" w:hAnsi="Times New Roman;sans-serif"/>
          <w:b w:val="false"/>
          <w:strike/>
          <w:color w:val="FF0000"/>
          <w:sz w:val="22"/>
        </w:rPr>
        <w:t xml:space="preserve">amendment to, or </w:t>
      </w:r>
      <w:r>
        <w:rPr>
          <w:rFonts w:ascii="Times New Roman;sans-serif" w:hAnsi="Times New Roman;sans-serif"/>
          <w:b w:val="false"/>
          <w:strike/>
          <w:color w:val="008000"/>
          <w:sz w:val="22"/>
        </w:rPr>
        <w:t>further action or consent of any other party to</w:t>
      </w:r>
      <w:r>
        <w:rPr>
          <w:rFonts w:ascii="Times New Roman;sans-serif" w:hAnsi="Times New Roman;sans-serif"/>
          <w:b w:val="false"/>
          <w:strike/>
          <w:color w:val="FF0000"/>
          <w:sz w:val="22"/>
        </w:rPr>
        <w:t xml:space="preserve">, </w:t>
      </w:r>
      <w:r>
        <w:rPr>
          <w:rFonts w:ascii="Times New Roman;sans-serif" w:hAnsi="Times New Roman;sans-serif"/>
          <w:b w:val="false"/>
          <w:strike/>
          <w:color w:val="008000"/>
          <w:sz w:val="22"/>
        </w:rPr>
        <w:t xml:space="preserve">this Agreement or any other Loan Document </w:t>
      </w:r>
      <w:r>
        <w:rPr>
          <w:rFonts w:ascii="Times New Roman;sans-serif" w:hAnsi="Times New Roman;sans-serif"/>
          <w:b w:val="false"/>
          <w:strike/>
          <w:color w:val="FF0000"/>
          <w:sz w:val="22"/>
        </w:rPr>
        <w:t>(the “</w:t>
      </w:r>
      <w:r>
        <w:rPr>
          <w:rFonts w:ascii="Times New Roman;sans-serif" w:hAnsi="Times New Roman;sans-serif"/>
          <w:b w:val="false"/>
          <w:strike/>
          <w:color w:val="FF0000"/>
          <w:sz w:val="22"/>
          <w:u w:val="single"/>
        </w:rPr>
        <w:t>Dollar LIBOR Successor Rate</w:t>
      </w:r>
      <w:r>
        <w:rPr>
          <w:strike/>
          <w:color w:val="FF0000"/>
        </w:rPr>
        <w:t>”</w:t>
      </w:r>
      <w:r>
        <w:rPr>
          <w:rFonts w:ascii="Times New Roman;sans-serif" w:hAnsi="Times New Roman;sans-serif"/>
          <w:b w:val="false"/>
          <w:strike/>
          <w:color w:val="FF0000"/>
          <w:sz w:val="22"/>
        </w:rPr>
        <w:t>; and any such rate before giving effect to the Related Adjustment, the “</w:t>
      </w:r>
      <w:r>
        <w:rPr>
          <w:rFonts w:ascii="Times New Roman;sans-serif" w:hAnsi="Times New Roman;sans-serif"/>
          <w:b w:val="false"/>
          <w:strike/>
          <w:color w:val="FF0000"/>
          <w:sz w:val="22"/>
          <w:u w:val="single"/>
        </w:rPr>
        <w:t>Pre-Adjustment Successor Rate</w:t>
      </w:r>
      <w:r>
        <w:rPr>
          <w:strike/>
          <w:color w:val="FF0000"/>
        </w:rPr>
        <w:t>”</w:t>
      </w:r>
      <w:r>
        <w:rPr>
          <w:rFonts w:ascii="Times New Roman;sans-serif" w:hAnsi="Times New Roman;sans-serif"/>
          <w:b w:val="false"/>
          <w:strike/>
          <w:color w:val="FF0000"/>
          <w:sz w:val="22"/>
        </w:rPr>
        <w:t>):</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(x)</w:t>
      </w:r>
      <w:r>
        <w:rPr>
          <w:color w:val="000000"/>
        </w:rPr>
        <w:t>    </w:t>
      </w:r>
      <w:r>
        <w:rPr>
          <w:rFonts w:ascii="Times New Roman;sans-serif" w:hAnsi="Times New Roman;sans-serif"/>
          <w:b w:val="false"/>
          <w:strike/>
          <w:color w:val="FF0000"/>
          <w:sz w:val="22"/>
        </w:rPr>
        <w:t>Term SOFR plus the Related Adjustment; and</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 xml:space="preserve">(y) </w:t>
      </w:r>
      <w:r>
        <w:rPr>
          <w:color w:val="000000"/>
        </w:rPr>
        <w:t>    </w:t>
      </w:r>
      <w:r>
        <w:rPr>
          <w:rFonts w:ascii="Times New Roman;sans-serif" w:hAnsi="Times New Roman;sans-serif"/>
          <w:b w:val="false"/>
          <w:strike/>
          <w:color w:val="FF0000"/>
          <w:sz w:val="22"/>
        </w:rPr>
        <w:t xml:space="preserve">SOFR plus the Related Adjustment; </w:t>
      </w:r>
    </w:p>
    <w:p>
      <w:pPr>
        <w:pStyle w:val="TextBody"/>
        <w:bidi w:val="0"/>
        <w:spacing w:lineRule="auto" w:line="288" w:before="0" w:after="240"/>
        <w:jc w:val="both"/>
        <w:rPr/>
      </w:pPr>
      <w:r>
        <w:rPr>
          <w:rFonts w:ascii="Times New Roman;sans-serif" w:hAnsi="Times New Roman;sans-serif"/>
          <w:b w:val="false"/>
          <w:strike/>
          <w:color w:val="FF0000"/>
          <w:sz w:val="22"/>
        </w:rPr>
        <w:t xml:space="preserve">and </w:t>
      </w:r>
      <w:r>
        <w:rPr>
          <w:rFonts w:ascii="Times New Roman;sans-serif" w:hAnsi="Times New Roman;sans-serif"/>
          <w:b w:val="false"/>
          <w:color w:val="0000FF"/>
          <w:sz w:val="22"/>
          <w:u w:val="single"/>
        </w:rPr>
        <w:t xml:space="preserve">or if </w:t>
      </w:r>
      <w:r>
        <w:rPr>
          <w:rFonts w:ascii="Times New Roman;sans-serif" w:hAnsi="Times New Roman;sans-serif"/>
          <w:b w:val="false"/>
          <w:color w:val="008000"/>
          <w:sz w:val="22"/>
          <w:u w:val="single"/>
        </w:rPr>
        <w:t>the events or circumstances of the type described in Section 4.8(</w:t>
      </w:r>
      <w:r>
        <w:rPr>
          <w:rFonts w:ascii="Times New Roman;sans-serif" w:hAnsi="Times New Roman;sans-serif"/>
          <w:b w:val="false"/>
          <w:color w:val="0000FF"/>
          <w:sz w:val="22"/>
          <w:u w:val="single"/>
        </w:rPr>
        <w:t xml:space="preserve">b)(i) or (ii) have occurred </w:t>
      </w:r>
      <w:r>
        <w:rPr>
          <w:rFonts w:ascii="Times New Roman;sans-serif" w:hAnsi="Times New Roman;sans-serif"/>
          <w:b w:val="false"/>
          <w:color w:val="000000"/>
          <w:sz w:val="22"/>
        </w:rPr>
        <w:t xml:space="preserve">with respect to </w:t>
      </w:r>
      <w:r>
        <w:rPr>
          <w:rFonts w:ascii="Times New Roman;sans-serif" w:hAnsi="Times New Roman;sans-serif"/>
          <w:b w:val="false"/>
          <w:strike/>
          <w:color w:val="FF0000"/>
          <w:sz w:val="22"/>
        </w:rPr>
        <w:t>Dollars in the case of clause (iv) above, the Company and</w:t>
      </w:r>
      <w:r>
        <w:rPr>
          <w:rFonts w:ascii="Times New Roman;sans-serif" w:hAnsi="Times New Roman;sans-serif"/>
          <w:b w:val="false"/>
          <w:color w:val="0000FF"/>
          <w:sz w:val="22"/>
          <w:u w:val="single"/>
        </w:rPr>
        <w:t>the SOFR Successor Rate then in effect, then,</w:t>
      </w:r>
      <w:r>
        <w:rPr>
          <w:color w:val="000000"/>
        </w:rPr>
        <w:t xml:space="preserve"> </w:t>
      </w:r>
      <w:r>
        <w:rPr>
          <w:rFonts w:ascii="Times New Roman;sans-serif" w:hAnsi="Times New Roman;sans-serif"/>
          <w:b w:val="false"/>
          <w:color w:val="000000"/>
          <w:sz w:val="22"/>
        </w:rPr>
        <w:t xml:space="preserve">the Administrative Agent </w:t>
      </w:r>
      <w:r>
        <w:rPr>
          <w:rFonts w:ascii="Times New Roman;sans-serif" w:hAnsi="Times New Roman;sans-serif"/>
          <w:b w:val="false"/>
          <w:color w:val="0000FF"/>
          <w:sz w:val="22"/>
          <w:u w:val="single"/>
        </w:rPr>
        <w:t xml:space="preserve">and the Company </w:t>
      </w:r>
      <w:r>
        <w:rPr>
          <w:rFonts w:ascii="Times New Roman;sans-serif" w:hAnsi="Times New Roman;sans-serif"/>
          <w:b w:val="false"/>
          <w:color w:val="000000"/>
          <w:sz w:val="22"/>
        </w:rPr>
        <w:t xml:space="preserve">may amend this Agreement solely for the purpose of replacing </w:t>
      </w:r>
      <w:r>
        <w:rPr>
          <w:rFonts w:ascii="Times New Roman;sans-serif" w:hAnsi="Times New Roman;sans-serif"/>
          <w:b w:val="false"/>
          <w:strike/>
          <w:color w:val="FF0000"/>
          <w:sz w:val="22"/>
        </w:rPr>
        <w:t>LIBOR with respect to Dollars under this Agreement and under any other Loan Document</w:t>
      </w:r>
      <w:r>
        <w:rPr>
          <w:rFonts w:ascii="Times New Roman;sans-serif" w:hAnsi="Times New Roman;sans-serif"/>
          <w:b w:val="false"/>
          <w:color w:val="0000FF"/>
          <w:sz w:val="22"/>
          <w:u w:val="single"/>
        </w:rPr>
        <w:t>SOFR and/or Term SOFR or any then current SOFR Successor Rate</w:t>
      </w:r>
      <w:r>
        <w:rPr>
          <w:color w:val="000000"/>
        </w:rPr>
        <w:t xml:space="preserve"> </w:t>
      </w:r>
      <w:r>
        <w:rPr>
          <w:rFonts w:ascii="Times New Roman;sans-serif" w:hAnsi="Times New Roman;sans-serif"/>
          <w:b w:val="false"/>
          <w:color w:val="000000"/>
          <w:sz w:val="22"/>
        </w:rPr>
        <w:t xml:space="preserve">in accordance with </w:t>
      </w:r>
      <w:r>
        <w:rPr>
          <w:rFonts w:ascii="Times New Roman;sans-serif" w:hAnsi="Times New Roman;sans-serif"/>
          <w:b w:val="false"/>
          <w:strike/>
          <w:color w:val="FF0000"/>
          <w:sz w:val="22"/>
        </w:rPr>
        <w:t xml:space="preserve">the definition of “Dollar LIBOR </w:t>
      </w:r>
      <w:r>
        <w:rPr>
          <w:rFonts w:ascii="Times New Roman;sans-serif" w:hAnsi="Times New Roman;sans-serif"/>
          <w:b w:val="false"/>
          <w:color w:val="0000FF"/>
          <w:sz w:val="22"/>
          <w:u w:val="single"/>
        </w:rPr>
        <w:t xml:space="preserve">this Section 4.8 with an alternative </w:t>
      </w:r>
      <w:r>
        <w:rPr>
          <w:rFonts w:ascii="Times New Roman;sans-serif" w:hAnsi="Times New Roman;sans-serif"/>
          <w:b w:val="false"/>
          <w:color w:val="008000"/>
          <w:sz w:val="22"/>
          <w:u w:val="single"/>
        </w:rPr>
        <w:t xml:space="preserve">benchmark rate giving due consideration to any evolving or then existing convention for similar </w:t>
      </w:r>
      <w:r>
        <w:rPr>
          <w:rFonts w:ascii="Times New Roman;sans-serif" w:hAnsi="Times New Roman;sans-serif"/>
          <w:b w:val="false"/>
          <w:color w:val="0000FF"/>
          <w:sz w:val="22"/>
          <w:u w:val="single"/>
        </w:rPr>
        <w:t xml:space="preserve">credit facilities syndicated and agented </w:t>
      </w:r>
      <w:r>
        <w:rPr>
          <w:rFonts w:ascii="Times New Roman;sans-serif" w:hAnsi="Times New Roman;sans-serif"/>
          <w:b w:val="false"/>
          <w:color w:val="008000"/>
          <w:sz w:val="22"/>
          <w:u w:val="single"/>
        </w:rPr>
        <w:t>in the U.S. and denominated in Dollars for such alternative benchmarks</w:t>
      </w:r>
      <w:r>
        <w:rPr>
          <w:rFonts w:ascii="Times New Roman;sans-serif" w:hAnsi="Times New Roman;sans-serif"/>
          <w:b w:val="false"/>
          <w:color w:val="0000FF"/>
          <w:sz w:val="22"/>
          <w:u w:val="single"/>
        </w:rPr>
        <w:t xml:space="preserve">, </w:t>
      </w:r>
      <w:r>
        <w:rPr>
          <w:rFonts w:ascii="Times New Roman;sans-serif" w:hAnsi="Times New Roman;sans-serif"/>
          <w:b w:val="false"/>
          <w:color w:val="008000"/>
          <w:sz w:val="22"/>
          <w:u w:val="single"/>
        </w:rPr>
        <w:t xml:space="preserve">and, in each case, including any mathematical or other adjustments to such benchmark giving due consideration to any evolving or then existing convention for similar </w:t>
      </w:r>
      <w:r>
        <w:rPr>
          <w:rFonts w:ascii="Times New Roman;sans-serif" w:hAnsi="Times New Roman;sans-serif"/>
          <w:b w:val="false"/>
          <w:color w:val="0000FF"/>
          <w:sz w:val="22"/>
          <w:u w:val="single"/>
        </w:rPr>
        <w:t xml:space="preserve">credit facilities syndicated and agented </w:t>
      </w:r>
      <w:r>
        <w:rPr>
          <w:rFonts w:ascii="Times New Roman;sans-serif" w:hAnsi="Times New Roman;sans-serif"/>
          <w:b w:val="false"/>
          <w:color w:val="008000"/>
          <w:sz w:val="22"/>
          <w:u w:val="single"/>
        </w:rPr>
        <w:t xml:space="preserve">in the U.S. and denominated in Dollars for such benchmarks </w:t>
      </w:r>
      <w:r>
        <w:rPr>
          <w:rFonts w:ascii="Times New Roman;sans-serif" w:hAnsi="Times New Roman;sans-serif"/>
          <w:b w:val="false"/>
          <w:color w:val="0000FF"/>
          <w:sz w:val="22"/>
          <w:u w:val="single"/>
        </w:rPr>
        <w:t xml:space="preserve">(and any such proposed rate, including for </w:t>
      </w:r>
      <w:r>
        <w:rPr>
          <w:rFonts w:ascii="Times New Roman;sans-serif" w:hAnsi="Times New Roman;sans-serif"/>
          <w:b w:val="false"/>
          <w:color w:val="008000"/>
          <w:sz w:val="22"/>
          <w:u w:val="single"/>
        </w:rPr>
        <w:t xml:space="preserve">the avoidance of doubt, any </w:t>
      </w:r>
      <w:r>
        <w:rPr>
          <w:rFonts w:ascii="Times New Roman;sans-serif" w:hAnsi="Times New Roman;sans-serif"/>
          <w:b w:val="false"/>
          <w:color w:val="0000FF"/>
          <w:sz w:val="22"/>
          <w:u w:val="single"/>
        </w:rPr>
        <w:t xml:space="preserve">adjustment thereto, a “SOFR </w:t>
      </w:r>
      <w:r>
        <w:rPr>
          <w:rFonts w:ascii="Times New Roman;sans-serif" w:hAnsi="Times New Roman;sans-serif"/>
          <w:b w:val="false"/>
          <w:color w:val="000000"/>
          <w:sz w:val="22"/>
          <w:u w:val="single"/>
        </w:rPr>
        <w:t>Successor Rate</w:t>
      </w:r>
      <w:r>
        <w:rPr>
          <w:color w:val="000000"/>
        </w:rPr>
        <w:t>”</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FF"/>
          <w:sz w:val="22"/>
          <w:u w:val="single"/>
        </w:rPr>
        <w:t xml:space="preserve">any </w:t>
      </w:r>
      <w:r>
        <w:rPr>
          <w:rFonts w:ascii="Times New Roman;sans-serif" w:hAnsi="Times New Roman;sans-serif"/>
          <w:b w:val="false"/>
          <w:color w:val="000000"/>
          <w:sz w:val="22"/>
        </w:rPr>
        <w:t xml:space="preserve">such amendment </w:t>
      </w:r>
      <w:r>
        <w:rPr>
          <w:rFonts w:ascii="Times New Roman;sans-serif" w:hAnsi="Times New Roman;sans-serif"/>
          <w:b w:val="false"/>
          <w:strike/>
          <w:color w:val="FF0000"/>
          <w:sz w:val="22"/>
        </w:rPr>
        <w:t>will</w:t>
      </w:r>
      <w:r>
        <w:rPr>
          <w:rFonts w:ascii="Times New Roman;sans-serif" w:hAnsi="Times New Roman;sans-serif"/>
          <w:b w:val="false"/>
          <w:color w:val="0000FF"/>
          <w:sz w:val="22"/>
          <w:u w:val="single"/>
        </w:rPr>
        <w:t>shall</w:t>
      </w:r>
      <w:r>
        <w:rPr>
          <w:color w:val="000000"/>
        </w:rPr>
        <w:t xml:space="preserve"> </w:t>
      </w:r>
      <w:r>
        <w:rPr>
          <w:rFonts w:ascii="Times New Roman;sans-serif" w:hAnsi="Times New Roman;sans-serif"/>
          <w:b w:val="false"/>
          <w:color w:val="000000"/>
          <w:sz w:val="22"/>
        </w:rPr>
        <w:t>become effective at 5:00 p.m.</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 xml:space="preserve">on the fifth </w:t>
      </w:r>
      <w:r>
        <w:rPr>
          <w:rFonts w:ascii="Times New Roman;sans-serif" w:hAnsi="Times New Roman;sans-serif"/>
          <w:b w:val="false"/>
          <w:strike/>
          <w:color w:val="FF0000"/>
          <w:sz w:val="22"/>
        </w:rPr>
        <w:t>(5</w:t>
      </w:r>
      <w:r>
        <w:rPr>
          <w:rFonts w:ascii="Times New Roman;sans-serif" w:hAnsi="Times New Roman;sans-serif"/>
          <w:b w:val="false"/>
          <w:strike/>
          <w:color w:val="FF0000"/>
          <w:sz w:val="14"/>
        </w:rPr>
        <w:t>th</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 xml:space="preserve">Business Day after the Administrative Agent shall have </w:t>
      </w:r>
      <w:r>
        <w:rPr>
          <w:rFonts w:ascii="Times New Roman;sans-serif" w:hAnsi="Times New Roman;sans-serif"/>
          <w:b w:val="false"/>
          <w:strike/>
          <w:color w:val="FF0000"/>
          <w:sz w:val="22"/>
        </w:rPr>
        <w:t>notified</w:t>
      </w:r>
      <w:r>
        <w:rPr>
          <w:rFonts w:ascii="Times New Roman;sans-serif" w:hAnsi="Times New Roman;sans-serif"/>
          <w:b w:val="false"/>
          <w:color w:val="0000FF"/>
          <w:sz w:val="22"/>
          <w:u w:val="single"/>
        </w:rPr>
        <w:t>posted such proposed amendment to</w:t>
      </w:r>
      <w:r>
        <w:rPr>
          <w:color w:val="000000"/>
        </w:rPr>
        <w:t xml:space="preserve"> </w:t>
      </w:r>
      <w:r>
        <w:rPr>
          <w:rFonts w:ascii="Times New Roman;sans-serif" w:hAnsi="Times New Roman;sans-serif"/>
          <w:b w:val="false"/>
          <w:color w:val="000000"/>
          <w:sz w:val="22"/>
        </w:rPr>
        <w:t xml:space="preserve">all Lenders and the Company </w:t>
      </w:r>
      <w:r>
        <w:rPr>
          <w:rFonts w:ascii="Times New Roman;sans-serif" w:hAnsi="Times New Roman;sans-serif"/>
          <w:b w:val="false"/>
          <w:strike/>
          <w:color w:val="FF0000"/>
          <w:sz w:val="22"/>
        </w:rPr>
        <w:t xml:space="preserve">of the occurrence of the circumstances described in clause (iv) above </w:t>
      </w:r>
      <w:r>
        <w:rPr>
          <w:rFonts w:ascii="Times New Roman;sans-serif" w:hAnsi="Times New Roman;sans-serif"/>
          <w:b w:val="false"/>
          <w:color w:val="000000"/>
          <w:sz w:val="22"/>
        </w:rPr>
        <w:t xml:space="preserve">unless, prior to such time, Lenders comprising the Required Lenders have delivered to the Administrative Agent written notice that such Required Lenders object to </w:t>
      </w:r>
      <w:r>
        <w:rPr>
          <w:rFonts w:ascii="Times New Roman;sans-serif" w:hAnsi="Times New Roman;sans-serif"/>
          <w:b w:val="false"/>
          <w:strike/>
          <w:color w:val="FF0000"/>
          <w:sz w:val="22"/>
        </w:rPr>
        <w:t>the implementation of a Dollar LIBOR Successor Rate pursuant to such clause;</w:t>
      </w:r>
      <w:r>
        <w:rPr>
          <w:rFonts w:ascii="Times New Roman;sans-serif" w:hAnsi="Times New Roman;sans-serif"/>
          <w:b w:val="false"/>
          <w:color w:val="0000FF"/>
          <w:sz w:val="22"/>
          <w:u w:val="single"/>
        </w:rPr>
        <w:t>such amendment.</w:t>
      </w:r>
      <w:r>
        <w:rPr>
          <w:color w:val="000000"/>
        </w:rPr>
        <w:t xml:space="preserve"> </w:t>
      </w:r>
    </w:p>
    <w:p>
      <w:pPr>
        <w:pStyle w:val="TextBody"/>
        <w:bidi w:val="0"/>
        <w:spacing w:lineRule="auto" w:line="288" w:before="0" w:after="240"/>
        <w:jc w:val="both"/>
        <w:rPr/>
      </w:pPr>
      <w:r>
        <w:rPr>
          <w:rFonts w:ascii="Times New Roman;sans-serif" w:hAnsi="Times New Roman;sans-serif"/>
          <w:b w:val="false"/>
          <w:strike/>
          <w:color w:val="FF0000"/>
          <w:sz w:val="22"/>
          <w:u w:val="single"/>
        </w:rPr>
        <w:t>provided</w:t>
      </w:r>
      <w:r>
        <w:rPr>
          <w:strike/>
          <w:color w:val="FF0000"/>
        </w:rPr>
        <w:t xml:space="preserve"> </w:t>
      </w:r>
      <w:r>
        <w:rPr>
          <w:rFonts w:ascii="Times New Roman;sans-serif" w:hAnsi="Times New Roman;sans-serif"/>
          <w:b w:val="false"/>
          <w:strike/>
          <w:color w:val="FF0000"/>
          <w:sz w:val="22"/>
        </w:rPr>
        <w:t xml:space="preserve">that, if the Administrative Agent determines that Term SOFR has become available, is administratively feasible for the Administrative Agent and would have been identified as the Pre-Adjustment Successor Rate in accordance with the foregoing if it had been so available at the time that the Dollar LIBOR Successor Rate then in effect was so identified, and the Administrative Agent notifies the Company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Dollar LIBOR Successor Rate shall be Term SOFR plus the relevant Related Adjustment; </w:t>
      </w:r>
    </w:p>
    <w:p>
      <w:pPr>
        <w:pStyle w:val="TextBody"/>
        <w:bidi w:val="0"/>
        <w:spacing w:lineRule="auto" w:line="288" w:before="0" w:after="240"/>
        <w:jc w:val="both"/>
        <w:rPr/>
      </w:pPr>
      <w:r>
        <w:rPr>
          <w:rFonts w:ascii="Times New Roman;sans-serif" w:hAnsi="Times New Roman;sans-serif"/>
          <w:b w:val="false"/>
          <w:color w:val="000000"/>
          <w:sz w:val="22"/>
        </w:rPr>
        <w:t>(c)    </w:t>
      </w:r>
      <w:r>
        <w:rPr>
          <w:rFonts w:ascii="Times New Roman;sans-serif" w:hAnsi="Times New Roman;sans-serif"/>
          <w:b w:val="false"/>
          <w:color w:val="0000FF"/>
          <w:sz w:val="22"/>
          <w:u w:val="single"/>
        </w:rPr>
        <w:t xml:space="preserve">Replacement of Relevant Rate or Successor Rate. Notwithstanding anything to the contrary in this Agreement or any other Loan Documents, if the Administrative Agent determines (which determination shall be conclusive absent manifest error), or the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96"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FF"/>
          <w:sz w:val="22"/>
          <w:u w:val="single"/>
        </w:rPr>
        <w:t xml:space="preserve">Company or Required Lenders notify the Administrative Agent (with, </w:t>
      </w:r>
      <w:r>
        <w:rPr>
          <w:rFonts w:ascii="Times New Roman;sans-serif" w:hAnsi="Times New Roman;sans-serif"/>
          <w:b w:val="false"/>
          <w:color w:val="008000"/>
          <w:sz w:val="22"/>
          <w:u w:val="single"/>
        </w:rPr>
        <w:t xml:space="preserve">in the case of the </w:t>
      </w:r>
      <w:r>
        <w:rPr>
          <w:rFonts w:ascii="Times New Roman;sans-serif" w:hAnsi="Times New Roman;sans-serif"/>
          <w:b w:val="false"/>
          <w:color w:val="0000FF"/>
          <w:sz w:val="22"/>
          <w:u w:val="single"/>
        </w:rPr>
        <w:t>Required Lenders, a copy to the Company) that the Company or Required Lenders (as applicable) have determined, that: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(i)    </w:t>
      </w:r>
      <w:r>
        <w:rPr>
          <w:rFonts w:ascii="Times New Roman;sans-serif" w:hAnsi="Times New Roman;sans-serif"/>
          <w:b w:val="false"/>
          <w:color w:val="0000FF"/>
          <w:sz w:val="24"/>
          <w:u w:val="single"/>
        </w:rPr>
        <w:t>adequate and reasonable means do not exist for ascertaining the Relevant Rate (other than SOFR) for an Agreed Currency (other than Dollars) because none of the tenors of such Relevant Rate (other than SOFR) under this Agreement is available or published on a current basis, and such circumstances are unlikely to be temporary; or</w:t>
      </w:r>
    </w:p>
    <w:p>
      <w:pPr>
        <w:pStyle w:val="TextBody"/>
        <w:bidi w:val="0"/>
        <w:spacing w:before="0" w:after="240"/>
        <w:jc w:val="both"/>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(ii)    </w:t>
      </w:r>
      <w:r>
        <w:rPr>
          <w:rFonts w:ascii="Times New Roman;sans-serif" w:hAnsi="Times New Roman;sans-serif"/>
          <w:b w:val="false"/>
          <w:color w:val="0000FF"/>
          <w:sz w:val="24"/>
          <w:u w:val="single"/>
        </w:rPr>
        <w:t>the Applicable Authority has made a public statement identifying a specific date after which all tenors of the Relevant Rate (other than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Dollars) (the latest date on which all tenors of the Relevant Rate for such Agreed Currency (other than Dollars) under this Agreement are no longer representative or available permanently or indefinitely, the “Scheduled Unavailability Date”);</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then, with respect to any Foreign Currency, reasonably promptly after such determination by the Administrative Agent or receipt by the Administrative Agent of such notice, as applicable</w:t>
      </w:r>
      <w:r>
        <w:rPr>
          <w:rFonts w:ascii="Times New Roman;sans-serif" w:hAnsi="Times New Roman;sans-serif"/>
          <w:b w:val="false"/>
          <w:color w:val="0000FF"/>
          <w:sz w:val="22"/>
          <w:u w:val="single"/>
        </w:rPr>
        <w:t xml:space="preserve">or </w:t>
      </w:r>
      <w:r>
        <w:rPr>
          <w:rFonts w:ascii="Times New Roman;sans-serif" w:hAnsi="Times New Roman;sans-serif"/>
          <w:b w:val="false"/>
          <w:color w:val="008000"/>
          <w:sz w:val="22"/>
          <w:u w:val="single"/>
        </w:rPr>
        <w:t xml:space="preserve">if the events or circumstances of the type described in Section 4.8(c) (i) </w:t>
      </w:r>
      <w:r>
        <w:rPr>
          <w:rFonts w:ascii="Times New Roman;sans-serif" w:hAnsi="Times New Roman;sans-serif"/>
          <w:b w:val="false"/>
          <w:color w:val="0000FF"/>
          <w:sz w:val="22"/>
          <w:u w:val="single"/>
        </w:rPr>
        <w:t>or (ii</w:t>
      </w:r>
      <w:r>
        <w:rPr>
          <w:rFonts w:ascii="Times New Roman;sans-serif" w:hAnsi="Times New Roman;sans-serif"/>
          <w:b w:val="false"/>
          <w:color w:val="008000"/>
          <w:sz w:val="22"/>
          <w:u w:val="single"/>
        </w:rPr>
        <w:t xml:space="preserve">) have occurred with respect to the </w:t>
      </w:r>
      <w:r>
        <w:rPr>
          <w:rFonts w:ascii="Times New Roman;sans-serif" w:hAnsi="Times New Roman;sans-serif"/>
          <w:b w:val="false"/>
          <w:color w:val="0000FF"/>
          <w:sz w:val="22"/>
          <w:u w:val="single"/>
        </w:rPr>
        <w:t xml:space="preserve">Non-SOFR </w:t>
      </w:r>
      <w:r>
        <w:rPr>
          <w:rFonts w:ascii="Times New Roman;sans-serif" w:hAnsi="Times New Roman;sans-serif"/>
          <w:b w:val="false"/>
          <w:color w:val="008000"/>
          <w:sz w:val="22"/>
          <w:u w:val="single"/>
        </w:rPr>
        <w:t>Successor Rate then in effect</w:t>
      </w:r>
      <w:r>
        <w:rPr>
          <w:rFonts w:ascii="Times New Roman;sans-serif" w:hAnsi="Times New Roman;sans-serif"/>
          <w:b w:val="false"/>
          <w:color w:val="0000FF"/>
          <w:sz w:val="22"/>
          <w:u w:val="single"/>
        </w:rPr>
        <w:t>, then</w:t>
      </w:r>
      <w:r>
        <w:rPr>
          <w:rFonts w:ascii="Times New Roman;sans-serif" w:hAnsi="Times New Roman;sans-serif"/>
          <w:b w:val="false"/>
          <w:color w:val="000000"/>
          <w:sz w:val="22"/>
        </w:rPr>
        <w:t xml:space="preserve">, the Administrative Agent and the Company may amend this Agreement solely for the purpose of replacing the </w:t>
      </w:r>
      <w:r>
        <w:rPr>
          <w:rFonts w:ascii="Times New Roman;sans-serif" w:hAnsi="Times New Roman;sans-serif"/>
          <w:b w:val="false"/>
          <w:strike/>
          <w:color w:val="FF0000"/>
          <w:sz w:val="22"/>
        </w:rPr>
        <w:t>Applicable Reference</w:t>
      </w:r>
      <w:r>
        <w:rPr>
          <w:rFonts w:ascii="Times New Roman;sans-serif" w:hAnsi="Times New Roman;sans-serif"/>
          <w:b w:val="false"/>
          <w:color w:val="0000FF"/>
          <w:sz w:val="22"/>
          <w:u w:val="single"/>
        </w:rPr>
        <w:t>Relevant</w:t>
      </w:r>
      <w:r>
        <w:rPr>
          <w:color w:val="000000"/>
        </w:rPr>
        <w:t xml:space="preserve"> </w:t>
      </w:r>
      <w:r>
        <w:rPr>
          <w:rFonts w:ascii="Times New Roman;sans-serif" w:hAnsi="Times New Roman;sans-serif"/>
          <w:b w:val="false"/>
          <w:color w:val="000000"/>
          <w:sz w:val="22"/>
        </w:rPr>
        <w:t xml:space="preserve">Rate for </w:t>
      </w:r>
      <w:r>
        <w:rPr>
          <w:rFonts w:ascii="Times New Roman;sans-serif" w:hAnsi="Times New Roman;sans-serif"/>
          <w:b w:val="false"/>
          <w:strike/>
          <w:color w:val="FF0000"/>
          <w:sz w:val="22"/>
        </w:rPr>
        <w:t>the Applicable</w:t>
      </w:r>
      <w:r>
        <w:rPr>
          <w:rFonts w:ascii="Times New Roman;sans-serif" w:hAnsi="Times New Roman;sans-serif"/>
          <w:b w:val="false"/>
          <w:color w:val="0000FF"/>
          <w:sz w:val="22"/>
          <w:u w:val="single"/>
        </w:rPr>
        <w:t>an Agreed Currency or any then current Non-SOFR Successor Rate for an Agreed</w:t>
      </w:r>
      <w:r>
        <w:rPr>
          <w:color w:val="000000"/>
        </w:rPr>
        <w:t xml:space="preserve"> </w:t>
      </w:r>
      <w:r>
        <w:rPr>
          <w:rFonts w:ascii="Times New Roman;sans-serif" w:hAnsi="Times New Roman;sans-serif"/>
          <w:b w:val="false"/>
          <w:color w:val="000000"/>
          <w:sz w:val="22"/>
        </w:rPr>
        <w:t xml:space="preserve">Currency in accordance with this </w:t>
      </w:r>
      <w:r>
        <w:rPr>
          <w:rFonts w:ascii="Times New Roman;sans-serif" w:hAnsi="Times New Roman;sans-serif"/>
          <w:b w:val="false"/>
          <w:color w:val="000000"/>
          <w:sz w:val="22"/>
          <w:u w:val="single"/>
        </w:rPr>
        <w:t>Section 4.8</w:t>
      </w:r>
      <w:r>
        <w:rPr>
          <w:color w:val="000000"/>
        </w:rPr>
        <w:t xml:space="preserve"> </w:t>
      </w:r>
      <w:r>
        <w:rPr>
          <w:rFonts w:ascii="Times New Roman;sans-serif" w:hAnsi="Times New Roman;sans-serif"/>
          <w:b w:val="false"/>
          <w:color w:val="000000"/>
          <w:sz w:val="22"/>
        </w:rPr>
        <w:t xml:space="preserve">with </w:t>
      </w:r>
      <w:r>
        <w:rPr>
          <w:rFonts w:ascii="Times New Roman;sans-serif" w:hAnsi="Times New Roman;sans-serif"/>
          <w:b w:val="false"/>
          <w:strike/>
          <w:color w:val="FF0000"/>
          <w:sz w:val="22"/>
        </w:rPr>
        <w:t>another alternate</w:t>
      </w:r>
      <w:r>
        <w:rPr>
          <w:rFonts w:ascii="Times New Roman;sans-serif" w:hAnsi="Times New Roman;sans-serif"/>
          <w:b w:val="false"/>
          <w:color w:val="0000FF"/>
          <w:sz w:val="22"/>
          <w:u w:val="single"/>
        </w:rPr>
        <w:t>an alternative</w:t>
      </w:r>
      <w:r>
        <w:rPr>
          <w:color w:val="000000"/>
        </w:rPr>
        <w:t xml:space="preserve"> </w:t>
      </w:r>
      <w:r>
        <w:rPr>
          <w:rFonts w:ascii="Times New Roman;sans-serif" w:hAnsi="Times New Roman;sans-serif"/>
          <w:b w:val="false"/>
          <w:color w:val="000000"/>
          <w:sz w:val="22"/>
        </w:rPr>
        <w:t xml:space="preserve">benchmark rate giving due consideration to any evolving or then existing convention for similar </w:t>
      </w:r>
      <w:r>
        <w:rPr>
          <w:rFonts w:ascii="Times New Roman;sans-serif" w:hAnsi="Times New Roman;sans-serif"/>
          <w:b w:val="false"/>
          <w:strike/>
          <w:color w:val="FF0000"/>
          <w:sz w:val="22"/>
        </w:rPr>
        <w:t xml:space="preserve">syndicated </w:t>
      </w:r>
      <w:r>
        <w:rPr>
          <w:rFonts w:ascii="Times New Roman;sans-serif" w:hAnsi="Times New Roman;sans-serif"/>
          <w:b w:val="false"/>
          <w:color w:val="000000"/>
          <w:sz w:val="22"/>
        </w:rPr>
        <w:t xml:space="preserve">credit facilities syndicated </w:t>
      </w:r>
      <w:r>
        <w:rPr>
          <w:rFonts w:ascii="Times New Roman;sans-serif" w:hAnsi="Times New Roman;sans-serif"/>
          <w:b w:val="false"/>
          <w:color w:val="0000FF"/>
          <w:sz w:val="22"/>
          <w:u w:val="single"/>
        </w:rPr>
        <w:t xml:space="preserve">and agented </w:t>
      </w:r>
      <w:r>
        <w:rPr>
          <w:rFonts w:ascii="Times New Roman;sans-serif" w:hAnsi="Times New Roman;sans-serif"/>
          <w:b w:val="false"/>
          <w:color w:val="000000"/>
          <w:sz w:val="22"/>
        </w:rPr>
        <w:t xml:space="preserve">in the U.S. and denominated in </w:t>
      </w:r>
      <w:r>
        <w:rPr>
          <w:rFonts w:ascii="Times New Roman;sans-serif" w:hAnsi="Times New Roman;sans-serif"/>
          <w:b w:val="false"/>
          <w:strike/>
          <w:color w:val="FF0000"/>
          <w:sz w:val="22"/>
        </w:rPr>
        <w:t>the Applicable</w:t>
      </w:r>
      <w:r>
        <w:rPr>
          <w:rFonts w:ascii="Times New Roman;sans-serif" w:hAnsi="Times New Roman;sans-serif"/>
          <w:b w:val="false"/>
          <w:color w:val="0000FF"/>
          <w:sz w:val="22"/>
          <w:u w:val="single"/>
        </w:rPr>
        <w:t>such Agreed</w:t>
      </w:r>
      <w:r>
        <w:rPr>
          <w:color w:val="000000"/>
        </w:rPr>
        <w:t xml:space="preserve"> </w:t>
      </w:r>
      <w:r>
        <w:rPr>
          <w:rFonts w:ascii="Times New Roman;sans-serif" w:hAnsi="Times New Roman;sans-serif"/>
          <w:b w:val="false"/>
          <w:color w:val="000000"/>
          <w:sz w:val="22"/>
        </w:rPr>
        <w:t>Currency for such alternative benchmarks</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 xml:space="preserve">and, in each case, including any mathematical or other adjustments to such benchmark giving due consideration to any evolving or then existing convention for similar </w:t>
      </w:r>
      <w:r>
        <w:rPr>
          <w:rFonts w:ascii="Times New Roman;sans-serif" w:hAnsi="Times New Roman;sans-serif"/>
          <w:b w:val="false"/>
          <w:strike/>
          <w:color w:val="FF0000"/>
          <w:sz w:val="22"/>
        </w:rPr>
        <w:t xml:space="preserve">syndicated </w:t>
      </w:r>
      <w:r>
        <w:rPr>
          <w:rFonts w:ascii="Times New Roman;sans-serif" w:hAnsi="Times New Roman;sans-serif"/>
          <w:b w:val="false"/>
          <w:color w:val="000000"/>
          <w:sz w:val="22"/>
        </w:rPr>
        <w:t xml:space="preserve">credit facilities syndicated </w:t>
      </w:r>
      <w:r>
        <w:rPr>
          <w:rFonts w:ascii="Times New Roman;sans-serif" w:hAnsi="Times New Roman;sans-serif"/>
          <w:b w:val="false"/>
          <w:color w:val="0000FF"/>
          <w:sz w:val="22"/>
          <w:u w:val="single"/>
        </w:rPr>
        <w:t xml:space="preserve">and agented </w:t>
      </w:r>
      <w:r>
        <w:rPr>
          <w:rFonts w:ascii="Times New Roman;sans-serif" w:hAnsi="Times New Roman;sans-serif"/>
          <w:b w:val="false"/>
          <w:color w:val="000000"/>
          <w:sz w:val="22"/>
        </w:rPr>
        <w:t xml:space="preserve">in the U.S. and denominated in </w:t>
      </w:r>
      <w:r>
        <w:rPr>
          <w:rFonts w:ascii="Times New Roman;sans-serif" w:hAnsi="Times New Roman;sans-serif"/>
          <w:b w:val="false"/>
          <w:strike/>
          <w:color w:val="FF0000"/>
          <w:sz w:val="22"/>
        </w:rPr>
        <w:t>the Applicable</w:t>
      </w:r>
      <w:r>
        <w:rPr>
          <w:rFonts w:ascii="Times New Roman;sans-serif" w:hAnsi="Times New Roman;sans-serif"/>
          <w:b w:val="false"/>
          <w:color w:val="0000FF"/>
          <w:sz w:val="22"/>
          <w:u w:val="single"/>
        </w:rPr>
        <w:t>such Agreed</w:t>
      </w:r>
      <w:r>
        <w:rPr>
          <w:color w:val="000000"/>
        </w:rPr>
        <w:t xml:space="preserve"> </w:t>
      </w:r>
      <w:r>
        <w:rPr>
          <w:rFonts w:ascii="Times New Roman;sans-serif" w:hAnsi="Times New Roman;sans-serif"/>
          <w:b w:val="false"/>
          <w:color w:val="000000"/>
          <w:sz w:val="22"/>
        </w:rPr>
        <w:t>Currency for such benchmarks</w:t>
      </w:r>
      <w:r>
        <w:rPr>
          <w:rFonts w:ascii="Times New Roman;sans-serif" w:hAnsi="Times New Roman;sans-serif"/>
          <w:b w:val="false"/>
          <w:strike/>
          <w:color w:val="FF0000"/>
          <w:sz w:val="22"/>
        </w:rPr>
        <w:t>, each of which adjustments or methods for calculating such adjustments shall be published on one or more information services as selected by the Administrative Agent from time to time in its reasonable discretion and may be periodically updated (each, an “</w:t>
      </w:r>
      <w:r>
        <w:rPr>
          <w:rFonts w:ascii="Times New Roman;sans-serif" w:hAnsi="Times New Roman;sans-serif"/>
          <w:b w:val="false"/>
          <w:strike/>
          <w:color w:val="FF0000"/>
          <w:sz w:val="22"/>
          <w:u w:val="single"/>
        </w:rPr>
        <w:t>Adjustment</w:t>
      </w:r>
      <w:r>
        <w:rPr>
          <w:rFonts w:ascii="Times New Roman;sans-serif" w:hAnsi="Times New Roman;sans-serif"/>
          <w:b w:val="false"/>
          <w:strike/>
          <w:color w:val="FF0000"/>
          <w:sz w:val="22"/>
        </w:rPr>
        <w:t xml:space="preserve">;” </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 xml:space="preserve">and any such proposed rate, </w:t>
      </w:r>
      <w:r>
        <w:rPr>
          <w:rFonts w:ascii="Times New Roman;sans-serif" w:hAnsi="Times New Roman;sans-serif"/>
          <w:b w:val="false"/>
          <w:strike/>
          <w:color w:val="FF0000"/>
          <w:sz w:val="22"/>
        </w:rPr>
        <w:t>a “</w:t>
      </w:r>
      <w:r>
        <w:rPr>
          <w:rFonts w:ascii="Times New Roman;sans-serif" w:hAnsi="Times New Roman;sans-serif"/>
          <w:b w:val="false"/>
          <w:strike/>
          <w:color w:val="FF0000"/>
          <w:sz w:val="22"/>
          <w:u w:val="single"/>
        </w:rPr>
        <w:t>Foreign Currency</w:t>
      </w:r>
      <w:r>
        <w:rPr>
          <w:rFonts w:ascii="Times New Roman;sans-serif" w:hAnsi="Times New Roman;sans-serif"/>
          <w:b w:val="false"/>
          <w:color w:val="0000FF"/>
          <w:sz w:val="22"/>
          <w:u w:val="single"/>
        </w:rPr>
        <w:t>including for the avoidance of doubt, any adjustment thereto, a “Non-SOFR</w:t>
      </w:r>
      <w:r>
        <w:rPr>
          <w:color w:val="000000"/>
          <w:u w:val="single"/>
        </w:rPr>
        <w:t xml:space="preserve"> </w:t>
      </w:r>
      <w:r>
        <w:rPr>
          <w:rFonts w:ascii="Times New Roman;sans-serif" w:hAnsi="Times New Roman;sans-serif"/>
          <w:b w:val="false"/>
          <w:color w:val="000000"/>
          <w:sz w:val="22"/>
          <w:u w:val="single"/>
        </w:rPr>
        <w:t>Successor Rate</w:t>
      </w:r>
      <w:r>
        <w:rPr>
          <w:color w:val="0000FF"/>
          <w:u w:val="single"/>
        </w:rPr>
        <w:t>”</w:t>
      </w:r>
      <w:r>
        <w:rPr>
          <w:rFonts w:ascii="Times New Roman;sans-serif" w:hAnsi="Times New Roman;sans-serif"/>
          <w:b w:val="false"/>
          <w:color w:val="0000FF"/>
          <w:sz w:val="22"/>
          <w:u w:val="single"/>
        </w:rPr>
        <w:t>, and collectively with the SOFR Successor Rate, each a “Successor Rate</w:t>
      </w:r>
      <w:r>
        <w:rPr>
          <w:color w:val="000000"/>
        </w:rPr>
        <w:t>”</w:t>
      </w:r>
      <w:r>
        <w:rPr>
          <w:rFonts w:ascii="Times New Roman;sans-serif" w:hAnsi="Times New Roman;sans-serif"/>
          <w:b w:val="false"/>
          <w:color w:val="000000"/>
          <w:sz w:val="22"/>
        </w:rPr>
        <w:t xml:space="preserve">), and any such amendment shall become effective at 5:00 p.m. on the fifth </w:t>
      </w:r>
      <w:r>
        <w:rPr>
          <w:rFonts w:ascii="Times New Roman;sans-serif" w:hAnsi="Times New Roman;sans-serif"/>
          <w:b w:val="false"/>
          <w:strike/>
          <w:color w:val="FF0000"/>
          <w:sz w:val="22"/>
        </w:rPr>
        <w:t>(5</w:t>
      </w:r>
      <w:r>
        <w:rPr>
          <w:rFonts w:ascii="Times New Roman;sans-serif" w:hAnsi="Times New Roman;sans-serif"/>
          <w:b w:val="false"/>
          <w:strike/>
          <w:color w:val="FF0000"/>
          <w:sz w:val="14"/>
        </w:rPr>
        <w:t>th</w:t>
      </w:r>
      <w:r>
        <w:rPr>
          <w:rFonts w:ascii="Times New Roman;sans-serif" w:hAnsi="Times New Roman;sans-serif"/>
          <w:b w:val="false"/>
          <w:strike/>
          <w:color w:val="FF0000"/>
          <w:sz w:val="22"/>
        </w:rPr>
        <w:t xml:space="preserve">) </w:t>
      </w:r>
      <w:r>
        <w:rPr>
          <w:rFonts w:ascii="Times New Roman;sans-serif" w:hAnsi="Times New Roman;sans-serif"/>
          <w:b w:val="false"/>
          <w:color w:val="000000"/>
          <w:sz w:val="22"/>
        </w:rPr>
        <w:t xml:space="preserve">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 </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97"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FF"/>
          <w:sz w:val="22"/>
          <w:u w:val="single"/>
        </w:rPr>
        <w:t xml:space="preserve">(d)    Successor Rate. </w:t>
      </w:r>
      <w:r>
        <w:rPr>
          <w:rFonts w:ascii="Times New Roman;sans-serif" w:hAnsi="Times New Roman;sans-serif"/>
          <w:b w:val="false"/>
          <w:color w:val="000000"/>
          <w:sz w:val="22"/>
        </w:rPr>
        <w:t xml:space="preserve">The Administrative Agent will promptly (in one or more notices) notify the Company and each Lender of </w:t>
      </w:r>
      <w:r>
        <w:rPr>
          <w:rFonts w:ascii="Times New Roman;sans-serif" w:hAnsi="Times New Roman;sans-serif"/>
          <w:b w:val="false"/>
          <w:strike/>
          <w:color w:val="FF0000"/>
          <w:sz w:val="22"/>
        </w:rPr>
        <w:t>(x) any occurrence of any of the events, periods or circumstances under clauses (i) through (iii) above, (y) an Applicable Reference Rate Replacement Date and (z) the</w:t>
      </w:r>
      <w:r>
        <w:rPr>
          <w:rFonts w:ascii="Times New Roman;sans-serif" w:hAnsi="Times New Roman;sans-serif"/>
          <w:b w:val="false"/>
          <w:color w:val="0000FF"/>
          <w:sz w:val="22"/>
          <w:u w:val="single"/>
        </w:rPr>
        <w:t>the implementation of any</w:t>
      </w:r>
      <w:r>
        <w:rPr>
          <w:color w:val="000000"/>
        </w:rPr>
        <w:t xml:space="preserve"> </w:t>
      </w:r>
      <w:r>
        <w:rPr>
          <w:rFonts w:ascii="Times New Roman;sans-serif" w:hAnsi="Times New Roman;sans-serif"/>
          <w:b w:val="false"/>
          <w:color w:val="000000"/>
          <w:sz w:val="22"/>
        </w:rPr>
        <w:t>Successor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Any Successor Rate shall be applied in a manner consistent with market practice;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anything else herein, if at any time any Successor Rate as so determined would otherwise be less than </w:t>
      </w:r>
      <w:r>
        <w:rPr>
          <w:rFonts w:ascii="Times New Roman;sans-serif" w:hAnsi="Times New Roman;sans-serif"/>
          <w:b w:val="false"/>
          <w:strike/>
          <w:color w:val="FF0000"/>
          <w:sz w:val="24"/>
        </w:rPr>
        <w:t>0</w:t>
      </w:r>
      <w:r>
        <w:rPr>
          <w:rFonts w:ascii="Times New Roman;sans-serif" w:hAnsi="Times New Roman;sans-serif"/>
          <w:b w:val="false"/>
          <w:color w:val="0000FF"/>
          <w:sz w:val="24"/>
          <w:u w:val="single"/>
        </w:rPr>
        <w:t>zero</w:t>
      </w:r>
      <w:r>
        <w:rPr>
          <w:rFonts w:ascii="Times New Roman;sans-serif" w:hAnsi="Times New Roman;sans-serif"/>
          <w:b w:val="false"/>
          <w:color w:val="000000"/>
          <w:sz w:val="24"/>
        </w:rPr>
        <w:t xml:space="preserve">%, the Successor Rate will be deemed to be </w:t>
      </w:r>
      <w:r>
        <w:rPr>
          <w:rFonts w:ascii="Times New Roman;sans-serif" w:hAnsi="Times New Roman;sans-serif"/>
          <w:b w:val="false"/>
          <w:strike/>
          <w:color w:val="FF0000"/>
          <w:sz w:val="24"/>
        </w:rPr>
        <w:t>0</w:t>
      </w:r>
      <w:r>
        <w:rPr>
          <w:rFonts w:ascii="Times New Roman;sans-serif" w:hAnsi="Times New Roman;sans-serif"/>
          <w:b w:val="false"/>
          <w:color w:val="0000FF"/>
          <w:sz w:val="24"/>
          <w:u w:val="single"/>
        </w:rPr>
        <w:t>zero</w:t>
      </w:r>
      <w:r>
        <w:rPr>
          <w:rFonts w:ascii="Times New Roman;sans-serif" w:hAnsi="Times New Roman;sans-serif"/>
          <w:b w:val="false"/>
          <w:color w:val="000000"/>
          <w:sz w:val="24"/>
        </w:rPr>
        <w:t>% for the purposes of this Agreement and the other Loan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In connection with the implementation of a Successor Rate </w:t>
      </w:r>
      <w:r>
        <w:rPr>
          <w:rFonts w:ascii="Times New Roman;sans-serif" w:hAnsi="Times New Roman;sans-serif"/>
          <w:b w:val="false"/>
          <w:strike/>
          <w:color w:val="FF0000"/>
          <w:sz w:val="24"/>
        </w:rPr>
        <w:t xml:space="preserve">for any currency, </w:t>
      </w:r>
      <w:r>
        <w:rPr>
          <w:rFonts w:ascii="Times New Roman;sans-serif" w:hAnsi="Times New Roman;sans-serif"/>
          <w:b w:val="false"/>
          <w:color w:val="000000"/>
          <w:sz w:val="24"/>
        </w:rPr>
        <w:t xml:space="preserve">the Administrative Agent will have the right to make </w:t>
      </w:r>
      <w:r>
        <w:rPr>
          <w:rFonts w:ascii="Times New Roman;sans-serif" w:hAnsi="Times New Roman;sans-serif"/>
          <w:b w:val="false"/>
          <w:strike/>
          <w:color w:val="FF0000"/>
          <w:sz w:val="24"/>
        </w:rPr>
        <w:t xml:space="preserve">Successor Rate </w:t>
      </w:r>
      <w:r>
        <w:rPr>
          <w:rFonts w:ascii="Times New Roman;sans-serif" w:hAnsi="Times New Roman;sans-serif"/>
          <w:b w:val="false"/>
          <w:color w:val="000000"/>
          <w:sz w:val="24"/>
        </w:rPr>
        <w:t xml:space="preserve">Conforming Changes </w:t>
      </w:r>
      <w:r>
        <w:rPr>
          <w:rFonts w:ascii="Times New Roman;sans-serif" w:hAnsi="Times New Roman;sans-serif"/>
          <w:b w:val="false"/>
          <w:strike/>
          <w:color w:val="FF0000"/>
          <w:sz w:val="24"/>
        </w:rPr>
        <w:t xml:space="preserve">with respect to such currency </w:t>
      </w:r>
      <w:r>
        <w:rPr>
          <w:rFonts w:ascii="Times New Roman;sans-serif" w:hAnsi="Times New Roman;sans-serif"/>
          <w:b w:val="false"/>
          <w:color w:val="000000"/>
          <w:sz w:val="24"/>
        </w:rPr>
        <w:t xml:space="preserve">from time to time and, notwithstanding anything to the contrary herein or in any other Loan Document, any amendments implementing such </w:t>
      </w:r>
      <w:r>
        <w:rPr>
          <w:rFonts w:ascii="Times New Roman;sans-serif" w:hAnsi="Times New Roman;sans-serif"/>
          <w:b w:val="false"/>
          <w:strike/>
          <w:color w:val="FF0000"/>
          <w:sz w:val="24"/>
        </w:rPr>
        <w:t xml:space="preserve">Successor Rate </w:t>
      </w:r>
      <w:r>
        <w:rPr>
          <w:rFonts w:ascii="Times New Roman;sans-serif" w:hAnsi="Times New Roman;sans-serif"/>
          <w:b w:val="false"/>
          <w:color w:val="000000"/>
          <w:sz w:val="24"/>
        </w:rPr>
        <w:t xml:space="preserve">Conforming Changes will become effective without any further action or consent of any other party to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 respect to any such amendment effected, the Administrative Agent shall post each such amendment implementing such </w:t>
      </w:r>
      <w:r>
        <w:rPr>
          <w:rFonts w:ascii="Times New Roman;sans-serif" w:hAnsi="Times New Roman;sans-serif"/>
          <w:b w:val="false"/>
          <w:strike/>
          <w:color w:val="FF0000"/>
          <w:sz w:val="24"/>
        </w:rPr>
        <w:t xml:space="preserve">Successor Rate </w:t>
      </w:r>
      <w:r>
        <w:rPr>
          <w:rFonts w:ascii="Times New Roman;sans-serif" w:hAnsi="Times New Roman;sans-serif"/>
          <w:b w:val="false"/>
          <w:color w:val="000000"/>
          <w:sz w:val="24"/>
        </w:rPr>
        <w:t xml:space="preserve">Conforming Changes </w:t>
      </w:r>
      <w:r>
        <w:rPr>
          <w:rFonts w:ascii="Times New Roman;sans-serif" w:hAnsi="Times New Roman;sans-serif"/>
          <w:b w:val="false"/>
          <w:strike/>
          <w:color w:val="FF0000"/>
          <w:sz w:val="24"/>
        </w:rPr>
        <w:t xml:space="preserve">for the Applicable Currency </w:t>
      </w:r>
      <w:r>
        <w:rPr>
          <w:rFonts w:ascii="Times New Roman;sans-serif" w:hAnsi="Times New Roman;sans-serif"/>
          <w:b w:val="false"/>
          <w:color w:val="000000"/>
          <w:sz w:val="24"/>
        </w:rPr>
        <w:t>to the Company and the Lenders reasonably promptly after such amendment becomes effective.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FF"/>
          <w:sz w:val="22"/>
          <w:u w:val="single"/>
        </w:rPr>
        <w:t xml:space="preserve">For purposes of this Section 4.8, those Lenders that either have not made, or do not have an obligation under this Agreement to make, the relevant Loans in the relevant Agreed Currency shall be excluded from any determination of Required Lenders. </w:t>
      </w:r>
    </w:p>
    <w:p>
      <w:pPr>
        <w:pStyle w:val="TextBody"/>
        <w:bidi w:val="0"/>
        <w:spacing w:lineRule="auto" w:line="288" w:before="0" w:after="240"/>
        <w:jc w:val="both"/>
        <w:rPr/>
      </w:pPr>
      <w:r>
        <w:rPr>
          <w:rFonts w:ascii="Times New Roman;sans-serif" w:hAnsi="Times New Roman;sans-serif"/>
          <w:b w:val="false"/>
          <w:strike/>
          <w:color w:val="FF0000"/>
          <w:sz w:val="22"/>
        </w:rPr>
        <w:t xml:space="preserve">If </w:t>
      </w:r>
      <w:r>
        <w:rPr>
          <w:rFonts w:ascii="Times New Roman;sans-serif" w:hAnsi="Times New Roman;sans-serif"/>
          <w:b w:val="false"/>
          <w:strike/>
          <w:color w:val="008000"/>
          <w:sz w:val="22"/>
        </w:rPr>
        <w:t xml:space="preserve">the events or circumstances of the type described in </w:t>
      </w:r>
      <w:r>
        <w:rPr>
          <w:rFonts w:ascii="Times New Roman;sans-serif" w:hAnsi="Times New Roman;sans-serif"/>
          <w:b w:val="false"/>
          <w:strike/>
          <w:color w:val="008000"/>
          <w:sz w:val="22"/>
          <w:u w:val="single"/>
        </w:rPr>
        <w:t>Section 4.8(</w:t>
      </w:r>
      <w:r>
        <w:rPr>
          <w:rFonts w:ascii="Times New Roman;sans-serif" w:hAnsi="Times New Roman;sans-serif"/>
          <w:b w:val="false"/>
          <w:strike/>
          <w:color w:val="FF0000"/>
          <w:sz w:val="22"/>
          <w:u w:val="single"/>
        </w:rPr>
        <w:t>c)(i)</w:t>
      </w:r>
      <w:r>
        <w:rPr>
          <w:strike/>
          <w:color w:val="FF0000"/>
        </w:rPr>
        <w:t xml:space="preserve"> </w:t>
      </w:r>
      <w:r>
        <w:rPr>
          <w:rFonts w:ascii="Times New Roman;sans-serif" w:hAnsi="Times New Roman;sans-serif"/>
          <w:b w:val="false"/>
          <w:strike/>
          <w:color w:val="FF0000"/>
          <w:sz w:val="22"/>
        </w:rPr>
        <w:t xml:space="preserve">to </w:t>
      </w:r>
      <w:r>
        <w:rPr>
          <w:rFonts w:ascii="Times New Roman;sans-serif" w:hAnsi="Times New Roman;sans-serif"/>
          <w:b w:val="false"/>
          <w:strike/>
          <w:color w:val="FF0000"/>
          <w:sz w:val="22"/>
          <w:u w:val="single"/>
        </w:rPr>
        <w:t>(iii)</w:t>
      </w:r>
      <w:r>
        <w:rPr>
          <w:strike/>
          <w:color w:val="FF0000"/>
        </w:rPr>
        <w:t xml:space="preserve"> </w:t>
      </w:r>
      <w:r>
        <w:rPr>
          <w:rFonts w:ascii="Times New Roman;sans-serif" w:hAnsi="Times New Roman;sans-serif"/>
          <w:b w:val="false"/>
          <w:strike/>
          <w:color w:val="FF0000"/>
          <w:sz w:val="22"/>
        </w:rPr>
        <w:t xml:space="preserve">have occurred with respect to the Successor Rate then in effect, then the successor rate thereto shall be determined in accordance with the definition of “Dollar LIBOR Successor Rate” or “Foreign Currency Successor Rate,” as applicable. </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 xml:space="preserve">(d) Notwithstanding anything to the contrary herein, in the case of Dollars (i) after any such determination by the Administrative Agent or receipt by the Administrative Agent of any such notice described under </w:t>
      </w:r>
      <w:r>
        <w:rPr>
          <w:rFonts w:ascii="Times New Roman;sans-serif" w:hAnsi="Times New Roman;sans-serif"/>
          <w:b w:val="false"/>
          <w:strike/>
          <w:color w:val="FF0000"/>
          <w:sz w:val="22"/>
          <w:u w:val="single"/>
        </w:rPr>
        <w:t>Section 4.8(c)(i)</w:t>
      </w:r>
      <w:r>
        <w:rPr>
          <w:strike/>
          <w:color w:val="FF0000"/>
        </w:rPr>
        <w:t xml:space="preserve"> </w:t>
      </w:r>
      <w:r>
        <w:rPr>
          <w:rFonts w:ascii="Times New Roman;sans-serif" w:hAnsi="Times New Roman;sans-serif"/>
          <w:b w:val="false"/>
          <w:strike/>
          <w:color w:val="FF0000"/>
          <w:sz w:val="22"/>
        </w:rPr>
        <w:t xml:space="preserve">to </w:t>
      </w:r>
      <w:r>
        <w:rPr>
          <w:rFonts w:ascii="Times New Roman;sans-serif" w:hAnsi="Times New Roman;sans-serif"/>
          <w:b w:val="false"/>
          <w:strike/>
          <w:color w:val="FF0000"/>
          <w:sz w:val="22"/>
          <w:u w:val="single"/>
        </w:rPr>
        <w:t>(iii)</w:t>
      </w:r>
      <w:r>
        <w:rPr>
          <w:rFonts w:ascii="Times New Roman;sans-serif" w:hAnsi="Times New Roman;sans-serif"/>
          <w:b w:val="false"/>
          <w:strike/>
          <w:color w:val="FF0000"/>
          <w:sz w:val="22"/>
        </w:rPr>
        <w:t xml:space="preserve">, as applicable, if the Administrative Agent determines that none of the Dollar LIBOR Successor Rates are available on or prior to the Applicable Reference Rate Replacement Date, (ii) if the events or circumstances described in </w:t>
      </w:r>
      <w:r>
        <w:rPr>
          <w:rFonts w:ascii="Times New Roman;sans-serif" w:hAnsi="Times New Roman;sans-serif"/>
          <w:b w:val="false"/>
          <w:strike/>
          <w:color w:val="FF0000"/>
          <w:sz w:val="22"/>
          <w:u w:val="single"/>
        </w:rPr>
        <w:t>Section 4.8(c)(iv)</w:t>
      </w:r>
      <w:r>
        <w:rPr>
          <w:strike/>
          <w:color w:val="FF0000"/>
        </w:rPr>
        <w:t xml:space="preserve"> </w:t>
      </w:r>
      <w:r>
        <w:rPr>
          <w:rFonts w:ascii="Times New Roman;sans-serif" w:hAnsi="Times New Roman;sans-serif"/>
          <w:b w:val="false"/>
          <w:strike/>
          <w:color w:val="FF0000"/>
          <w:sz w:val="22"/>
        </w:rPr>
        <w:t xml:space="preserve">have occurred but none of the Dollar LIBOR Successor Rates are available, or (iii) </w:t>
      </w:r>
      <w:r>
        <w:rPr>
          <w:rFonts w:ascii="Times New Roman;sans-serif" w:hAnsi="Times New Roman;sans-serif"/>
          <w:b w:val="false"/>
          <w:strike/>
          <w:color w:val="008000"/>
          <w:sz w:val="22"/>
        </w:rPr>
        <w:t xml:space="preserve">if the events or circumstances of the type described in </w:t>
      </w:r>
      <w:r>
        <w:rPr>
          <w:rFonts w:ascii="Times New Roman;sans-serif" w:hAnsi="Times New Roman;sans-serif"/>
          <w:b w:val="false"/>
          <w:strike/>
          <w:color w:val="008000"/>
          <w:sz w:val="22"/>
          <w:u w:val="single"/>
        </w:rPr>
        <w:t>Section 4.8(c)(i)</w:t>
      </w:r>
      <w:r>
        <w:rPr>
          <w:strike/>
          <w:color w:val="008000"/>
        </w:rPr>
        <w:t xml:space="preserve"> </w:t>
      </w:r>
      <w:r>
        <w:rPr>
          <w:rFonts w:ascii="Times New Roman;sans-serif" w:hAnsi="Times New Roman;sans-serif"/>
          <w:b w:val="false"/>
          <w:strike/>
          <w:color w:val="FF0000"/>
          <w:sz w:val="22"/>
        </w:rPr>
        <w:t xml:space="preserve">to </w:t>
      </w:r>
      <w:r>
        <w:rPr>
          <w:rFonts w:ascii="Times New Roman;sans-serif" w:hAnsi="Times New Roman;sans-serif"/>
          <w:b w:val="false"/>
          <w:strike/>
          <w:color w:val="FF0000"/>
          <w:sz w:val="22"/>
          <w:u w:val="single"/>
        </w:rPr>
        <w:t>(iii</w:t>
      </w:r>
      <w:r>
        <w:rPr>
          <w:rFonts w:ascii="Times New Roman;sans-serif" w:hAnsi="Times New Roman;sans-serif"/>
          <w:b w:val="false"/>
          <w:strike/>
          <w:color w:val="008000"/>
          <w:sz w:val="22"/>
          <w:u w:val="single"/>
        </w:rPr>
        <w:t>)</w:t>
      </w:r>
      <w:r>
        <w:rPr>
          <w:strike/>
          <w:color w:val="008000"/>
        </w:rPr>
        <w:t xml:space="preserve"> </w:t>
      </w:r>
      <w:r>
        <w:rPr>
          <w:rFonts w:ascii="Times New Roman;sans-serif" w:hAnsi="Times New Roman;sans-serif"/>
          <w:b w:val="false"/>
          <w:strike/>
          <w:color w:val="008000"/>
          <w:sz w:val="22"/>
        </w:rPr>
        <w:t xml:space="preserve">have occurred with respect to the </w:t>
      </w:r>
      <w:r>
        <w:rPr>
          <w:rFonts w:ascii="Times New Roman;sans-serif" w:hAnsi="Times New Roman;sans-serif"/>
          <w:b w:val="false"/>
          <w:strike/>
          <w:color w:val="FF0000"/>
          <w:sz w:val="22"/>
        </w:rPr>
        <w:t xml:space="preserve">Dollar LIBOR </w:t>
      </w:r>
      <w:r>
        <w:rPr>
          <w:rFonts w:ascii="Times New Roman;sans-serif" w:hAnsi="Times New Roman;sans-serif"/>
          <w:b w:val="false"/>
          <w:strike/>
          <w:color w:val="008000"/>
          <w:sz w:val="22"/>
        </w:rPr>
        <w:t xml:space="preserve">Successor Rate then in effect </w:t>
      </w:r>
      <w:r>
        <w:rPr>
          <w:rFonts w:ascii="Times New Roman;sans-serif" w:hAnsi="Times New Roman;sans-serif"/>
          <w:b w:val="false"/>
          <w:strike/>
          <w:color w:val="FF0000"/>
          <w:sz w:val="22"/>
        </w:rPr>
        <w:t xml:space="preserve">and the Administrative Agent determines that none of the Dollar LIBOR Successor Rates are available, then in each case, the Administrative Agent and the Company may amend this Agreement solely for the purpose of replacing LIBOR or any then current Dollar LIBOR Successor Rate in accordance with this </w:t>
      </w:r>
      <w:r>
        <w:rPr>
          <w:rFonts w:ascii="Times New Roman;sans-serif" w:hAnsi="Times New Roman;sans-serif"/>
          <w:b w:val="false"/>
          <w:strike/>
          <w:color w:val="FF0000"/>
          <w:sz w:val="22"/>
          <w:u w:val="single"/>
        </w:rPr>
        <w:t>Section 4.8</w:t>
      </w:r>
      <w:r>
        <w:rPr>
          <w:strike/>
          <w:color w:val="FF0000"/>
        </w:rPr>
        <w:t xml:space="preserve"> </w:t>
      </w:r>
      <w:r>
        <w:rPr>
          <w:rFonts w:ascii="Times New Roman;sans-serif" w:hAnsi="Times New Roman;sans-serif"/>
          <w:b w:val="false"/>
          <w:strike/>
          <w:color w:val="FF0000"/>
          <w:sz w:val="22"/>
        </w:rPr>
        <w:t xml:space="preserve">at the end of any Interest Period, relevant interest payment date or payment period for interest calculated, as applicable, with another alternate </w:t>
      </w:r>
      <w:r>
        <w:rPr>
          <w:rFonts w:ascii="Times New Roman;sans-serif" w:hAnsi="Times New Roman;sans-serif"/>
          <w:b w:val="false"/>
          <w:strike/>
          <w:color w:val="008000"/>
          <w:sz w:val="22"/>
        </w:rPr>
        <w:t xml:space="preserve">benchmark rate giving due consideration to any evolving or then existing convention for similar </w:t>
      </w:r>
      <w:r>
        <w:rPr>
          <w:rFonts w:ascii="Times New Roman;sans-serif" w:hAnsi="Times New Roman;sans-serif"/>
          <w:b w:val="false"/>
          <w:strike/>
          <w:color w:val="FF0000"/>
          <w:sz w:val="22"/>
        </w:rPr>
        <w:t xml:space="preserve">syndicated credit facilities syndicated </w:t>
      </w:r>
      <w:r>
        <w:rPr>
          <w:rFonts w:ascii="Times New Roman;sans-serif" w:hAnsi="Times New Roman;sans-serif"/>
          <w:b w:val="false"/>
          <w:strike/>
          <w:color w:val="008000"/>
          <w:sz w:val="22"/>
        </w:rPr>
        <w:t xml:space="preserve">in the U.S. and denominated in Dollars for such alternative benchmarks and, in each case, including any </w:t>
      </w:r>
      <w:r>
        <w:rPr>
          <w:rFonts w:ascii="Times New Roman;sans-serif" w:hAnsi="Times New Roman;sans-serif"/>
          <w:b w:val="false"/>
          <w:strike/>
          <w:color w:val="FF0000"/>
          <w:sz w:val="22"/>
        </w:rPr>
        <w:t xml:space="preserve">Related Adjustments and any other </w:t>
      </w:r>
      <w:r>
        <w:rPr>
          <w:rFonts w:ascii="Times New Roman;sans-serif" w:hAnsi="Times New Roman;sans-serif"/>
          <w:b w:val="false"/>
          <w:strike/>
          <w:color w:val="008000"/>
          <w:sz w:val="22"/>
        </w:rPr>
        <w:t xml:space="preserve">mathematical or other adjustments to such benchmark giving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98"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strike/>
          <w:color w:val="008000"/>
          <w:sz w:val="22"/>
        </w:rPr>
        <w:t xml:space="preserve">due consideration to any evolving or then existing convention for similar </w:t>
      </w:r>
      <w:r>
        <w:rPr>
          <w:rFonts w:ascii="Times New Roman;sans-serif" w:hAnsi="Times New Roman;sans-serif"/>
          <w:b w:val="false"/>
          <w:strike/>
          <w:color w:val="FF0000"/>
          <w:sz w:val="22"/>
        </w:rPr>
        <w:t xml:space="preserve">syndicated credit facilities syndicated </w:t>
      </w:r>
      <w:r>
        <w:rPr>
          <w:rFonts w:ascii="Times New Roman;sans-serif" w:hAnsi="Times New Roman;sans-serif"/>
          <w:b w:val="false"/>
          <w:strike/>
          <w:color w:val="008000"/>
          <w:sz w:val="22"/>
        </w:rPr>
        <w:t>in the U.S. and denominated in Dollars for such benchmarks</w:t>
      </w:r>
      <w:r>
        <w:rPr>
          <w:rFonts w:ascii="Times New Roman;sans-serif" w:hAnsi="Times New Roman;sans-serif"/>
          <w:b w:val="false"/>
          <w:strike/>
          <w:color w:val="FF0000"/>
          <w:sz w:val="22"/>
        </w:rPr>
        <w:t xml:space="preserve">, which adjustment or method for calculating such adjustment shall be published on an information service as selected by the Administrative Agent from time to time in its reasonable discretion and may be periodically updated. For </w:t>
      </w:r>
      <w:r>
        <w:rPr>
          <w:rFonts w:ascii="Times New Roman;sans-serif" w:hAnsi="Times New Roman;sans-serif"/>
          <w:b w:val="false"/>
          <w:strike/>
          <w:color w:val="008000"/>
          <w:sz w:val="22"/>
        </w:rPr>
        <w:t xml:space="preserve">the avoidance of doubt, any </w:t>
      </w:r>
      <w:r>
        <w:rPr>
          <w:rFonts w:ascii="Times New Roman;sans-serif" w:hAnsi="Times New Roman;sans-serif"/>
          <w:b w:val="false"/>
          <w:strike/>
          <w:color w:val="FF0000"/>
          <w:sz w:val="22"/>
        </w:rPr>
        <w:t>such proposed rate and adjustments shall constitute a Dollar LIBOR Successor Rate. Any such amendment shall become effective at 5:00 p.m. on the fifth (5</w:t>
      </w:r>
      <w:r>
        <w:rPr>
          <w:rFonts w:ascii="Times New Roman;sans-serif" w:hAnsi="Times New Roman;sans-serif"/>
          <w:b w:val="false"/>
          <w:strike/>
          <w:color w:val="FF0000"/>
          <w:sz w:val="14"/>
        </w:rPr>
        <w:t>th</w:t>
      </w:r>
      <w:r>
        <w:rPr>
          <w:rFonts w:ascii="Times New Roman;sans-serif" w:hAnsi="Times New Roman;sans-serif"/>
          <w:b w:val="false"/>
          <w:strike/>
          <w:color w:val="FF0000"/>
          <w:sz w:val="22"/>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pStyle w:val="TextBody"/>
        <w:bidi w:val="0"/>
        <w:spacing w:lineRule="auto" w:line="288" w:before="0" w:after="240"/>
        <w:ind w:left="0" w:right="0" w:firstLine="720"/>
        <w:jc w:val="both"/>
        <w:rPr/>
      </w:pPr>
      <w:r>
        <w:rPr>
          <w:rFonts w:ascii="Times New Roman;sans-serif" w:hAnsi="Times New Roman;sans-serif"/>
          <w:b w:val="false"/>
          <w:strike/>
          <w:color w:val="FF0000"/>
          <w:sz w:val="22"/>
        </w:rPr>
        <w:t xml:space="preserve">(e) If, at the end of any Interest Period, relevant interest payment date or payment period for interest calculated, no Successor Rate for an Applicable Currency has been determined in accordance with clauses (c) or (d) of this </w:t>
      </w:r>
      <w:r>
        <w:rPr>
          <w:rFonts w:ascii="Times New Roman;sans-serif" w:hAnsi="Times New Roman;sans-serif"/>
          <w:b w:val="false"/>
          <w:strike/>
          <w:color w:val="FF0000"/>
          <w:sz w:val="22"/>
          <w:u w:val="single"/>
        </w:rPr>
        <w:t>Section 4.8</w:t>
      </w:r>
      <w:r>
        <w:rPr>
          <w:strike/>
          <w:color w:val="FF0000"/>
        </w:rPr>
        <w:t xml:space="preserve"> </w:t>
      </w:r>
      <w:r>
        <w:rPr>
          <w:rFonts w:ascii="Times New Roman;sans-serif" w:hAnsi="Times New Roman;sans-serif"/>
          <w:b w:val="false"/>
          <w:strike/>
          <w:color w:val="FF0000"/>
          <w:sz w:val="22"/>
        </w:rPr>
        <w:t xml:space="preserve">and the circumstances under clauses (c)(i) or (c)(iii) above exist or the Scheduled Unavailability Date has occurred (as applicable), the Administrative Agent will promptly so notify the Company and each Lender. Thereafter, (x) the obligation of the Lenders to make or maintain Eurocurrency Rate Loans in each such Applicable Currency shall be suspended, (to the extent of the affected Eurocurrency Rate Loans, Interest Periods, interest payment dates or payment periods), and (y) in the case of LIBOR, the Eurocurrency Rate component shall no longer be utilized in determining the Base Rate, until the applicable Successor Rate has been determined in accordance with clauses (c) or (d). Upon receipt of such notice, the Borrowers may revoke any pending request for a borrowing of, conversion to or continuation of Eurocurrency Rate Loans in each such affected Applicable Currency (to the extent of the affected Eurocurrency Rate Loans, Interest Periods, interest payment dates or payment periods) or, failing that, will be deemed to have converted each such request into a request for a borrowing of Base Rate Loans denominated in Dollars in the Dollar Amount of the amount specified therein </w:t>
      </w:r>
      <w:r>
        <w:rPr>
          <w:rFonts w:ascii="Times New Roman;sans-serif" w:hAnsi="Times New Roman;sans-serif"/>
          <w:b w:val="false"/>
          <w:strike/>
          <w:color w:val="008000"/>
          <w:sz w:val="22"/>
        </w:rPr>
        <w:t xml:space="preserve">and (ii) (A) any outstanding </w:t>
      </w:r>
      <w:r>
        <w:rPr>
          <w:rFonts w:ascii="Times New Roman;sans-serif" w:hAnsi="Times New Roman;sans-serif"/>
          <w:b w:val="false"/>
          <w:strike/>
          <w:color w:val="FF0000"/>
          <w:sz w:val="22"/>
        </w:rPr>
        <w:t xml:space="preserve">affected Eurocurrency Rate Loans denominated in Dollars will </w:t>
      </w:r>
      <w:r>
        <w:rPr>
          <w:rFonts w:ascii="Times New Roman;sans-serif" w:hAnsi="Times New Roman;sans-serif"/>
          <w:b w:val="false"/>
          <w:strike/>
          <w:color w:val="008000"/>
          <w:sz w:val="22"/>
        </w:rPr>
        <w:t xml:space="preserve">be deemed to have been converted </w:t>
      </w:r>
      <w:r>
        <w:rPr>
          <w:rFonts w:ascii="Times New Roman;sans-serif" w:hAnsi="Times New Roman;sans-serif"/>
          <w:b w:val="false"/>
          <w:strike/>
          <w:color w:val="FF0000"/>
          <w:sz w:val="22"/>
        </w:rPr>
        <w:t>into Base Rate Loans at the end of the applicable Interest Period and (B) any outstanding affected Eurocurrency Rate Loans denominated in a Foreign Currency</w:t>
      </w:r>
      <w:r>
        <w:rPr>
          <w:rFonts w:ascii="Times New Roman;sans-serif" w:hAnsi="Times New Roman;sans-serif"/>
          <w:b w:val="false"/>
          <w:strike/>
          <w:color w:val="008000"/>
          <w:sz w:val="22"/>
        </w:rPr>
        <w:t xml:space="preserve">, at the Company’s election, shall either (1) be converted into a borrowing of Base Rate Loans denominated in Dollars in the Dollar Amount of the amount of such outstanding </w:t>
      </w:r>
      <w:r>
        <w:rPr>
          <w:rFonts w:ascii="Times New Roman;sans-serif" w:hAnsi="Times New Roman;sans-serif"/>
          <w:b w:val="false"/>
          <w:strike/>
          <w:color w:val="FF0000"/>
          <w:sz w:val="22"/>
        </w:rPr>
        <w:t xml:space="preserve">Eurocurrency Rate Loan </w:t>
      </w:r>
      <w:r>
        <w:rPr>
          <w:rFonts w:ascii="Times New Roman;sans-serif" w:hAnsi="Times New Roman;sans-serif"/>
          <w:b w:val="false"/>
          <w:strike/>
          <w:color w:val="008000"/>
          <w:sz w:val="22"/>
        </w:rPr>
        <w:t xml:space="preserve">at the end of the applicable Interest Period </w:t>
      </w:r>
      <w:r>
        <w:rPr>
          <w:rFonts w:ascii="Times New Roman;sans-serif" w:hAnsi="Times New Roman;sans-serif"/>
          <w:b w:val="false"/>
          <w:strike/>
          <w:color w:val="FF0000"/>
          <w:sz w:val="22"/>
        </w:rPr>
        <w:t xml:space="preserve">or (2) be prepaid </w:t>
      </w:r>
      <w:r>
        <w:rPr>
          <w:rFonts w:ascii="Times New Roman;sans-serif" w:hAnsi="Times New Roman;sans-serif"/>
          <w:b w:val="false"/>
          <w:strike/>
          <w:color w:val="008000"/>
          <w:sz w:val="22"/>
        </w:rPr>
        <w:t xml:space="preserve">at the end of the applicable Interest Period </w:t>
      </w:r>
      <w:r>
        <w:rPr>
          <w:rFonts w:ascii="Times New Roman;sans-serif" w:hAnsi="Times New Roman;sans-serif"/>
          <w:b w:val="false"/>
          <w:strike/>
          <w:color w:val="FF0000"/>
          <w:sz w:val="22"/>
        </w:rPr>
        <w:t>in full</w:t>
      </w:r>
      <w:r>
        <w:rPr>
          <w:rFonts w:ascii="Times New Roman;sans-serif" w:hAnsi="Times New Roman;sans-serif"/>
          <w:b w:val="false"/>
          <w:strike/>
          <w:color w:val="008000"/>
          <w:sz w:val="22"/>
        </w:rPr>
        <w:t xml:space="preserve">; </w:t>
      </w:r>
      <w:r>
        <w:rPr>
          <w:rFonts w:ascii="Times New Roman;sans-serif" w:hAnsi="Times New Roman;sans-serif"/>
          <w:b w:val="false"/>
          <w:strike/>
          <w:color w:val="008000"/>
          <w:sz w:val="22"/>
          <w:u w:val="single"/>
        </w:rPr>
        <w:t>provided</w:t>
      </w:r>
      <w:r>
        <w:rPr>
          <w:strike/>
          <w:color w:val="008000"/>
        </w:rPr>
        <w:t xml:space="preserve"> </w:t>
      </w:r>
      <w:r>
        <w:rPr>
          <w:rFonts w:ascii="Times New Roman;sans-serif" w:hAnsi="Times New Roman;sans-serif"/>
          <w:b w:val="false"/>
          <w:strike/>
          <w:color w:val="008000"/>
          <w:sz w:val="22"/>
        </w:rPr>
        <w:t xml:space="preserve">that if no election is made by the Company </w:t>
      </w:r>
      <w:r>
        <w:rPr>
          <w:rFonts w:ascii="Times New Roman;sans-serif" w:hAnsi="Times New Roman;sans-serif"/>
          <w:b w:val="false"/>
          <w:strike/>
          <w:color w:val="FF0000"/>
          <w:sz w:val="22"/>
        </w:rPr>
        <w:t xml:space="preserve">by the earlier of (x) </w:t>
      </w:r>
      <w:r>
        <w:rPr>
          <w:rFonts w:ascii="Times New Roman;sans-serif" w:hAnsi="Times New Roman;sans-serif"/>
          <w:b w:val="false"/>
          <w:strike/>
          <w:color w:val="008000"/>
          <w:sz w:val="22"/>
        </w:rPr>
        <w:t xml:space="preserve">the date that is three Business Days after receipt by the Company of such notice </w:t>
      </w:r>
      <w:r>
        <w:rPr>
          <w:rFonts w:ascii="Times New Roman;sans-serif" w:hAnsi="Times New Roman;sans-serif"/>
          <w:b w:val="false"/>
          <w:strike/>
          <w:color w:val="FF0000"/>
          <w:sz w:val="22"/>
        </w:rPr>
        <w:t xml:space="preserve">and (y) </w:t>
      </w:r>
      <w:r>
        <w:rPr>
          <w:rFonts w:ascii="Times New Roman;sans-serif" w:hAnsi="Times New Roman;sans-serif"/>
          <w:b w:val="false"/>
          <w:strike/>
          <w:color w:val="008000"/>
          <w:sz w:val="22"/>
        </w:rPr>
        <w:t xml:space="preserve">the last day of the current Interest Period for the applicable </w:t>
      </w:r>
      <w:r>
        <w:rPr>
          <w:rFonts w:ascii="Times New Roman;sans-serif" w:hAnsi="Times New Roman;sans-serif"/>
          <w:b w:val="false"/>
          <w:strike/>
          <w:color w:val="FF0000"/>
          <w:sz w:val="22"/>
        </w:rPr>
        <w:t xml:space="preserve">Eurocurrency Rate </w:t>
      </w:r>
      <w:r>
        <w:rPr>
          <w:rFonts w:ascii="Times New Roman;sans-serif" w:hAnsi="Times New Roman;sans-serif"/>
          <w:b w:val="false"/>
          <w:strike/>
          <w:color w:val="008000"/>
          <w:sz w:val="22"/>
        </w:rPr>
        <w:t>Loan, the Company shall be deemed to have elected clause (1) above.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4.9    </w:t>
      </w:r>
      <w:r>
        <w:rPr>
          <w:rFonts w:ascii="Times New Roman;sans-serif" w:hAnsi="Times New Roman;sans-serif"/>
          <w:b/>
          <w:color w:val="000000"/>
          <w:sz w:val="22"/>
          <w:u w:val="single"/>
        </w:rPr>
        <w:t>Indemnity</w:t>
      </w:r>
      <w:r>
        <w:rPr>
          <w:rFonts w:ascii="Times New Roman;sans-serif" w:hAnsi="Times New Roman;sans-serif"/>
          <w:b w:val="false"/>
          <w:color w:val="000000"/>
          <w:sz w:val="22"/>
        </w:rPr>
        <w:t xml:space="preserve">. Each Borrower hereby indemnifies,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 xml:space="preserve">, each of the Lenders against any actual loss or expense which may arise or be attributable to each Lender’s obtaining, liquidating or employing deposits or other funds acquired to effect, fund or maintain any Loan (a) as a consequence of any failure by such Borrower to make any payment when due of any amount due hereunder in connection with a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Loan other than a Base</w:t>
      </w:r>
      <w:r>
        <w:rPr>
          <w:color w:val="000000"/>
        </w:rPr>
        <w:t xml:space="preserve"> </w:t>
      </w:r>
      <w:r>
        <w:rPr>
          <w:rFonts w:ascii="Times New Roman;sans-serif" w:hAnsi="Times New Roman;sans-serif"/>
          <w:b w:val="false"/>
          <w:color w:val="000000"/>
          <w:sz w:val="22"/>
        </w:rPr>
        <w:t xml:space="preserve">Rate Loan, (b) due to any failure of such Borrower to borrow, continue or convert on a date specified therefor in a Loan Notice or (c) due to any payment, prepayment or conversion of any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Loan other than a Base</w:t>
      </w:r>
      <w:r>
        <w:rPr>
          <w:color w:val="000000"/>
        </w:rPr>
        <w:t xml:space="preserve"> </w:t>
      </w:r>
      <w:r>
        <w:rPr>
          <w:rFonts w:ascii="Times New Roman;sans-serif" w:hAnsi="Times New Roman;sans-serif"/>
          <w:b w:val="false"/>
          <w:color w:val="000000"/>
          <w:sz w:val="22"/>
        </w:rPr>
        <w:t xml:space="preserve">Rate Loan on a date other than the last day of the Interest Period therefor. The amount of such loss or expense shall be determined, in the applicable Lender’s sole discretion, based upon the assumption that such Lender funded its Commitment Percentage of the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 xml:space="preserve">Rate Loans in the </w:t>
      </w:r>
      <w:r>
        <w:rPr>
          <w:rFonts w:ascii="Times New Roman;sans-serif" w:hAnsi="Times New Roman;sans-serif"/>
          <w:b w:val="false"/>
          <w:strike/>
          <w:color w:val="FF0000"/>
          <w:sz w:val="22"/>
        </w:rPr>
        <w:t>London</w:t>
      </w:r>
      <w:r>
        <w:rPr>
          <w:rFonts w:ascii="Times New Roman;sans-serif" w:hAnsi="Times New Roman;sans-serif"/>
          <w:b w:val="false"/>
          <w:color w:val="0000FF"/>
          <w:sz w:val="22"/>
          <w:u w:val="single"/>
        </w:rPr>
        <w:t>offshore</w:t>
      </w:r>
      <w:r>
        <w:rPr>
          <w:color w:val="000000"/>
        </w:rPr>
        <w:t xml:space="preserve"> </w:t>
      </w:r>
      <w:r>
        <w:rPr>
          <w:rFonts w:ascii="Times New Roman;sans-serif" w:hAnsi="Times New Roman;sans-serif"/>
          <w:b w:val="false"/>
          <w:color w:val="000000"/>
          <w:sz w:val="22"/>
        </w:rPr>
        <w:t xml:space="preserve">interbank market </w:t>
      </w:r>
      <w:r>
        <w:rPr>
          <w:rFonts w:ascii="Times New Roman;sans-serif" w:hAnsi="Times New Roman;sans-serif"/>
          <w:b w:val="false"/>
          <w:strike/>
          <w:color w:val="FF0000"/>
          <w:sz w:val="22"/>
        </w:rPr>
        <w:t>(or other applicable market for Foreign Currencies)</w:t>
      </w:r>
      <w:r>
        <w:rPr>
          <w:rFonts w:ascii="Times New Roman;sans-serif" w:hAnsi="Times New Roman;sans-serif"/>
          <w:b w:val="false"/>
          <w:color w:val="0000FF"/>
          <w:sz w:val="22"/>
          <w:u w:val="single"/>
        </w:rPr>
        <w:t>for such currency</w:t>
      </w:r>
      <w:r>
        <w:rPr>
          <w:color w:val="000000"/>
        </w:rPr>
        <w:t xml:space="preserve"> </w:t>
      </w:r>
      <w:r>
        <w:rPr>
          <w:rFonts w:ascii="Times New Roman;sans-serif" w:hAnsi="Times New Roman;sans-serif"/>
          <w:b w:val="false"/>
          <w:color w:val="000000"/>
          <w:sz w:val="22"/>
        </w:rPr>
        <w:t xml:space="preserve">and using any reasonable attribution or averaging methods which such Lender deems appropriate and practical. A certificate of such Lender setting forth the basis for determining such amount or amounts necessary to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99"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compensate such Lender shall be forwarded to the applicable Borrower through the Administrative Agent and shall be conclusively presumed to be correct save for manifest error.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4.10    </w:t>
      </w:r>
      <w:r>
        <w:rPr>
          <w:rFonts w:ascii="Times New Roman;sans-serif" w:hAnsi="Times New Roman;sans-serif"/>
          <w:b/>
          <w:color w:val="000000"/>
          <w:sz w:val="22"/>
          <w:u w:val="single"/>
        </w:rPr>
        <w:t>Increased Costs.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Increased Costs Generally</w:t>
      </w:r>
      <w:r>
        <w:rPr>
          <w:rFonts w:ascii="Times New Roman;sans-serif" w:hAnsi="Times New Roman;sans-serif"/>
          <w:b w:val="false"/>
          <w:color w:val="000000"/>
          <w:sz w:val="22"/>
        </w:rPr>
        <w:t>. If any Change in Law shall:</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impose, modify or deem applicable any reserve, special deposit, compulsory loan, insurance charge or similar requirement against assets of, deposits with or for the account of, or advances, loans or other credit extended or participated in by, any Lender </w:t>
      </w:r>
      <w:r>
        <w:rPr>
          <w:rFonts w:ascii="Times New Roman;sans-serif" w:hAnsi="Times New Roman;sans-serif"/>
          <w:b w:val="false"/>
          <w:strike/>
          <w:color w:val="FF0000"/>
          <w:sz w:val="22"/>
        </w:rPr>
        <w:t xml:space="preserve">(except any reserve requirement reflected in the LIBOR Rate) </w:t>
      </w:r>
      <w:r>
        <w:rPr>
          <w:rFonts w:ascii="Times New Roman;sans-serif" w:hAnsi="Times New Roman;sans-serif"/>
          <w:b w:val="false"/>
          <w:color w:val="000000"/>
          <w:sz w:val="22"/>
        </w:rPr>
        <w:t>or any Issuing Lender;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subject any Recipient to any Taxes (other than (A) Indemnified Taxes, (B) Taxes described in clauses (b) through (d) of the definition of Excluded Taxes and (C) Connection Income Taxes) on its loans, loan principal, letters of credit, commitments, or other obligations with respect to this Agreement, or its deposits, reserves, other liabilities or capital attributable thereto;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impose on any Lender or any Issuing Lender or the </w:t>
      </w:r>
      <w:r>
        <w:rPr>
          <w:rFonts w:ascii="Times New Roman;sans-serif" w:hAnsi="Times New Roman;sans-serif"/>
          <w:b w:val="false"/>
          <w:strike/>
          <w:color w:val="FF0000"/>
          <w:sz w:val="22"/>
        </w:rPr>
        <w:t>London</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 xml:space="preserve">interbank market </w:t>
      </w:r>
      <w:r>
        <w:rPr>
          <w:rFonts w:ascii="Times New Roman;sans-serif" w:hAnsi="Times New Roman;sans-serif"/>
          <w:b w:val="false"/>
          <w:strike/>
          <w:color w:val="FF0000"/>
          <w:sz w:val="22"/>
        </w:rPr>
        <w:t xml:space="preserve">(or other applicable market for Foreign Currencies) </w:t>
      </w:r>
      <w:r>
        <w:rPr>
          <w:rFonts w:ascii="Times New Roman;sans-serif" w:hAnsi="Times New Roman;sans-serif"/>
          <w:b w:val="false"/>
          <w:color w:val="000000"/>
          <w:sz w:val="22"/>
        </w:rPr>
        <w:t xml:space="preserve">any other condition, cost or expense (other than Taxes) affecting this Agreement or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Designated Currency</w:t>
      </w:r>
      <w:r>
        <w:rPr>
          <w:color w:val="000000"/>
        </w:rPr>
        <w:t xml:space="preserve"> </w:t>
      </w:r>
      <w:r>
        <w:rPr>
          <w:rFonts w:ascii="Times New Roman;sans-serif" w:hAnsi="Times New Roman;sans-serif"/>
          <w:b w:val="false"/>
          <w:color w:val="000000"/>
          <w:sz w:val="22"/>
        </w:rPr>
        <w:t>Rate Loans made by such Lender or any Letter of Credit or participation therein;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other Recipient hereunder (whether of principal, interest or any other amount) (including, in all cases, the Lenders under the Designated Currency Tranche being required to convert a Loan from one Agreed Currency to another Agreed Currency), then, upon request of such Lender, such Issuing Lender or other Recipient, the Company will pay (or will cause the applicable Subsidiary Borrower to pay) to such Lender, such Issuing Lender or other Recipient, as the case may be, such additional amount or amounts as will compensate such Lender, such Issuing Lender or other Recipient, as the case may be, for such additional costs incurred or reduction suffered.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Capital Requirements</w:t>
      </w:r>
      <w:r>
        <w:rPr>
          <w:rFonts w:ascii="Times New Roman;sans-serif" w:hAnsi="Times New Roman;sans-serif"/>
          <w:b w:val="false"/>
          <w:color w:val="000000"/>
          <w:sz w:val="22"/>
        </w:rPr>
        <w:t xml:space="preserve">.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Commitments of such Lender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the written request of such Lender, the Company shall promptly pay (or shall cause the applicable Subsidiary Borrower to promptly pay) to such Lender or such Issuing Lender, as the case may be, such additional amount or amounts as will compensate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300"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Lender or such Issuing Lender or such Lender’s or such Issuing Lender’s holding company for any such reduction suffered.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strike/>
          <w:color w:val="FF0000"/>
          <w:sz w:val="22"/>
          <w:u w:val="single"/>
        </w:rPr>
        <w:t>Mandatory Costs</w:t>
      </w:r>
      <w:r>
        <w:rPr>
          <w:rFonts w:ascii="Times New Roman;sans-serif" w:hAnsi="Times New Roman;sans-serif"/>
          <w:b w:val="false"/>
          <w:strike/>
          <w:color w:val="FF0000"/>
          <w:sz w:val="22"/>
        </w:rPr>
        <w:t>.  If any Lender or any Issuing Lender incurs any Mandatory Costs attributable to the Obligations, then from time to time the Company will pay (or cause the applicable Subsidiary Borrower to pay) to such Lender or such Issuing Lender, as the case may be, such Mandatory Costs.  Such amount shall be expressed as a percentage rate per annum and shall be payable on the full amount of the applicable Obligations.</w:t>
      </w:r>
      <w:r>
        <w:rPr>
          <w:rFonts w:ascii="Times New Roman;sans-serif" w:hAnsi="Times New Roman;sans-serif"/>
          <w:b w:val="false"/>
          <w:color w:val="0000FF"/>
          <w:sz w:val="22"/>
          <w:u w:val="single"/>
        </w:rPr>
        <w:t>[Reserved].</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Certificates for Reimbursement</w:t>
      </w:r>
      <w:r>
        <w:rPr>
          <w:rFonts w:ascii="Times New Roman;sans-serif" w:hAnsi="Times New Roman;sans-serif"/>
          <w:b w:val="false"/>
          <w:color w:val="000000"/>
          <w:sz w:val="22"/>
        </w:rPr>
        <w:t>. A certificate of a Lender or an Issuing Lender setting forth the amount or amounts necessary to compensate such Lender or such Issuing Lender or its holding company, as the case may be, as specified in paragraph (a), (b) or (c) of this Section and delivered to the Company shall be conclusive absent manifest error. The Company shall pay (or shall cause the applicable Subsidiary Borrower to pay) such Lender or such Issuing Lender, as the case may be, the amount shown as due on any such certificate within ten (10) days after receipt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Delay in Requests</w:t>
      </w:r>
      <w:r>
        <w:rPr>
          <w:rFonts w:ascii="Times New Roman;sans-serif" w:hAnsi="Times New Roman;sans-serif"/>
          <w:b w:val="false"/>
          <w:color w:val="000000"/>
          <w:sz w:val="22"/>
        </w:rPr>
        <w:t xml:space="preserve">. Failure or delay on the part of any Lender or any Issuing Lender to demand compensation pursuant to this Section shall not constitute a waiver of such Lender’s or such Issuing Lender’s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Borrowers shall not be required to compensate a Lender or an Issuing Lender pursuant to this Section for any increased costs incurred or reductions suffered more than nine months prior to the date that such Lender or such Issuing Lender, as the case may be, notifies the Company of the Change in Law giving rise to such increased costs or reductions and of such Lender’s or such Issuing Lender’s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4.11    </w:t>
      </w:r>
      <w:r>
        <w:rPr>
          <w:rFonts w:ascii="Times New Roman;sans-serif" w:hAnsi="Times New Roman;sans-serif"/>
          <w:b/>
          <w:color w:val="000000"/>
          <w:sz w:val="22"/>
          <w:u w:val="single"/>
        </w:rPr>
        <w:t>Taxes</w:t>
      </w:r>
      <w:r>
        <w:rPr>
          <w:rFonts w:ascii="Times New Roman;sans-serif" w:hAnsi="Times New Roman;sans-serif"/>
          <w:b w:val="false"/>
          <w:color w:val="000000"/>
          <w:sz w:val="22"/>
        </w:rPr>
        <w:t>.</w:t>
      </w:r>
      <w:r>
        <w:rPr>
          <w:strike/>
          <w:color w:val="FF0000"/>
          <w:u w:val="single"/>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Payments Free of Taxes; Obligation to Withhold; Payments on Account of Taxes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Any and all payments by or on account of any obligation of any Credit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upon the basis of the information and documentation to be delivered pursuant to subsection (e) 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If any Withholding Agent shall be required by the Code to withhold or deduct any Taxes, including both United States federal backup withholding and withholding </w:t>
      </w:r>
      <w:r>
        <w:rPr>
          <w:rFonts w:ascii="Times New Roman;sans-serif" w:hAnsi="Times New Roman;sans-serif"/>
          <w:b w:val="false"/>
          <w:strike/>
          <w:color w:val="FF0000"/>
          <w:sz w:val="22"/>
        </w:rPr>
        <w:t>taxes</w:t>
      </w:r>
      <w:r>
        <w:rPr>
          <w:rFonts w:ascii="Times New Roman;sans-serif" w:hAnsi="Times New Roman;sans-serif"/>
          <w:b w:val="false"/>
          <w:color w:val="0000FF"/>
          <w:sz w:val="22"/>
          <w:u w:val="single"/>
        </w:rPr>
        <w:t>Taxes</w:t>
      </w:r>
      <w:r>
        <w:rPr>
          <w:rFonts w:ascii="Times New Roman;sans-serif" w:hAnsi="Times New Roman;sans-serif"/>
          <w:b w:val="false"/>
          <w:color w:val="000000"/>
          <w:sz w:val="22"/>
        </w:rPr>
        <w:t xml:space="preserve">, from any payment, then (A) such Withholding Agent shall withhold or make such deductions as are determined by such Withholding Agent to be required based upon the information and documentation it has received pursuant to subsection (e) below, (B) such Withholding Agent shall timely pay the full amount withheld or deducted to the relevant Governmental Authority in accordance with the Code, and (C) to the extent that the withholding or deduction is made on account of Indemnified Taxes, the sum payable by the applicable Credit Party,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 xml:space="preserve">, shall be increased as necessary so that after any required withholding or the making of all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301"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deductions (including deductions applicable to additional sums payable under this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the applicable Recipient receives an amount equal to the sum it would have received had no such withholding or deduction been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If any Withholding Agent shall be required by any Applicable Laws other than the Code to withhold or deduct any Taxes from any payment, then (A) such Withholding Agent, as required by such Applicable Laws, shall withhold or make such deductions as are determined by it to be required based upon the information and documentation it has received pursuant to subsection (e) below, (B) such Withholding Agent, to the extent required by such Applicable Laws, shall timely pay the full amount withheld or deducted to the relevant Governmental Authority in accordance with such Applicable Laws, and (C) to the extent that the withholding or deduction is made on account of Indemnified Taxes, the sum payable by the applicable Credit Party,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 xml:space="preserve">, shall be increased as necessary so that after any required withholding or the making of all required deductions (including deductions applicable to additional sums payable under this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the applicable Recipient receives an amount equal to the sum it would have received had no such withholding or deduction been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Payment of Other Taxes by the Credit Parties</w:t>
      </w:r>
      <w:r>
        <w:rPr>
          <w:rFonts w:ascii="Times New Roman;sans-serif" w:hAnsi="Times New Roman;sans-serif"/>
          <w:b w:val="false"/>
          <w:color w:val="000000"/>
          <w:sz w:val="22"/>
        </w:rPr>
        <w:t>. Without limiting the provisions of subsection (a) above, the Credit Parties shall timely pay to the relevant Governmental Authority in accordance with Applicable Law, or at the option of the Administrative Agent timely reimburse it for the payment of, any Other Taxes.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Tax Indemnifications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 xml:space="preserve">, each of the Credit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an Issuing Lender (with a copy to the Administrative Agent), or by the Administrative Agent on its own behalf or on behalf of a Lender or an Issuing Lender, shall be conclusive absent manifest error. Each of the Credit Parties shall also, and does hereby, jointly and severally indemnify the Administrative Agent, and shall make payment in respect thereof within ten (10) days after demand therefor, for any amount which a Lender or an Issuing Lender for any reason fails to pay indefeasibly to the Administrative Agent as required pursuant to </w:t>
      </w:r>
      <w:r>
        <w:rPr>
          <w:rFonts w:ascii="Times New Roman;sans-serif" w:hAnsi="Times New Roman;sans-serif"/>
          <w:b w:val="false"/>
          <w:color w:val="000000"/>
          <w:sz w:val="22"/>
          <w:u w:val="single"/>
        </w:rPr>
        <w:t>Section 4.11(c)(ii)</w:t>
      </w:r>
      <w:r>
        <w:rPr>
          <w:color w:val="000000"/>
        </w:rPr>
        <w:t xml:space="preserve"> </w:t>
      </w:r>
      <w:r>
        <w:rPr>
          <w:rFonts w:ascii="Times New Roman;sans-serif" w:hAnsi="Times New Roman;sans-serif"/>
          <w:b w:val="false"/>
          <w:color w:val="000000"/>
          <w:sz w:val="22"/>
        </w:rPr>
        <w:t>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Each Lender and each Issuing Lender shall, and does hereby, severally indemnify and shall make payment in respect thereof within ten (10) days after demand therefor, (A) the Administrative Agent against any Indemnified Taxes attributable to such Lender or such Issuing Lender (but only to the extent that any Credit Party has not already indemnified the Administrative Agent for such Indemnified Taxes and without limiting the obligation of the Credit Parties to do so), (B) the Administrative Agent and the Credit Parties, as applicable, against any Taxes attributable to such Lender’s failure to comply with the provisions of </w:t>
      </w:r>
      <w:r>
        <w:rPr>
          <w:rFonts w:ascii="Times New Roman;sans-serif" w:hAnsi="Times New Roman;sans-serif"/>
          <w:b w:val="false"/>
          <w:color w:val="000000"/>
          <w:sz w:val="22"/>
          <w:u w:val="single"/>
        </w:rPr>
        <w:t>Section 13.9(d)</w:t>
      </w:r>
      <w:r>
        <w:rPr>
          <w:color w:val="000000"/>
        </w:rPr>
        <w:t xml:space="preserve"> </w:t>
      </w:r>
      <w:r>
        <w:rPr>
          <w:rFonts w:ascii="Times New Roman;sans-serif" w:hAnsi="Times New Roman;sans-serif"/>
          <w:b w:val="false"/>
          <w:color w:val="000000"/>
          <w:sz w:val="22"/>
        </w:rPr>
        <w:t xml:space="preserve">relating to the maintenance of a Participant Register and (C) the Administrative Agent and the Credit Parties, as applicable, against any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302"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Excluded Taxes attributable to such Lender or such Issuing Lender, in each case, that are payable or paid by the Administrative Agent or a Credit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Issuing Lender hereby authorizes the Administrative Agent to set off and apply any and all amounts at any time owing to such Lender or such Issuing Lender, as the case may be, under this Agreement or any other Loan Document against any amount due to the Administrative Agent under this clause (ii).</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As soon as practicable after any payment of Taxes by any Credit Party to a Governmental Authority, as provided in this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the Company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Status of Lenders; Tax Documentation</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2"/>
          <w:u w:val="single"/>
        </w:rPr>
        <w:t>Section 4.11(e)(ii)(A)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(ii)(D)</w:t>
      </w:r>
      <w:r>
        <w:rPr>
          <w:color w:val="000000"/>
        </w:rPr>
        <w:t xml:space="preserve"> </w:t>
      </w:r>
      <w:r>
        <w:rPr>
          <w:rFonts w:ascii="Times New Roman;sans-serif" w:hAnsi="Times New Roman;sans-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Without limiting the generality of the foregoing, in the event that a Borrower is a U.S.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w:t>
      </w:r>
      <w:r>
        <w:rPr>
          <w:rFonts w:ascii="Times New Roman;sans-serif" w:hAnsi="Times New Roman;sans-serif"/>
          <w:b w:val="false"/>
          <w:strike/>
          <w:color w:val="FF0000"/>
          <w:sz w:val="22"/>
        </w:rPr>
        <w:t>-9</w:t>
      </w:r>
      <w:r>
        <w:rPr>
          <w:rFonts w:ascii="Times New Roman;sans-serif" w:hAnsi="Times New Roman;sans-serif"/>
          <w:b w:val="false"/>
          <w:color w:val="0000FF"/>
          <w:sz w:val="22"/>
          <w:u w:val="single"/>
        </w:rPr>
        <w:t>-9</w:t>
      </w:r>
      <w:r>
        <w:rPr>
          <w:color w:val="000000"/>
        </w:rPr>
        <w:t xml:space="preserve"> </w:t>
      </w:r>
      <w:r>
        <w:rPr>
          <w:rFonts w:ascii="Times New Roman;sans-serif" w:hAnsi="Times New Roman;sans-serif"/>
          <w:b w:val="false"/>
          <w:color w:val="000000"/>
          <w:sz w:val="22"/>
        </w:rPr>
        <w:t>certifying that such Lender is exempt from U.S. federal backup withholding tax;</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303"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thereafter upon the reasonable request of the Company or the Administrative Agent), whichever of the following is applicable: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(1)    in the case of a Foreign Lender claiming the benefits of an income tax treaty to which the United States is a party (x) with respect to payments of interest under any Loan Document, executed copies of IRS Form W</w:t>
      </w:r>
      <w:r>
        <w:rPr>
          <w:rFonts w:ascii="Times New Roman;sans-serif" w:hAnsi="Times New Roman;sans-serif"/>
          <w:b w:val="false"/>
          <w:strike/>
          <w:color w:val="FF0000"/>
          <w:sz w:val="22"/>
        </w:rPr>
        <w:t>-8BEN-E</w:t>
      </w:r>
      <w:r>
        <w:rPr>
          <w:rFonts w:ascii="Times New Roman;sans-serif" w:hAnsi="Times New Roman;sans-serif"/>
          <w:b w:val="false"/>
          <w:color w:val="0000FF"/>
          <w:sz w:val="22"/>
          <w:u w:val="single"/>
        </w:rPr>
        <w:t>-8BEN-E</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FF"/>
          <w:sz w:val="22"/>
          <w:u w:val="single"/>
        </w:rPr>
        <w:t xml:space="preserve">Form </w:t>
      </w:r>
      <w:r>
        <w:rPr>
          <w:rFonts w:ascii="Times New Roman;sans-serif" w:hAnsi="Times New Roman;sans-serif"/>
          <w:b w:val="false"/>
          <w:color w:val="000000"/>
          <w:sz w:val="22"/>
        </w:rPr>
        <w:t>W</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8BEN, as applicable) establishing an exemption from, or reduction of, U.S. federal withholding Tax pursuant to the “interest” article of such tax treaty and (y) with respect to any other applicable payments under any Loan Document, IRS Form W</w:t>
      </w:r>
      <w:r>
        <w:rPr>
          <w:rFonts w:ascii="Times New Roman;sans-serif" w:hAnsi="Times New Roman;sans-serif"/>
          <w:b w:val="false"/>
          <w:strike/>
          <w:color w:val="FF0000"/>
          <w:sz w:val="22"/>
        </w:rPr>
        <w:t>-8BEN-E</w:t>
      </w:r>
      <w:r>
        <w:rPr>
          <w:rFonts w:ascii="Times New Roman;sans-serif" w:hAnsi="Times New Roman;sans-serif"/>
          <w:b w:val="false"/>
          <w:color w:val="0000FF"/>
          <w:sz w:val="22"/>
          <w:u w:val="single"/>
        </w:rPr>
        <w:t>-8BEN-E</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FF"/>
          <w:sz w:val="22"/>
          <w:u w:val="single"/>
        </w:rPr>
        <w:t xml:space="preserve">Form </w:t>
      </w:r>
      <w:r>
        <w:rPr>
          <w:rFonts w:ascii="Times New Roman;sans-serif" w:hAnsi="Times New Roman;sans-serif"/>
          <w:b w:val="false"/>
          <w:color w:val="000000"/>
          <w:sz w:val="22"/>
        </w:rPr>
        <w:t>W</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8BEN, as applicable)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(2)    executed originals of IRS Form W</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8ECI;</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(3)    in the case of a Foreign Lender claiming the benefits of the exemption for portfolio interest under Section 881(c) of the Code, (x) a certificate substantially in the form of </w:t>
      </w:r>
      <w:r>
        <w:rPr>
          <w:rFonts w:ascii="Times New Roman;sans-serif" w:hAnsi="Times New Roman;sans-serif"/>
          <w:b/>
          <w:i/>
          <w:color w:val="000000"/>
          <w:sz w:val="22"/>
        </w:rPr>
        <w:t>Exhibit K</w:t>
      </w:r>
      <w:r>
        <w:rPr>
          <w:rFonts w:ascii="Times New Roman;sans-serif" w:hAnsi="Times New Roman;sans-serif"/>
          <w:b/>
          <w:i/>
          <w:strike/>
          <w:color w:val="FF0000"/>
          <w:sz w:val="22"/>
        </w:rPr>
        <w:t>-1</w:t>
      </w:r>
      <w:r>
        <w:rPr>
          <w:rFonts w:ascii="Times New Roman;sans-serif" w:hAnsi="Times New Roman;sans-serif"/>
          <w:b/>
          <w:i/>
          <w:color w:val="0000FF"/>
          <w:sz w:val="22"/>
          <w:u w:val="single"/>
        </w:rPr>
        <w:t>-1</w:t>
      </w:r>
      <w:r>
        <w:rPr>
          <w:color w:val="000000"/>
        </w:rPr>
        <w:t xml:space="preserve"> </w:t>
      </w:r>
      <w:r>
        <w:rPr>
          <w:rFonts w:ascii="Times New Roman;sans-serif" w:hAnsi="Times New Roman;sans-serif"/>
          <w:b w:val="false"/>
          <w:color w:val="000000"/>
          <w:sz w:val="22"/>
        </w:rPr>
        <w:t>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and (y) executed copies of IRS Form W</w:t>
      </w:r>
      <w:r>
        <w:rPr>
          <w:rFonts w:ascii="Times New Roman;sans-serif" w:hAnsi="Times New Roman;sans-serif"/>
          <w:b w:val="false"/>
          <w:strike/>
          <w:color w:val="FF0000"/>
          <w:sz w:val="22"/>
        </w:rPr>
        <w:t>-8BEN-E</w:t>
      </w:r>
      <w:r>
        <w:rPr>
          <w:rFonts w:ascii="Times New Roman;sans-serif" w:hAnsi="Times New Roman;sans-serif"/>
          <w:b w:val="false"/>
          <w:color w:val="0000FF"/>
          <w:sz w:val="22"/>
          <w:u w:val="single"/>
        </w:rPr>
        <w:t>-8BEN-E</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FF"/>
          <w:sz w:val="22"/>
          <w:u w:val="single"/>
        </w:rPr>
        <w:t xml:space="preserve">Form </w:t>
      </w:r>
      <w:r>
        <w:rPr>
          <w:rFonts w:ascii="Times New Roman;sans-serif" w:hAnsi="Times New Roman;sans-serif"/>
          <w:b w:val="false"/>
          <w:color w:val="000000"/>
          <w:sz w:val="22"/>
        </w:rPr>
        <w:t>W</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8BEN, as applicable);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(4)    to the extent a Foreign Lender is not the beneficial owner, executed copies of IRS Form W</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8IMY, accompanied by IRS Form W</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8ECI, IRS Form W</w:t>
      </w:r>
      <w:r>
        <w:rPr>
          <w:rFonts w:ascii="Times New Roman;sans-serif" w:hAnsi="Times New Roman;sans-serif"/>
          <w:b w:val="false"/>
          <w:strike/>
          <w:color w:val="FF0000"/>
          <w:sz w:val="22"/>
        </w:rPr>
        <w:t>-8BEN-E</w:t>
      </w:r>
      <w:r>
        <w:rPr>
          <w:rFonts w:ascii="Times New Roman;sans-serif" w:hAnsi="Times New Roman;sans-serif"/>
          <w:b w:val="false"/>
          <w:color w:val="0000FF"/>
          <w:sz w:val="22"/>
          <w:u w:val="single"/>
        </w:rPr>
        <w:t>-8BEN-E</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FF"/>
          <w:sz w:val="22"/>
          <w:u w:val="single"/>
        </w:rPr>
        <w:t xml:space="preserve">Form </w:t>
      </w:r>
      <w:r>
        <w:rPr>
          <w:rFonts w:ascii="Times New Roman;sans-serif" w:hAnsi="Times New Roman;sans-serif"/>
          <w:b w:val="false"/>
          <w:color w:val="000000"/>
          <w:sz w:val="22"/>
        </w:rPr>
        <w:t>W</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 xml:space="preserve">8BEN, as applicable), a U.S. Tax Compliance Certificate substantially in the form of </w:t>
      </w:r>
      <w:r>
        <w:rPr>
          <w:rFonts w:ascii="Times New Roman;sans-serif" w:hAnsi="Times New Roman;sans-serif"/>
          <w:b/>
          <w:i/>
          <w:color w:val="000000"/>
          <w:sz w:val="22"/>
        </w:rPr>
        <w:t>Exhibit K</w:t>
      </w:r>
      <w:r>
        <w:rPr>
          <w:rFonts w:ascii="Times New Roman;sans-serif" w:hAnsi="Times New Roman;sans-serif"/>
          <w:b/>
          <w:i/>
          <w:strike/>
          <w:color w:val="FF0000"/>
          <w:sz w:val="22"/>
        </w:rPr>
        <w:t>-2</w:t>
      </w:r>
      <w:r>
        <w:rPr>
          <w:rFonts w:ascii="Times New Roman;sans-serif" w:hAnsi="Times New Roman;sans-serif"/>
          <w:b/>
          <w:i/>
          <w:color w:val="0000FF"/>
          <w:sz w:val="22"/>
          <w:u w:val="single"/>
        </w:rPr>
        <w:t>-2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i/>
          <w:color w:val="000000"/>
          <w:sz w:val="22"/>
        </w:rPr>
        <w:t>Exhibit K</w:t>
      </w:r>
      <w:r>
        <w:rPr>
          <w:rFonts w:ascii="Times New Roman;sans-serif" w:hAnsi="Times New Roman;sans-serif"/>
          <w:b/>
          <w:i/>
          <w:strike/>
          <w:color w:val="FF0000"/>
          <w:sz w:val="22"/>
        </w:rPr>
        <w:t>-3</w:t>
      </w:r>
      <w:r>
        <w:rPr>
          <w:rFonts w:ascii="Times New Roman;sans-serif" w:hAnsi="Times New Roman;sans-serif"/>
          <w:b/>
          <w:i/>
          <w:color w:val="0000FF"/>
          <w:sz w:val="22"/>
          <w:u w:val="single"/>
        </w:rPr>
        <w:t>-3</w:t>
      </w:r>
      <w:r>
        <w:rPr>
          <w:rFonts w:ascii="Times New Roman;sans-serif" w:hAnsi="Times New Roman;sans-serif"/>
          <w:b w:val="false"/>
          <w:color w:val="000000"/>
          <w:sz w:val="22"/>
        </w:rPr>
        <w:t>, IRS Form W</w:t>
      </w:r>
      <w:r>
        <w:rPr>
          <w:rFonts w:ascii="Times New Roman;sans-serif" w:hAnsi="Times New Roman;sans-serif"/>
          <w:b w:val="false"/>
          <w:strike/>
          <w:color w:val="FF0000"/>
          <w:sz w:val="22"/>
        </w:rPr>
        <w:t>-9</w:t>
      </w:r>
      <w:r>
        <w:rPr>
          <w:rFonts w:ascii="Times New Roman;sans-serif" w:hAnsi="Times New Roman;sans-serif"/>
          <w:b w:val="false"/>
          <w:color w:val="0000FF"/>
          <w:sz w:val="22"/>
          <w:u w:val="single"/>
        </w:rPr>
        <w:t>-9</w:t>
      </w:r>
      <w:r>
        <w:rPr>
          <w:rFonts w:ascii="Times New Roman;sans-serif" w:hAnsi="Times New Roman;sans-serif"/>
          <w:b w:val="false"/>
          <w:color w:val="000000"/>
          <w:sz w:val="22"/>
        </w:rPr>
        <w:t xml:space="preserve">,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i/>
          <w:color w:val="000000"/>
          <w:sz w:val="22"/>
        </w:rPr>
        <w:t>Exhibit K</w:t>
      </w:r>
      <w:r>
        <w:rPr>
          <w:rFonts w:ascii="Times New Roman;sans-serif" w:hAnsi="Times New Roman;sans-serif"/>
          <w:b/>
          <w:i/>
          <w:strike/>
          <w:color w:val="FF0000"/>
          <w:sz w:val="22"/>
        </w:rPr>
        <w:t>-4</w:t>
      </w:r>
      <w:r>
        <w:rPr>
          <w:rFonts w:ascii="Times New Roman;sans-serif" w:hAnsi="Times New Roman;sans-serif"/>
          <w:b/>
          <w:i/>
          <w:color w:val="0000FF"/>
          <w:sz w:val="22"/>
          <w:u w:val="single"/>
        </w:rPr>
        <w:t>-4</w:t>
      </w:r>
      <w:r>
        <w:rPr>
          <w:color w:val="000000"/>
        </w:rPr>
        <w:t xml:space="preserve"> </w:t>
      </w:r>
      <w:r>
        <w:rPr>
          <w:rFonts w:ascii="Times New Roman;sans-serif" w:hAnsi="Times New Roman;sans-serif"/>
          <w:b w:val="false"/>
          <w:color w:val="000000"/>
          <w:sz w:val="22"/>
        </w:rPr>
        <w:t>on behalf of each such direct and indirect partner;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304"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Applicable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Each Lender agrees that if any form or certification it previously delivered pursuant to this </w:t>
      </w:r>
      <w:r>
        <w:rPr>
          <w:rFonts w:ascii="Times New Roman;sans-serif" w:hAnsi="Times New Roman;sans-serif"/>
          <w:b w:val="false"/>
          <w:color w:val="000000"/>
          <w:sz w:val="22"/>
          <w:u w:val="single"/>
        </w:rPr>
        <w:t>Section 4.11</w:t>
      </w:r>
      <w:r>
        <w:rPr>
          <w:color w:val="000000"/>
        </w:rPr>
        <w:t xml:space="preserve"> </w:t>
      </w:r>
      <w:r>
        <w:rPr>
          <w:rFonts w:ascii="Times New Roman;sans-serif" w:hAnsi="Times New Roman;sans-serif"/>
          <w:b w:val="false"/>
          <w:color w:val="000000"/>
          <w:sz w:val="22"/>
        </w:rPr>
        <w:t>expires or becomes obsolete or inaccurate in any respect, it shall update such form or certification or promptly notify the Company and the Administrative Agent in writing of its legal inability to do so.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xml:space="preserve">. Unless required by Applicable Laws, at no time shall the Administrative Agent have any obligation to file for or otherwise pursue on behalf of a Lender or an Issuing Lender, or have any obligation to pay to any Lender or any Issuing Lender, any refund of Taxes withheld or deducted from funds paid for the account of such Lender or such Issuing Lender, as the case may be. If any Recipient determines, in its sole discretion exercised in good faith, that it has received a refund of any Taxes as to which it has been indemnified by any Credit Party or with respect to which any Credit Party has paid additional amounts pursuant to this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xml:space="preserve">, it shall pay to such Credit Party an amount equal to such refund (but only to the extent of indemnity payments made, or additional amounts paid, by such Credit Party under this </w:t>
      </w:r>
      <w:r>
        <w:rPr>
          <w:rFonts w:ascii="Times New Roman;sans-serif" w:hAnsi="Times New Roman;sans-serif"/>
          <w:b w:val="false"/>
          <w:color w:val="000000"/>
          <w:sz w:val="22"/>
          <w:u w:val="single"/>
        </w:rPr>
        <w:t>Section 4.11</w:t>
      </w:r>
      <w:r>
        <w:rPr>
          <w:color w:val="000000"/>
        </w:rPr>
        <w:t xml:space="preserve"> </w:t>
      </w:r>
      <w:r>
        <w:rPr>
          <w:rFonts w:ascii="Times New Roman;sans-serif" w:hAnsi="Times New Roman;sans-serif"/>
          <w:b w:val="false"/>
          <w:color w:val="000000"/>
          <w:sz w:val="22"/>
        </w:rPr>
        <w:t xml:space="preserve">with respect to the Taxes giving rise to such refund), net of all </w:t>
      </w:r>
      <w:r>
        <w:rPr>
          <w:rFonts w:ascii="Times New Roman;sans-serif" w:hAnsi="Times New Roman;sans-serif"/>
          <w:b w:val="false"/>
          <w:strike/>
          <w:color w:val="FF0000"/>
          <w:sz w:val="22"/>
        </w:rPr>
        <w:t>out-of-pocket</w:t>
      </w:r>
      <w:r>
        <w:rPr>
          <w:rFonts w:ascii="Times New Roman;sans-serif" w:hAnsi="Times New Roman;sans-serif"/>
          <w:b w:val="false"/>
          <w:color w:val="0000FF"/>
          <w:sz w:val="22"/>
          <w:u w:val="single"/>
        </w:rPr>
        <w:t>out-of-pocket</w:t>
      </w:r>
      <w:r>
        <w:rPr>
          <w:color w:val="000000"/>
        </w:rPr>
        <w:t xml:space="preserve"> </w:t>
      </w:r>
      <w:r>
        <w:rPr>
          <w:rFonts w:ascii="Times New Roman;sans-serif" w:hAnsi="Times New Roman;sans-serif"/>
          <w:b w:val="false"/>
          <w:color w:val="000000"/>
          <w:sz w:val="22"/>
        </w:rPr>
        <w:t xml:space="preserve">expenses (including Taxes) incurred by such Recipient, as the case may be,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Credit Party, upon the request of the Recipient, agrees to repay the amount paid over to such Credit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Credit Party pursuant to this subsection the payment of which would place the Recipient in a less favorable net </w:t>
      </w:r>
      <w:r>
        <w:rPr>
          <w:rFonts w:ascii="Times New Roman;sans-serif" w:hAnsi="Times New Roman;sans-serif"/>
          <w:b w:val="false"/>
          <w:strike/>
          <w:color w:val="FF0000"/>
          <w:sz w:val="22"/>
        </w:rPr>
        <w:t>after-Tax</w:t>
      </w:r>
      <w:r>
        <w:rPr>
          <w:rFonts w:ascii="Times New Roman;sans-serif" w:hAnsi="Times New Roman;sans-serif"/>
          <w:b w:val="false"/>
          <w:color w:val="0000FF"/>
          <w:sz w:val="22"/>
          <w:u w:val="single"/>
        </w:rPr>
        <w:t>after-Tax</w:t>
      </w:r>
      <w:r>
        <w:rPr>
          <w:color w:val="000000"/>
        </w:rPr>
        <w:t xml:space="preserve"> </w:t>
      </w:r>
      <w:r>
        <w:rPr>
          <w:rFonts w:ascii="Times New Roman;sans-serif" w:hAnsi="Times New Roman;sans-serif"/>
          <w:b w:val="false"/>
          <w:color w:val="000000"/>
          <w:sz w:val="22"/>
        </w:rPr>
        <w:t>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Credit Party or any other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Each party’s obligations under this </w:t>
      </w:r>
      <w:r>
        <w:rPr>
          <w:rFonts w:ascii="Times New Roman;sans-serif" w:hAnsi="Times New Roman;sans-serif"/>
          <w:b w:val="false"/>
          <w:color w:val="000000"/>
          <w:sz w:val="22"/>
          <w:u w:val="single"/>
        </w:rPr>
        <w:t>Section 4.11</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or an Issuing Lender, the termination of the Commitments and the repayment, satisfaction or discharge of all other Obligations.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305"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Defined Term</w:t>
      </w:r>
      <w:r>
        <w:rPr>
          <w:rFonts w:ascii="Times New Roman;sans-serif" w:hAnsi="Times New Roman;sans-serif"/>
          <w:b w:val="false"/>
          <w:color w:val="000000"/>
          <w:sz w:val="22"/>
        </w:rPr>
        <w:t xml:space="preserve">. For purposes of this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the term “Applicable Law” includes FATCA.</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4.12    </w:t>
      </w:r>
      <w:r>
        <w:rPr>
          <w:rFonts w:ascii="Times New Roman;sans-serif" w:hAnsi="Times New Roman;sans-serif"/>
          <w:b/>
          <w:color w:val="000000"/>
          <w:sz w:val="22"/>
          <w:u w:val="single"/>
        </w:rPr>
        <w:t>Mitigation Obligations; Replacement of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Designation of a Different Lending Office</w:t>
      </w:r>
      <w:r>
        <w:rPr>
          <w:rFonts w:ascii="Times New Roman;sans-serif" w:hAnsi="Times New Roman;sans-serif"/>
          <w:b w:val="false"/>
          <w:color w:val="000000"/>
          <w:sz w:val="22"/>
        </w:rPr>
        <w:t>. If any Lender requests compensation</w:t>
        <w:br/>
        <w:t xml:space="preserve">under </w:t>
      </w:r>
      <w:r>
        <w:rPr>
          <w:rFonts w:ascii="Times New Roman;sans-serif" w:hAnsi="Times New Roman;sans-serif"/>
          <w:b w:val="false"/>
          <w:color w:val="000000"/>
          <w:sz w:val="22"/>
          <w:u w:val="single"/>
        </w:rPr>
        <w:t>Section 4.10,</w:t>
      </w:r>
      <w:r>
        <w:rPr>
          <w:color w:val="000000"/>
        </w:rPr>
        <w:t xml:space="preserve"> </w:t>
      </w:r>
      <w:r>
        <w:rPr>
          <w:rFonts w:ascii="Times New Roman;sans-serif" w:hAnsi="Times New Roman;sans-serif"/>
          <w:b w:val="false"/>
          <w:color w:val="000000"/>
          <w:sz w:val="22"/>
        </w:rPr>
        <w:t xml:space="preserve">or requires any Borrower to pay any Indemnified Taxes or additional amounts to any Lender or any Governmental Authority for the account of any Lender pursuant to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sans-serif" w:hAnsi="Times New Roman;sans-serif"/>
          <w:b w:val="false"/>
          <w:color w:val="000000"/>
          <w:sz w:val="22"/>
          <w:u w:val="single"/>
        </w:rPr>
        <w:t>Section 4.10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as the case may be, in the future and (ii) would not subject such Lender to any unreimbursed cost or expense and would not otherwise be disadvantageous to such Lender. The Company hereby agrees to pay (or to cause the applicable Subsidiary Borrower to pay) all reasonable costs and expenses incurred by any Lender in connection with any such designation or assignment.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Replacement of Lenders</w:t>
      </w:r>
      <w:r>
        <w:rPr>
          <w:rFonts w:ascii="Times New Roman;sans-serif" w:hAnsi="Times New Roman;sans-serif"/>
          <w:b w:val="false"/>
          <w:color w:val="000000"/>
          <w:sz w:val="22"/>
        </w:rPr>
        <w:t xml:space="preserve">. If any Lender requests compensation under </w:t>
      </w:r>
      <w:r>
        <w:rPr>
          <w:rFonts w:ascii="Times New Roman;sans-serif" w:hAnsi="Times New Roman;sans-serif"/>
          <w:b w:val="false"/>
          <w:color w:val="000000"/>
          <w:sz w:val="22"/>
          <w:u w:val="single"/>
        </w:rPr>
        <w:t>Section 4.10</w:t>
      </w:r>
      <w:r>
        <w:rPr>
          <w:rFonts w:ascii="Times New Roman;sans-serif" w:hAnsi="Times New Roman;sans-serif"/>
          <w:b w:val="false"/>
          <w:color w:val="000000"/>
          <w:sz w:val="22"/>
        </w:rPr>
        <w:t xml:space="preserve">, or if any Borrower is required to pay any Indemnified Taxes or additional amount to any Lender or any Governmental Authority for the account of any Lender pursuant to </w:t>
      </w:r>
      <w:r>
        <w:rPr>
          <w:rFonts w:ascii="Times New Roman;sans-serif" w:hAnsi="Times New Roman;sans-serif"/>
          <w:b w:val="false"/>
          <w:color w:val="000000"/>
          <w:sz w:val="22"/>
          <w:u w:val="single"/>
        </w:rPr>
        <w:t>Section 4.11</w:t>
      </w:r>
      <w:r>
        <w:rPr>
          <w:color w:val="000000"/>
        </w:rPr>
        <w:t xml:space="preserve"> </w:t>
      </w:r>
      <w:r>
        <w:rPr>
          <w:rFonts w:ascii="Times New Roman;sans-serif" w:hAnsi="Times New Roman;sans-serif"/>
          <w:b w:val="false"/>
          <w:color w:val="000000"/>
          <w:sz w:val="22"/>
        </w:rPr>
        <w:t xml:space="preserve">and, in each case, such Lender has declined or is unable to designate a different lending office in accordance with clause (a) above, or if any Lender is a 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ans-serif" w:hAnsi="Times New Roman;sans-serif"/>
          <w:b w:val="false"/>
          <w:color w:val="000000"/>
          <w:sz w:val="22"/>
          <w:u w:val="single"/>
        </w:rPr>
        <w:t>Section 13.9</w:t>
      </w:r>
      <w:r>
        <w:rPr>
          <w:rFonts w:ascii="Times New Roman;sans-serif" w:hAnsi="Times New Roman;sans-serif"/>
          <w:b w:val="false"/>
          <w:color w:val="000000"/>
          <w:sz w:val="22"/>
        </w:rPr>
        <w:t xml:space="preserve">), all of its interests, rights (other than its existing rights to payments pursuant to </w:t>
      </w:r>
      <w:r>
        <w:rPr>
          <w:rFonts w:ascii="Times New Roman;sans-serif" w:hAnsi="Times New Roman;sans-serif"/>
          <w:b w:val="false"/>
          <w:color w:val="000000"/>
          <w:sz w:val="22"/>
          <w:u w:val="single"/>
        </w:rPr>
        <w:t>Sections 4.10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4.11</w:t>
      </w:r>
      <w:r>
        <w:rPr>
          <w:rFonts w:ascii="Times New Roman;sans-serif" w:hAnsi="Times New Roman;sans-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the Company shall have paid (or caused a Subsidiary Borrower to pay) to the Administrative Agent the assignment fee (if any) specified in </w:t>
      </w:r>
      <w:r>
        <w:rPr>
          <w:rFonts w:ascii="Times New Roman;sans-serif" w:hAnsi="Times New Roman;sans-serif"/>
          <w:b w:val="false"/>
          <w:color w:val="000000"/>
          <w:sz w:val="22"/>
          <w:u w:val="single"/>
        </w:rPr>
        <w:t>Section 13.9(b)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sans-serif" w:hAnsi="Times New Roman;sans-serif"/>
          <w:b w:val="false"/>
          <w:color w:val="000000"/>
          <w:sz w:val="22"/>
          <w:u w:val="single"/>
        </w:rPr>
        <w:t>Section 4.9</w:t>
      </w:r>
      <w:r>
        <w:rPr>
          <w:rFonts w:ascii="Times New Roman;sans-serif" w:hAnsi="Times New Roman;sans-serif"/>
          <w:b w:val="false"/>
          <w:color w:val="000000"/>
          <w:sz w:val="22"/>
        </w:rPr>
        <w:t>) from the assignee (to the extent of such outstanding principal and accrued interest and fees) or the Company or applicable Subsidiary Borrower</w:t>
      </w:r>
      <w:r>
        <w:rPr>
          <w:color w:val="000000"/>
        </w:rPr>
        <w:t xml:space="preserve"> </w:t>
      </w:r>
      <w:r>
        <w:rPr>
          <w:rFonts w:ascii="Times New Roman;sans-serif" w:hAnsi="Times New Roman;sans-serif"/>
          <w:b w:val="false"/>
          <w:color w:val="000000"/>
          <w:sz w:val="22"/>
        </w:rPr>
        <w:t>(in the case of all other amounts);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in the case of any such assignment resulting from a claim for compensation under </w:t>
      </w:r>
      <w:r>
        <w:rPr>
          <w:rFonts w:ascii="Times New Roman;sans-serif" w:hAnsi="Times New Roman;sans-serif"/>
          <w:b w:val="false"/>
          <w:color w:val="000000"/>
          <w:sz w:val="22"/>
          <w:u w:val="single"/>
        </w:rPr>
        <w:t>Section 4.10</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such assignment will result in a reduction in such compensation or payments thereafter;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(iv)    such assignment does not conflict with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Laws;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    in the case of an assignment resulting from a Lender becoming a </w:t>
      </w:r>
      <w:r>
        <w:rPr>
          <w:rFonts w:ascii="Times New Roman;sans-serif" w:hAnsi="Times New Roman;sans-serif"/>
          <w:b w:val="false"/>
          <w:strike/>
          <w:color w:val="FF0000"/>
          <w:sz w:val="22"/>
        </w:rPr>
        <w:t>Non-Consenting</w:t>
      </w:r>
      <w:r>
        <w:rPr>
          <w:rFonts w:ascii="Times New Roman;sans-serif" w:hAnsi="Times New Roman;sans-serif"/>
          <w:b w:val="false"/>
          <w:color w:val="0000FF"/>
          <w:sz w:val="22"/>
          <w:u w:val="single"/>
        </w:rPr>
        <w:t>Non-Consenting</w:t>
      </w:r>
      <w:r>
        <w:rPr>
          <w:color w:val="000000"/>
        </w:rPr>
        <w:t xml:space="preserve"> </w:t>
      </w:r>
      <w:r>
        <w:rPr>
          <w:rFonts w:ascii="Times New Roman;sans-serif" w:hAnsi="Times New Roman;sans-serif"/>
          <w:b w:val="false"/>
          <w:color w:val="000000"/>
          <w:sz w:val="22"/>
        </w:rPr>
        <w:t>Lender, the applicable assignee shall have consented to the applicable amendment, waiver or consent.</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306"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307"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Lender shall not be required to make any such assignment or delegation if, prior thereto, as a result of a waiver by such Lender or otherwise, the circumstances entitling the Company to require such assignment and delegation cease to apply.</w:t>
      </w:r>
    </w:p>
    <w:p>
      <w:pPr>
        <w:pStyle w:val="TextBody"/>
        <w:bidi w:val="0"/>
        <w:spacing w:lineRule="auto" w:line="288" w:before="0" w:after="240"/>
        <w:ind w:left="0" w:right="0" w:firstLine="72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Each party hereto agrees that (a) an assignment required pursuant to this Section 4.12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pStyle w:val="TextBody"/>
        <w:bidi w:val="0"/>
        <w:spacing w:lineRule="auto" w:line="288" w:before="0" w:after="240"/>
        <w:ind w:left="0" w:right="0" w:firstLine="72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Notwithstanding anything in this Section 4.12 to the contrary, (i) any Lender that acts as an Issuing Lender may not be replaced hereunder at any time it has any Letter of Credit outstanding hereunder unless arrangements reasonably satisfactory to such Lender (including the furnishing of a backstop standby letter of credit in form and substance, and issued by an issuer, reasonably satisfactory to such Issuing Lender or the depositing of cash collateral into a cash collateral account in amounts and pursuant to arrangements reasonably satisfactory to such Issuing Lender) have been made with respect to such outstanding Letter of Credit and (ii) the Lender that acts as the Administrative Agent may not be replaced hereunder except in accordance with the terms of Section 12.6.</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4.13    </w:t>
      </w:r>
      <w:r>
        <w:rPr>
          <w:rFonts w:ascii="Times New Roman;sans-serif" w:hAnsi="Times New Roman;sans-serif"/>
          <w:b/>
          <w:color w:val="000000"/>
          <w:sz w:val="22"/>
          <w:u w:val="single"/>
        </w:rPr>
        <w:t>Cash Collateral.</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Cash Collateral</w:t>
      </w:r>
      <w:r>
        <w:rPr>
          <w:rFonts w:ascii="Times New Roman;sans-serif" w:hAnsi="Times New Roman;sans-serif"/>
          <w:b w:val="false"/>
          <w:color w:val="000000"/>
          <w:sz w:val="22"/>
        </w:rPr>
        <w:t xml:space="preserve">. At any time that there shall exist a Defaulting Lender, within one (1) Business Day following the written request of the Administrative Agent, any Issuing Lender (with a copy to the Administrative Agent) or the Swingline Lender (with a copy to the Administrative Agent), the Company shall (or shall cause the applicable Subsidiary Borrower to) Cash Collateralize all Fronting Exposure of the Issuing Lenders and the Swingline Lender with respect to such Defaulting Lender (determined after giving effect to </w:t>
      </w:r>
      <w:r>
        <w:rPr>
          <w:rFonts w:ascii="Times New Roman;sans-serif" w:hAnsi="Times New Roman;sans-serif"/>
          <w:b w:val="false"/>
          <w:color w:val="000000"/>
          <w:sz w:val="22"/>
          <w:u w:val="single"/>
        </w:rPr>
        <w:t>Section 4.14(b)</w:t>
      </w:r>
      <w:r>
        <w:rPr>
          <w:color w:val="000000"/>
        </w:rPr>
        <w:t xml:space="preserve"> </w:t>
      </w:r>
      <w:r>
        <w:rPr>
          <w:rFonts w:ascii="Times New Roman;sans-serif" w:hAnsi="Times New Roman;sans-serif"/>
          <w:b w:val="false"/>
          <w:color w:val="000000"/>
          <w:sz w:val="22"/>
        </w:rPr>
        <w:t>and any Cash Collateral provided by the Defaulting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Each Borrower, and to the extent provided by any Defaulting Lender, such Defaulting Lender, hereby grants to the Administrative Agent, for the benefit of the Administrative Agent, the Issuing Lenders and the Lenders (including the Swingline Lender), and agrees to maintain, a first priority security interest in all such Cash Collateral as security for the Defaulting Lenders’ obligations to which such Cash Collateral may be applied pursuant to clause (c) below. If at any time the Administrative Agent, an Issuing Lender, or Swingline Lender determines that Cash Collateral is subject to any right or claim of any Person other than the Administrative Agent as herein provided, or that the total amount of such Cash Collateral is less than the applicable Fronting Exposure, the Company will, promptly upon demand by the Administrative Agent, any Issuing Lender, or Swingline Lender pay or provide (or cause the applicable Subsidiary Borrower to pay or provide) to the Administrative Agent additional Cash Collateral in an amount sufficient to eliminate such deficiency (after giving effect to any Cash Collateral provided by the Defaulting Lender).</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308"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Application</w:t>
      </w:r>
      <w:r>
        <w:rPr>
          <w:rFonts w:ascii="Times New Roman;sans-serif" w:hAnsi="Times New Roman;sans-serif"/>
          <w:b w:val="false"/>
          <w:color w:val="000000"/>
          <w:sz w:val="22"/>
        </w:rPr>
        <w:t xml:space="preserve">. Notwithstanding anything to the contrary contained in this Agreement, Cash Collateral provided under any of this Section or </w:t>
      </w:r>
      <w:r>
        <w:rPr>
          <w:rFonts w:ascii="Times New Roman;sans-serif" w:hAnsi="Times New Roman;sans-serif"/>
          <w:b w:val="false"/>
          <w:color w:val="000000"/>
          <w:sz w:val="22"/>
          <w:u w:val="single"/>
        </w:rPr>
        <w:t>Section 4.14</w:t>
      </w:r>
      <w:r>
        <w:rPr>
          <w:color w:val="000000"/>
        </w:rPr>
        <w:t xml:space="preserve"> </w:t>
      </w:r>
      <w:r>
        <w:rPr>
          <w:rFonts w:ascii="Times New Roman;sans-serif" w:hAnsi="Times New Roman;sans-serif"/>
          <w:b w:val="false"/>
          <w:color w:val="000000"/>
          <w:sz w:val="22"/>
        </w:rPr>
        <w:t>in respect of Letters of Credit, or Swingline Loans, shall be held and applied to the satisfaction of the specific L/C Obligations, Swingline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Termination of Requirement</w:t>
      </w:r>
      <w:r>
        <w:rPr>
          <w:rFonts w:ascii="Times New Roman;sans-serif" w:hAnsi="Times New Roman;sans-serif"/>
          <w:b w:val="false"/>
          <w:color w:val="000000"/>
          <w:sz w:val="22"/>
        </w:rPr>
        <w:t xml:space="preserve">. Cash Collateral (or the appropriate portion thereof) provided to reduce Fronting Exposure or other obligations shall no longer be required to be held as Cash Collateral pursuant to this </w:t>
      </w:r>
      <w:r>
        <w:rPr>
          <w:rFonts w:ascii="Times New Roman;sans-serif" w:hAnsi="Times New Roman;sans-serif"/>
          <w:b w:val="false"/>
          <w:color w:val="000000"/>
          <w:sz w:val="22"/>
          <w:u w:val="single"/>
        </w:rPr>
        <w:t>Section 4.13</w:t>
      </w:r>
      <w:r>
        <w:rPr>
          <w:color w:val="000000"/>
        </w:rPr>
        <w:t xml:space="preserve"> </w:t>
      </w:r>
      <w:r>
        <w:rPr>
          <w:rFonts w:ascii="Times New Roman;sans-serif" w:hAnsi="Times New Roman;sans-serif"/>
          <w:b w:val="false"/>
          <w:color w:val="000000"/>
          <w:sz w:val="22"/>
        </w:rPr>
        <w:t xml:space="preserve">following (i) the elimination of the applicable Fronting Exposure or other obligations giving rise thereto (including by the termination of Defaulting Lender status of the applicable Lender), or (ii) the determination by the Administrative Agent, each Issuing Lender, and the Swingline Lender that there exists excess Cash Collateral;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subject to </w:t>
      </w:r>
      <w:r>
        <w:rPr>
          <w:rFonts w:ascii="Times New Roman;sans-serif" w:hAnsi="Times New Roman;sans-serif"/>
          <w:b w:val="false"/>
          <w:color w:val="000000"/>
          <w:sz w:val="22"/>
          <w:u w:val="single"/>
        </w:rPr>
        <w:t>Section 4.14</w:t>
      </w:r>
      <w:r>
        <w:rPr>
          <w:rFonts w:ascii="Times New Roman;sans-serif" w:hAnsi="Times New Roman;sans-serif"/>
          <w:b w:val="false"/>
          <w:color w:val="000000"/>
          <w:sz w:val="22"/>
        </w:rPr>
        <w:t>, the Person providing Cash Collateral and each applicable Issuing Lender, and the Swingline Lender may agree that Cash Collateral shall be held to support future anticipated Fronting Exposure or other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4.14    </w:t>
      </w:r>
      <w:r>
        <w:rPr>
          <w:rFonts w:ascii="Times New Roman;sans-serif" w:hAnsi="Times New Roman;sans-serif"/>
          <w:b/>
          <w:color w:val="000000"/>
          <w:sz w:val="22"/>
          <w:u w:val="single"/>
        </w:rPr>
        <w:t>Defaulting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Defaulting Lender 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xml:space="preserve">. Such Defaulting Lender’s right to approve or disapprove any amendment, waiver or consent with respect to this Agreement shall be restricted as set forth in the definition of Required Lenders and </w:t>
      </w:r>
      <w:r>
        <w:rPr>
          <w:rFonts w:ascii="Times New Roman;sans-serif" w:hAnsi="Times New Roman;sans-serif"/>
          <w:b w:val="false"/>
          <w:color w:val="000000"/>
          <w:sz w:val="22"/>
          <w:u w:val="single"/>
        </w:rPr>
        <w:t>Section 13.2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Defaulting Lender Waterfall</w:t>
      </w:r>
      <w:r>
        <w:rPr>
          <w:rFonts w:ascii="Times New Roman;sans-serif" w:hAnsi="Times New Roman;sans-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ans-serif" w:hAnsi="Times New Roman;sans-serif"/>
          <w:b w:val="false"/>
          <w:color w:val="000000"/>
          <w:sz w:val="22"/>
          <w:u w:val="single"/>
        </w:rPr>
        <w:t>Article XI</w:t>
      </w:r>
      <w:r>
        <w:rPr>
          <w:color w:val="000000"/>
        </w:rPr>
        <w:t xml:space="preserve"> </w:t>
      </w:r>
      <w:r>
        <w:rPr>
          <w:rFonts w:ascii="Times New Roman;sans-serif" w:hAnsi="Times New Roman;sans-serif"/>
          <w:b w:val="false"/>
          <w:color w:val="000000"/>
          <w:sz w:val="22"/>
        </w:rPr>
        <w:t xml:space="preserve">or otherwise) or received by the Administrative Agent from a Defaulting Lender pursuant to </w:t>
      </w:r>
      <w:r>
        <w:rPr>
          <w:rFonts w:ascii="Times New Roman;sans-serif" w:hAnsi="Times New Roman;sans-serif"/>
          <w:b w:val="false"/>
          <w:color w:val="000000"/>
          <w:sz w:val="22"/>
          <w:u w:val="single"/>
        </w:rPr>
        <w:t>Section 13.5</w:t>
      </w:r>
      <w:r>
        <w:rPr>
          <w:color w:val="000000"/>
        </w:rPr>
        <w:t xml:space="preserve"> </w:t>
      </w:r>
      <w:r>
        <w:rPr>
          <w:rFonts w:ascii="Times New Roman;sans-serif" w:hAnsi="Times New Roman;sans-serif"/>
          <w:b w:val="false"/>
          <w:color w:val="000000"/>
          <w:sz w:val="22"/>
        </w:rPr>
        <w:t xml:space="preserve">shall be applied at such time or times as may be determined by the Administrative Agent as follows: </w:t>
      </w: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i/>
          <w:color w:val="000000"/>
          <w:sz w:val="22"/>
        </w:rPr>
        <w:t>second</w:t>
      </w:r>
      <w:r>
        <w:rPr>
          <w:rFonts w:ascii="Times New Roman;sans-serif" w:hAnsi="Times New Roman;sans-serif"/>
          <w:b w:val="false"/>
          <w:color w:val="000000"/>
          <w:sz w:val="22"/>
        </w:rPr>
        <w:t xml:space="preserve">, to the payment on a pro rata basis of any amounts owing by such Defaulting Lender to any Issuing Lender, or the Swingline Lender hereunder; </w:t>
      </w:r>
      <w:r>
        <w:rPr>
          <w:rFonts w:ascii="Times New Roman;sans-serif" w:hAnsi="Times New Roman;sans-serif"/>
          <w:b w:val="false"/>
          <w:i/>
          <w:color w:val="000000"/>
          <w:sz w:val="22"/>
        </w:rPr>
        <w:t>third</w:t>
      </w:r>
      <w:r>
        <w:rPr>
          <w:rFonts w:ascii="Times New Roman;sans-serif" w:hAnsi="Times New Roman;sans-serif"/>
          <w:b w:val="false"/>
          <w:color w:val="000000"/>
          <w:sz w:val="22"/>
        </w:rPr>
        <w:t xml:space="preserve">, to Cash Collateralize each Issuing Lender’s or Swingline Lender’s Fronting Exposure with respect to such Defaulting Lender in accordance with </w:t>
      </w:r>
      <w:r>
        <w:rPr>
          <w:rFonts w:ascii="Times New Roman;sans-serif" w:hAnsi="Times New Roman;sans-serif"/>
          <w:b w:val="false"/>
          <w:color w:val="000000"/>
          <w:sz w:val="22"/>
          <w:u w:val="single"/>
        </w:rPr>
        <w:t>Section 4.13</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i/>
          <w:color w:val="000000"/>
          <w:sz w:val="22"/>
        </w:rPr>
        <w:t>fourth</w:t>
      </w:r>
      <w:r>
        <w:rPr>
          <w:rFonts w:ascii="Times New Roman;sans-serif" w:hAnsi="Times New Roman;sans-serif"/>
          <w:b w:val="false"/>
          <w:color w:val="000000"/>
          <w:sz w:val="22"/>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i/>
          <w:color w:val="000000"/>
          <w:sz w:val="22"/>
        </w:rPr>
        <w:t>fifth</w:t>
      </w:r>
      <w:r>
        <w:rPr>
          <w:rFonts w:ascii="Times New Roman;sans-serif" w:hAnsi="Times New Roman;sans-serif"/>
          <w:b w:val="false"/>
          <w:color w:val="000000"/>
          <w:sz w:val="22"/>
        </w:rPr>
        <w:t xml:space="preserve">, if so determined by the Administrative Agent and the Company, to be held in a non-interest bearing deposit account and released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rata</w:t>
      </w:r>
      <w:r>
        <w:rPr>
          <w:color w:val="000000"/>
        </w:rPr>
        <w:t xml:space="preserve"> </w:t>
      </w:r>
      <w:r>
        <w:rPr>
          <w:rFonts w:ascii="Times New Roman;sans-serif" w:hAnsi="Times New Roman;sans-serif"/>
          <w:b w:val="false"/>
          <w:color w:val="000000"/>
          <w:sz w:val="22"/>
        </w:rPr>
        <w:t xml:space="preserve">in order to (x) satisfy such Defaulting Lender’s potential future funding obligations with respect to Loans under this Agreement and (y) Cash Collateralize each Issuing Lender’s, and the Swingline Lender’s future Fronting Exposure with respect to such Defaulting Lender in accordance with </w:t>
      </w:r>
      <w:r>
        <w:rPr>
          <w:rFonts w:ascii="Times New Roman;sans-serif" w:hAnsi="Times New Roman;sans-serif"/>
          <w:b w:val="false"/>
          <w:color w:val="000000"/>
          <w:sz w:val="22"/>
          <w:u w:val="single"/>
        </w:rPr>
        <w:t>Section 4.13</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i/>
          <w:color w:val="000000"/>
          <w:sz w:val="22"/>
        </w:rPr>
        <w:t>sixth</w:t>
      </w:r>
      <w:r>
        <w:rPr>
          <w:rFonts w:ascii="Times New Roman;sans-serif" w:hAnsi="Times New Roman;sans-serif"/>
          <w:b w:val="false"/>
          <w:color w:val="000000"/>
          <w:sz w:val="22"/>
        </w:rPr>
        <w:t xml:space="preserve">, to the payment of any amounts owing to the Lenders, the Issuing Lenders, or the Swingline Lender as a result of any judgment of a court of competent jurisdiction obtained by any Lender, the Issuing Lenders, the Swingline Lender against such Defaulting Lender as a result of such Defaulting Lender’s breach of its obligations under this Agreement; </w:t>
      </w:r>
      <w:r>
        <w:rPr>
          <w:rFonts w:ascii="Times New Roman;sans-serif" w:hAnsi="Times New Roman;sans-serif"/>
          <w:b w:val="false"/>
          <w:i/>
          <w:color w:val="000000"/>
          <w:sz w:val="22"/>
        </w:rPr>
        <w:t>seventh</w:t>
      </w:r>
      <w:r>
        <w:rPr>
          <w:rFonts w:ascii="Times New Roman;sans-serif" w:hAnsi="Times New Roman;sans-serif"/>
          <w:b w:val="false"/>
          <w:color w:val="000000"/>
          <w:sz w:val="22"/>
        </w:rPr>
        <w:t xml:space="preserve">, so long as no Default or Event of Default exists,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309"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payment of any amounts owing to the Borrowers as a result of any judgment of a court of competent jurisdiction obtained by any Borrower against such Defaulting Lender as a result of such Defaulting Lender’s breach of its obligations under this Agreement; and </w:t>
      </w:r>
      <w:r>
        <w:rPr>
          <w:rFonts w:ascii="Times New Roman;sans-serif" w:hAnsi="Times New Roman;sans-serif"/>
          <w:b w:val="false"/>
          <w:i/>
          <w:color w:val="000000"/>
          <w:sz w:val="22"/>
        </w:rPr>
        <w:t>eighth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 such payment is a payment of the principal amount of any Loans or L/C Obligations in respect of which such Defaulting Lender has not fully funded its appropriate share and (B) such Loans were made or the related Letters of Credit were issued at a time when the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under the applicable Credit Facility and applicable Tranche without giving effect to </w:t>
      </w:r>
      <w:r>
        <w:rPr>
          <w:rFonts w:ascii="Times New Roman;sans-serif" w:hAnsi="Times New Roman;sans-serif"/>
          <w:b w:val="false"/>
          <w:color w:val="000000"/>
          <w:sz w:val="22"/>
          <w:u w:val="single"/>
        </w:rPr>
        <w:t>Section 4.14(a)(iv)</w:t>
      </w:r>
      <w:r>
        <w:rPr>
          <w:rFonts w:ascii="Times New Roman;sans-serif" w:hAnsi="Times New Roman;sans-serif"/>
          <w:b w:val="false"/>
          <w:color w:val="000000"/>
          <w:sz w:val="22"/>
        </w:rPr>
        <w:t xml:space="preserve">.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2"/>
          <w:u w:val="single"/>
        </w:rPr>
        <w:t>Section 4.14(a)(ii)</w:t>
      </w:r>
      <w:r>
        <w:rPr>
          <w:color w:val="000000"/>
        </w:rPr>
        <w:t xml:space="preserve"> </w:t>
      </w:r>
      <w:r>
        <w:rPr>
          <w:rFonts w:ascii="Times New Roman;sans-serif" w:hAnsi="Times New Roman;sans-serif"/>
          <w:b w:val="false"/>
          <w:color w:val="000000"/>
          <w:sz w:val="22"/>
        </w:rPr>
        <w:t>shall be deemed paid to and redirected by such Defaulting Lender, and each Lender irrevocably consents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Commitment Fees</w:t>
      </w:r>
      <w:r>
        <w:rPr>
          <w:rFonts w:ascii="Times New Roman;sans-serif" w:hAnsi="Times New Roman;sans-serif"/>
          <w:b w:val="false"/>
          <w:color w:val="000000"/>
          <w:sz w:val="22"/>
        </w:rPr>
        <w:t>. No Defaulting Lender shall be entitled to receive any commitment fee for any period during which that Lender is a Defaulting Lender (and the Company shall not be required to pay any such fee that otherwise would have been required to have been paid to that Defaulting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Letter of Credit Fees</w:t>
      </w:r>
      <w:r>
        <w:rPr>
          <w:rFonts w:ascii="Times New Roman;sans-serif" w:hAnsi="Times New Roman;sans-serif"/>
          <w:b w:val="false"/>
          <w:color w:val="000000"/>
          <w:sz w:val="22"/>
        </w:rPr>
        <w:t xml:space="preserve">. Each Defaulting Lender shall be entitled to receive letter of credit fees for any period during which that Lender is a Defaulting Lender only to the extent allocable to its Applicable Percentage under the applicable Tranche of the stated amount of Letters of Credit under the applicable Tranche for which it has provided Cash Collateral pursuant to </w:t>
      </w:r>
      <w:r>
        <w:rPr>
          <w:rFonts w:ascii="Times New Roman;sans-serif" w:hAnsi="Times New Roman;sans-serif"/>
          <w:b w:val="false"/>
          <w:color w:val="000000"/>
          <w:sz w:val="22"/>
          <w:u w:val="single"/>
        </w:rPr>
        <w:t>Section 4.13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Reallocation of Fees</w:t>
      </w:r>
      <w:r>
        <w:rPr>
          <w:rFonts w:ascii="Times New Roman;sans-serif" w:hAnsi="Times New Roman;sans-serif"/>
          <w:b w:val="false"/>
          <w:color w:val="000000"/>
          <w:sz w:val="22"/>
        </w:rPr>
        <w:t>. With respect to any letter of credit fee not required to be paid to any Defaulting Lender pursuant to clause (B) above, the Company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Issuing Lender the amount of any such fee otherwise payable to such Defaulting Lender to the extent allocable to such Issuing Lender’s Fronting Exposure to such Defaulting Lender, and (z) not be required to pay the remaining amount of any such fee.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Reallocation of Participations to Reduce Fronting Exposure</w:t>
      </w:r>
      <w:r>
        <w:rPr>
          <w:rFonts w:ascii="Times New Roman;sans-serif" w:hAnsi="Times New Roman;sans-serif"/>
          <w:b w:val="false"/>
          <w:color w:val="000000"/>
          <w:sz w:val="22"/>
        </w:rPr>
        <w:t xml:space="preserve">. All or any part of such Defaulting Lender’s participation in L/C Obligations and Swingline Loans shall be reallocated among the Non-Defaulting Lenders in accordance with their respective Applicable Percentages under the applicable Tranche (calculated without regard to such Defaulting Lender’s Revolving Credit Commitment in respect of such Tranche) but only to the extent that (x) the conditions set forth in </w:t>
      </w:r>
      <w:r>
        <w:rPr>
          <w:rFonts w:ascii="Times New Roman;sans-serif" w:hAnsi="Times New Roman;sans-serif"/>
          <w:b w:val="false"/>
          <w:color w:val="000000"/>
          <w:sz w:val="22"/>
          <w:u w:val="single"/>
        </w:rPr>
        <w:t>Section 5.2</w:t>
      </w:r>
      <w:r>
        <w:rPr>
          <w:color w:val="000000"/>
        </w:rPr>
        <w:t xml:space="preserve"> </w:t>
      </w:r>
      <w:r>
        <w:rPr>
          <w:rFonts w:ascii="Times New Roman;sans-serif" w:hAnsi="Times New Roman;sans-serif"/>
          <w:b w:val="false"/>
          <w:color w:val="000000"/>
          <w:sz w:val="22"/>
        </w:rPr>
        <w:t xml:space="preserve">are satisfied at the time of such reallocation (and, unless the Company shall have otherwise notified the Administrative Agent at such time, the Company shall be deemed to have represented and warranted that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310"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such conditions are satisfied at such time) and (y) such reallocation does not cause the aggregate principal amount of outstanding Revolving Credit Loans and participations in L/C Obligations and Swingline Loans any Non-Defaulting Lender at such time under the applicable Tranche to exceed such Non-Defaulting Lender’s Revolving Credit Commitment in respect of such Tranche. Subject to </w:t>
      </w:r>
      <w:r>
        <w:rPr>
          <w:rFonts w:ascii="Times New Roman;sans-serif" w:hAnsi="Times New Roman;sans-serif"/>
          <w:b w:val="false"/>
          <w:color w:val="000000"/>
          <w:sz w:val="22"/>
          <w:u w:val="single"/>
        </w:rPr>
        <w:t>Section 13.25</w:t>
      </w:r>
      <w:r>
        <w:rPr>
          <w:rFonts w:ascii="Times New Roman;sans-serif" w:hAnsi="Times New Roman;sans-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(v)    </w:t>
      </w:r>
      <w:r>
        <w:rPr>
          <w:rFonts w:ascii="Times New Roman;sans-serif" w:hAnsi="Times New Roman;sans-serif"/>
          <w:b w:val="false"/>
          <w:color w:val="000000"/>
          <w:sz w:val="22"/>
          <w:u w:val="single"/>
        </w:rPr>
        <w:t>Cash Collateral and Repayment of Swingline Loans</w:t>
      </w:r>
      <w:r>
        <w:rPr>
          <w:rFonts w:ascii="Times New Roman;sans-serif" w:hAnsi="Times New Roman;sans-serif"/>
          <w:b w:val="false"/>
          <w:color w:val="000000"/>
          <w:sz w:val="22"/>
        </w:rPr>
        <w:t xml:space="preserve">. If the reallocation described in clause (iv) above cannot, or can only partially, be effected, the Company shall, without prejudice to any right or remedy available to it hereunder or under law, (x) </w:t>
      </w: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ratably prepay Swingline Loans in an amount equal to the Swingline Lender’s respective Fronting Exposure and (y) </w:t>
      </w:r>
      <w:r>
        <w:rPr>
          <w:rFonts w:ascii="Times New Roman;sans-serif" w:hAnsi="Times New Roman;sans-serif"/>
          <w:b w:val="false"/>
          <w:i/>
          <w:color w:val="000000"/>
          <w:sz w:val="22"/>
        </w:rPr>
        <w:t>second</w:t>
      </w:r>
      <w:r>
        <w:rPr>
          <w:rFonts w:ascii="Times New Roman;sans-serif" w:hAnsi="Times New Roman;sans-serif"/>
          <w:b w:val="false"/>
          <w:color w:val="000000"/>
          <w:sz w:val="22"/>
        </w:rPr>
        <w:t xml:space="preserve">, Cash Collateralize each Issuing Lender’s Fronting Exposure in accordance with the procedures set forth in </w:t>
      </w:r>
      <w:r>
        <w:rPr>
          <w:rFonts w:ascii="Times New Roman;sans-serif" w:hAnsi="Times New Roman;sans-serif"/>
          <w:b w:val="false"/>
          <w:color w:val="000000"/>
          <w:sz w:val="22"/>
          <w:u w:val="single"/>
        </w:rPr>
        <w:t>Section 4.13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Company, the Administrative Agent and the Swingline Lender, and each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in respect of the applicable Tranche (without giving effect to </w:t>
      </w:r>
      <w:r>
        <w:rPr>
          <w:rFonts w:ascii="Times New Roman;sans-serif" w:hAnsi="Times New Roman;sans-serif"/>
          <w:b w:val="false"/>
          <w:color w:val="000000"/>
          <w:sz w:val="22"/>
          <w:u w:val="single"/>
        </w:rPr>
        <w:t>Section 4.14(a)(iv)</w:t>
      </w:r>
      <w:r>
        <w:rPr>
          <w:rFonts w:ascii="Times New Roman;sans-serif" w:hAnsi="Times New Roman;sans-serif"/>
          <w:b w:val="false"/>
          <w:color w:val="000000"/>
          <w:sz w:val="22"/>
        </w:rPr>
        <w:t xml:space="preserve">), whereupon such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the Borrowers while that Lender was a Defaulting Lender;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New Swingline Loans/Letters of Credit</w:t>
      </w:r>
      <w:r>
        <w:rPr>
          <w:rFonts w:ascii="Times New Roman;sans-serif" w:hAnsi="Times New Roman;sans-serif"/>
          <w:b w:val="false"/>
          <w:color w:val="000000"/>
          <w:sz w:val="22"/>
        </w:rPr>
        <w:t>. So long as any Lender is a Defaulting Lender, (i) the Swingline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V</w:t>
        <w:br/>
        <w:br/>
        <w:t>CLOSING; CONDITIONS OF CLOSING AND BORROWING</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5.1    </w:t>
      </w:r>
      <w:r>
        <w:rPr>
          <w:rFonts w:ascii="Times New Roman;sans-serif" w:hAnsi="Times New Roman;sans-serif"/>
          <w:b/>
          <w:color w:val="000000"/>
          <w:sz w:val="22"/>
          <w:u w:val="single"/>
        </w:rPr>
        <w:t>Conditions to Closing and Initial Extensions of Credit</w:t>
      </w:r>
      <w:r>
        <w:rPr>
          <w:rFonts w:ascii="Times New Roman;sans-serif" w:hAnsi="Times New Roman;sans-serif"/>
          <w:b w:val="false"/>
          <w:color w:val="000000"/>
          <w:sz w:val="22"/>
        </w:rPr>
        <w:t>. The obligation of the Lenders to close this Agreement and to make the initial Loan or issue or participate in the initial Letter of Credit, if any, is subject to the satisfaction of each of the following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Executed Loan Documents</w:t>
      </w:r>
      <w:r>
        <w:rPr>
          <w:rFonts w:ascii="Times New Roman;sans-serif" w:hAnsi="Times New Roman;sans-serif"/>
          <w:b w:val="false"/>
          <w:color w:val="000000"/>
          <w:sz w:val="22"/>
        </w:rPr>
        <w:t xml:space="preserve">. This Agreement, a Revolving Credit Note in favor of each Revolving Credit Lender requesting a Revolving Credit Note, a Term Loan Note in favor of each Term Loan Lender requesting a Term Loan Note, a Swingline Note in favor of the Swingline Lender (if requested thereby), the applicable Security Documents, together with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311"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applicable Loan Documents, shall have been duly authorized, executed and delivered to the Administrative Agent by the parties thereto, shall be in full force and effect and no Default or Event of Default shall exist hereunder or thereunder.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Closing Certificates; Etc</w:t>
      </w:r>
      <w:r>
        <w:rPr>
          <w:rFonts w:ascii="Times New Roman;sans-serif" w:hAnsi="Times New Roman;sans-serif"/>
          <w:b w:val="false"/>
          <w:color w:val="000000"/>
          <w:sz w:val="22"/>
        </w:rPr>
        <w:t>. The Administrative Agent shall have received each of the following in form and substance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Officer’s Certificate of the Company</w:t>
      </w:r>
      <w:r>
        <w:rPr>
          <w:rFonts w:ascii="Times New Roman;sans-serif" w:hAnsi="Times New Roman;sans-serif"/>
          <w:b w:val="false"/>
          <w:color w:val="000000"/>
          <w:sz w:val="22"/>
        </w:rPr>
        <w:t xml:space="preserve">. A certificate from a Responsible Officer of the Company certifying that the conditions set forth in </w:t>
      </w:r>
      <w:r>
        <w:rPr>
          <w:rFonts w:ascii="Times New Roman;sans-serif" w:hAnsi="Times New Roman;sans-serif"/>
          <w:b w:val="false"/>
          <w:color w:val="000000"/>
          <w:sz w:val="22"/>
          <w:u w:val="single"/>
        </w:rPr>
        <w:t>Section 5.1(f)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5.2(b)</w:t>
      </w:r>
      <w:r>
        <w:rPr>
          <w:color w:val="000000"/>
        </w:rPr>
        <w:t xml:space="preserve"> </w:t>
      </w:r>
      <w:r>
        <w:rPr>
          <w:rFonts w:ascii="Times New Roman;sans-serif" w:hAnsi="Times New Roman;sans-serif"/>
          <w:b w:val="false"/>
          <w:color w:val="000000"/>
          <w:sz w:val="22"/>
        </w:rPr>
        <w:t>are satisfied as of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Certificate of Secretary of each Credit Party</w:t>
      </w:r>
      <w:r>
        <w:rPr>
          <w:rFonts w:ascii="Times New Roman;sans-serif" w:hAnsi="Times New Roman;sans-serif"/>
          <w:b w:val="false"/>
          <w:color w:val="000000"/>
          <w:sz w:val="22"/>
        </w:rPr>
        <w:t xml:space="preserve">.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of such Credit Party and all amendments thereto, certified as of a recent date by the appropriate Governmental Authority in its jurisdiction of incorporation or formation, (B) the bylaws or other governing document of such Credit Party as in effect on the Closing Date, (C) resolutions duly adopted by the board of directors or other governing body of such Credit Party authorizing the transactions contemplated hereunder and the execution, delivery and performance of this Agreement and the other Loan Documents to which it is a party, and (D) each certificate required to be delivered pursuant to </w:t>
      </w:r>
      <w:r>
        <w:rPr>
          <w:rFonts w:ascii="Times New Roman;sans-serif" w:hAnsi="Times New Roman;sans-serif"/>
          <w:b w:val="false"/>
          <w:color w:val="000000"/>
          <w:sz w:val="22"/>
          <w:u w:val="single"/>
        </w:rPr>
        <w:t>Section 5.1(b)(iii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Certificates of Good Standing</w:t>
      </w:r>
      <w:r>
        <w:rPr>
          <w:rFonts w:ascii="Times New Roman;sans-serif" w:hAnsi="Times New Roman;sans-serif"/>
          <w:b w:val="false"/>
          <w:color w:val="000000"/>
          <w:sz w:val="22"/>
        </w:rPr>
        <w:t>. Certificates as of a recent date of the good standing of each Credit Party under the laws of its jurisdiction of organization.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Opinions of Counsel</w:t>
      </w:r>
      <w:r>
        <w:rPr>
          <w:rFonts w:ascii="Times New Roman;sans-serif" w:hAnsi="Times New Roman;sans-serif"/>
          <w:b w:val="false"/>
          <w:color w:val="000000"/>
          <w:sz w:val="22"/>
        </w:rPr>
        <w:t>. Favorable opinions of counsel to the Credit Parties addressed to the Administrative Agent and the Lenders with respect to the Credit Parties, the Loan Documents and such other matters as the Lenders shall request, each in form and substance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 Litigation</w:t>
      </w:r>
      <w:r>
        <w:rPr>
          <w:rFonts w:ascii="Times New Roman;sans-serif" w:hAnsi="Times New Roman;sans-serif"/>
          <w:b w:val="false"/>
          <w:color w:val="000000"/>
          <w:sz w:val="22"/>
        </w:rPr>
        <w:t>. The absence of any action, suit, investigation or proceeding pending or, to the knowledge of the Credit Parties, threatened in any court or before any arbitrator or Governmental Authority that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Financial Matters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Financial Statements</w:t>
      </w:r>
      <w:r>
        <w:rPr>
          <w:rFonts w:ascii="Times New Roman;sans-serif" w:hAnsi="Times New Roman;sans-serif"/>
          <w:b w:val="false"/>
          <w:color w:val="000000"/>
          <w:sz w:val="22"/>
        </w:rPr>
        <w:t>. The Administrative Agent shall have received (x) the audited Consolidated financial statements of the Company and its Subsidiaries for Fiscal Years 2017, 2018 and 2019, (y) the unaudited Consolidated financial statements of the Company and its Subsidiaries for the fiscal quarter ended June 30, 2020 and (z) the Consolidated forecasted balance sheet, statements of income and cash flows of the Company and its Restricted Subsidiaries for the Fiscal Years 2020, 2021, 2022, 2023, 2024 and 2025, all in form and substance reasonably satisfactory to the Administrative Agent and prepared in accordance with GAAP.</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Financial Condition Certificate</w:t>
      </w:r>
      <w:r>
        <w:rPr>
          <w:rFonts w:ascii="Times New Roman;sans-serif" w:hAnsi="Times New Roman;sans-serif"/>
          <w:b w:val="false"/>
          <w:color w:val="000000"/>
          <w:sz w:val="22"/>
        </w:rPr>
        <w:t xml:space="preserve">. The Company shall have delivered to the Administrative Agent a certificate, in form and substance reasonably satisfactory to the Administrative Agent, and certified as accurate by a Responsible Officer of the Company, that (A) after giving effect to the transactions contemplated hereby on the 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312"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 Company and each of its Restricted Subsidiaries, taken as a whole are Solvent, (B) after giving effect to the transactions contemplated hereby on the Closing Date, the Company is in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 xml:space="preserve">compliance with the covenants contained in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9.2</w:t>
      </w:r>
      <w:r>
        <w:rPr>
          <w:color w:val="000000"/>
        </w:rPr>
        <w:t xml:space="preserve"> </w:t>
      </w:r>
      <w:r>
        <w:rPr>
          <w:rFonts w:ascii="Times New Roman;sans-serif" w:hAnsi="Times New Roman;sans-serif"/>
          <w:b w:val="false"/>
          <w:color w:val="000000"/>
          <w:sz w:val="22"/>
        </w:rPr>
        <w:t>hereof, and (C) the financial projections previously delivered to the Administrative Agent represent the good faith estimates (utilizing reasonable assumptions) of the financial condition and operations of the Company and its Restricted Subsidiaries, taken as a whole, in all material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Payment at Closing; Fee Letters</w:t>
      </w:r>
      <w:r>
        <w:rPr>
          <w:rFonts w:ascii="Times New Roman;sans-serif" w:hAnsi="Times New Roman;sans-serif"/>
          <w:b w:val="false"/>
          <w:color w:val="000000"/>
          <w:sz w:val="22"/>
        </w:rPr>
        <w:t xml:space="preserve">. The Company shall have paid to the Administrative Agent and the Lenders the fees set forth or referenced in </w:t>
      </w:r>
      <w:r>
        <w:rPr>
          <w:rFonts w:ascii="Times New Roman;sans-serif" w:hAnsi="Times New Roman;sans-serif"/>
          <w:b w:val="false"/>
          <w:color w:val="000000"/>
          <w:sz w:val="22"/>
          <w:u w:val="single"/>
        </w:rPr>
        <w:t>Section 4.3</w:t>
      </w:r>
      <w:r>
        <w:rPr>
          <w:color w:val="000000"/>
        </w:rPr>
        <w:t xml:space="preserve"> </w:t>
      </w:r>
      <w:r>
        <w:rPr>
          <w:rFonts w:ascii="Times New Roman;sans-serif" w:hAnsi="Times New Roman;sans-serif"/>
          <w:b w:val="false"/>
          <w:color w:val="000000"/>
          <w:sz w:val="22"/>
        </w:rPr>
        <w:t>to the extent payable on the Closing Date and any other accrued and unpaid fees or commissions due hereunder (including, without limitation, reasonable and documented out-of-pocket legal fees and expenses) and to any other Person such amount as may be due thereto in connection with the transactions contemplated hereby, including all taxes, fees and other charges in connection with the execution, delivery, recording, filing and registration of any of the Loan Documents, in each case to the extent invoiced at least one day prior to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Existing Credit Agreement</w:t>
      </w:r>
      <w:r>
        <w:rPr>
          <w:rFonts w:ascii="Times New Roman;sans-serif" w:hAnsi="Times New Roman;sans-serif"/>
          <w:b w:val="false"/>
          <w:color w:val="000000"/>
          <w:sz w:val="22"/>
        </w:rPr>
        <w:t>. The Credit Parties shall have (A) paid all accrued and unpaid interest on the term loan outstanding under the Existing Credit Agreement to the Closing Date, (B) paid all accrued and unpaid interest on the dollar tranche revolving credit loans outstanding under the Existing Credit Agreement to the Closing Date, (C) paid all accrued and unpaid interest on the designated currency tranche revolving credit loans outstanding under the Existing Credit Agreement to the Closing Date, (D) to the extent necessary, repaid any term loans in excess of the Term Loan Commitments of the Lenders hereunder as of the Closing Date, (E) prepaid any dollar tranche revolving credit loans outstanding under the Existing Credit Agreement to the extent necessary to keep the outstanding Dollar Tranche Revolving Credit Loans ratable with the revised Dollar Tranche Revolving Credit Commitments as of the Closing Date, (F) prepaid any designated currency tranche revolving credit loans outstanding under the Existing Credit Agreement to the extent necessary to keep the outstanding Designated Currency Tranche Revolving Credit Loans ratable with the revised Designated Currency Tranche Revolving Credit Commitments as of the Closing Date and (G) paid all accrued fees owing to the lenders under the Existing Credit Agreement to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Collateral</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Filings and Recordings</w:t>
      </w:r>
      <w:r>
        <w:rPr>
          <w:rFonts w:ascii="Times New Roman;sans-serif" w:hAnsi="Times New Roman;sans-serif"/>
          <w:b w:val="false"/>
          <w:color w:val="000000"/>
          <w:sz w:val="22"/>
        </w:rPr>
        <w:t xml:space="preserve">. The Administrative Agent shall have received all filings and recordations that are necessary to perfect the security interests of the Administrative Agent, on behalf of itself and the Lenders, in the Collateral, and the Administrative Agent shall have received evidence reasonably satisfactory to the Administrative Agent that upon such filings and recordations such security interests constitute valid and perfected first priority Liens thereon;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pledge documentation governed by the local laws of a Foreign Subsidiary’s jurisdiction of organization shall be required as of the Closing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Pledged Collateral</w:t>
      </w:r>
      <w:r>
        <w:rPr>
          <w:rFonts w:ascii="Times New Roman;sans-serif" w:hAnsi="Times New Roman;sans-serif"/>
          <w:b w:val="false"/>
          <w:color w:val="000000"/>
          <w:sz w:val="22"/>
        </w:rPr>
        <w:t>. To the extent applicable, the Administrative Agent shall have received original stock certificates or other certificates evidencing the Capital Stock pledged pursuant to the Security Documents, together with an undated stock power for each such certificate duly executed in blank by the registered owner thereof.</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313"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Lien Search</w:t>
      </w:r>
      <w:r>
        <w:rPr>
          <w:rFonts w:ascii="Times New Roman;sans-serif" w:hAnsi="Times New Roman;sans-serif"/>
          <w:b w:val="false"/>
          <w:color w:val="000000"/>
          <w:sz w:val="22"/>
        </w:rPr>
        <w:t>. The Administrative Agent shall have received the results of a Lien search (including a search as to judgments, pending litigation and tax matters), in form and substance reasonably satisfactory thereto, made against the Credit Parties under the Uniform Commercial Code (or applicable judicial docket) as in effect in each jurisdiction in which filings or recordations under the Uniform Commercial Code should be made to evidence or perfect security interests in substantially all of the assets of such Credit Party, indicating among other things that its assets are free and clear of any Lien except for Permitted Liens.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Consents</w:t>
      </w:r>
      <w:r>
        <w:rPr>
          <w:rFonts w:ascii="Times New Roman;sans-serif" w:hAnsi="Times New Roman;sans-serif"/>
          <w:b w:val="false"/>
          <w:color w:val="000000"/>
          <w:sz w:val="22"/>
        </w:rPr>
        <w:t>. The Administrative Agent shall have received evidence that all boards of directors, governmental, shareholder and material third party consents and approvals necessary in connection with the entering into of this Agreement have been obtained.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Loan Notice</w:t>
      </w:r>
      <w:r>
        <w:rPr>
          <w:rFonts w:ascii="Times New Roman;sans-serif" w:hAnsi="Times New Roman;sans-serif"/>
          <w:b w:val="false"/>
          <w:color w:val="000000"/>
          <w:sz w:val="22"/>
        </w:rPr>
        <w:t xml:space="preserve">. The Administrative Agent shall have received a Loan Notice from the applicable Borrower in accordance with </w:t>
      </w:r>
      <w:r>
        <w:rPr>
          <w:rFonts w:ascii="Times New Roman;sans-serif" w:hAnsi="Times New Roman;sans-serif"/>
          <w:b w:val="false"/>
          <w:color w:val="000000"/>
          <w:sz w:val="22"/>
          <w:u w:val="single"/>
        </w:rPr>
        <w:t>Section 2.2</w:t>
      </w:r>
      <w:r>
        <w:rPr>
          <w:color w:val="000000"/>
        </w:rPr>
        <w:t xml:space="preserve"> </w:t>
      </w:r>
      <w:r>
        <w:rPr>
          <w:rFonts w:ascii="Times New Roman;sans-serif" w:hAnsi="Times New Roman;sans-serif"/>
          <w:b w:val="false"/>
          <w:color w:val="000000"/>
          <w:sz w:val="22"/>
        </w:rPr>
        <w:t>(if a Loan is to be made or a Letter of Credit issued) and a Notice of Account Designation specifying the account or accounts to which the proceeds of any Loans made on or after the Closing Date are to be disbursed.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strike/>
          <w:color w:val="FF0000"/>
          <w:sz w:val="22"/>
          <w:u w:val="single"/>
        </w:rPr>
        <w:t>Anti-Money-Laundering</w:t>
      </w:r>
      <w:r>
        <w:rPr>
          <w:rFonts w:ascii="Times New Roman;sans-serif" w:hAnsi="Times New Roman;sans-serif"/>
          <w:b w:val="false"/>
          <w:color w:val="0000FF"/>
          <w:sz w:val="22"/>
          <w:u w:val="single"/>
        </w:rPr>
        <w:t>Anti-Money Laundering</w:t>
      </w:r>
      <w:r>
        <w:rPr>
          <w:rFonts w:ascii="Times New Roman;sans-serif" w:hAnsi="Times New Roman;sans-serif"/>
          <w:b w:val="false"/>
          <w:color w:val="000000"/>
          <w:sz w:val="22"/>
          <w:u w:val="single"/>
        </w:rPr>
        <w:t>; Beneficial Ownership</w:t>
      </w:r>
      <w:r>
        <w:rPr>
          <w:rFonts w:ascii="Times New Roman;sans-serif" w:hAnsi="Times New Roman;sans-serif"/>
          <w:b w:val="false"/>
          <w:color w:val="000000"/>
          <w:sz w:val="22"/>
        </w:rPr>
        <w:t xml:space="preserve">. To the extent reasonably requested by any Lender at least ten (10) days prior to the Closing Date, each Borrower shall have provided to such Lender, and such Lender shall be reasonably satisfied with, the documentation and other information so requested in connection with applicable “know your customer” and </w:t>
      </w:r>
      <w:r>
        <w:rPr>
          <w:rFonts w:ascii="Times New Roman;sans-serif" w:hAnsi="Times New Roman;sans-serif"/>
          <w:b w:val="false"/>
          <w:strike/>
          <w:color w:val="FF0000"/>
          <w:sz w:val="22"/>
        </w:rPr>
        <w:t>anti-money-laundering</w:t>
      </w:r>
      <w:r>
        <w:rPr>
          <w:rFonts w:ascii="Times New Roman;sans-serif" w:hAnsi="Times New Roman;sans-serif"/>
          <w:b w:val="false"/>
          <w:color w:val="0000FF"/>
          <w:sz w:val="22"/>
          <w:u w:val="single"/>
        </w:rPr>
        <w:t>anti-money-laundering</w:t>
      </w:r>
      <w:r>
        <w:rPr>
          <w:color w:val="000000"/>
        </w:rPr>
        <w:t xml:space="preserve"> </w:t>
      </w:r>
      <w:r>
        <w:rPr>
          <w:rFonts w:ascii="Times New Roman;sans-serif" w:hAnsi="Times New Roman;sans-serif"/>
          <w:b w:val="false"/>
          <w:color w:val="000000"/>
          <w:sz w:val="22"/>
        </w:rPr>
        <w:t>rules and regulations, including, without limitation, the Patriot Act, and any Credit Party that qualifies as a “legal entity customer” under the Beneficial Ownership Regulation shall have delivered to each Lender that so requests, a Beneficial Ownership Certification in relation to such Credit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Other Documents</w:t>
      </w:r>
      <w:r>
        <w:rPr>
          <w:rFonts w:ascii="Times New Roman;sans-serif" w:hAnsi="Times New Roman;sans-serif"/>
          <w:b w:val="false"/>
          <w:color w:val="000000"/>
          <w:sz w:val="22"/>
        </w:rPr>
        <w:t>. All opinions, certificates and other instruments and all proceedings in connection with the transactions contemplated by this Agreement shall be in form and substance reasonably satisfactory to the Administrative Agent. The Administrative Agent shall have received copies of all other documents, certificates and instruments reasonably requested thereby, with respect to the transactions contemplated by this Agreement.</w:t>
      </w:r>
    </w:p>
    <w:p>
      <w:pPr>
        <w:pStyle w:val="TextBody"/>
        <w:bidi w:val="0"/>
        <w:spacing w:lineRule="auto" w:line="288" w:before="0" w:after="240"/>
        <w:jc w:val="both"/>
        <w:rPr/>
      </w:pPr>
      <w:r>
        <w:rPr>
          <w:rFonts w:ascii="Times New Roman;sans-serif" w:hAnsi="Times New Roman;sans-serif"/>
          <w:b w:val="false"/>
          <w:color w:val="000000"/>
          <w:sz w:val="22"/>
        </w:rPr>
        <w:t xml:space="preserve">Without limiting the generality of the provisions of </w:t>
      </w:r>
      <w:r>
        <w:rPr>
          <w:rFonts w:ascii="Times New Roman;sans-serif" w:hAnsi="Times New Roman;sans-serif"/>
          <w:b w:val="false"/>
          <w:color w:val="000000"/>
          <w:sz w:val="22"/>
          <w:u w:val="single"/>
        </w:rPr>
        <w:t>Section 12.3(c)</w:t>
      </w:r>
      <w:r>
        <w:rPr>
          <w:rFonts w:ascii="Times New Roman;sans-serif" w:hAnsi="Times New Roman;sans-serif"/>
          <w:b w:val="false"/>
          <w:color w:val="000000"/>
          <w:sz w:val="22"/>
        </w:rPr>
        <w:t xml:space="preserve">, for purposes of determining compliance with the conditions specified in this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5.2    </w:t>
      </w:r>
      <w:r>
        <w:rPr>
          <w:rFonts w:ascii="Times New Roman;sans-serif" w:hAnsi="Times New Roman;sans-serif"/>
          <w:b/>
          <w:color w:val="000000"/>
          <w:sz w:val="22"/>
          <w:u w:val="single"/>
        </w:rPr>
        <w:t>Conditions to All Extensions of Credit</w:t>
      </w:r>
      <w:r>
        <w:rPr>
          <w:rFonts w:ascii="Times New Roman;sans-serif" w:hAnsi="Times New Roman;sans-serif"/>
          <w:b w:val="false"/>
          <w:color w:val="000000"/>
          <w:sz w:val="22"/>
        </w:rPr>
        <w:t>. The obligations of the Lenders to make any Extensions of Credit (including the initial Extension of Credit), and/or any Issuing Lender to issue or extend any Letter of Credit are subject to the satisfaction of the following conditions precedent on the relevant borrowing, issuance or extension date</w:t>
      </w:r>
      <w:r>
        <w:rPr>
          <w:rFonts w:ascii="Times New Roman;sans-serif" w:hAnsi="Times New Roman;sans-serif"/>
          <w:b w:val="false"/>
          <w:color w:val="0000FF"/>
          <w:sz w:val="22"/>
          <w:u w:val="single"/>
        </w:rPr>
        <w:t>, in each case, for a Borrowing of Incremental Term Loans, subject to Section 1.3</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314"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Continuation of Representations and Warranties</w:t>
      </w:r>
      <w:r>
        <w:rPr>
          <w:rFonts w:ascii="Times New Roman;sans-serif" w:hAnsi="Times New Roman;sans-serif"/>
          <w:b w:val="false"/>
          <w:color w:val="000000"/>
          <w:sz w:val="22"/>
        </w:rPr>
        <w:t xml:space="preserve">. The representations and warranties contained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 xml:space="preserve">shall (i) with respect to representations and warranties that contain a materiality qualification, be true and correct on and as of the date of such Extension of Credit and (ii) with respect to representations and warranties that do not contain a materiality qualification, be true and correct in all material respects on and as of such borrowing, issuance or extension date with the same effect as if made on and as of such date, except for any representation and warranty made as of an earlier date, shall (x) with respect to representations and warranties that contain a materiality qualification, be true and correct as of such earlier date and (y) with respect to representations and warranties that do not contain a materiality qualification, be true and correct in all material respects as of such earlier date, and except that for purposes of this </w:t>
      </w:r>
      <w:r>
        <w:rPr>
          <w:rFonts w:ascii="Times New Roman;sans-serif" w:hAnsi="Times New Roman;sans-serif"/>
          <w:b w:val="false"/>
          <w:color w:val="000000"/>
          <w:sz w:val="22"/>
          <w:u w:val="single"/>
        </w:rPr>
        <w:t>Section 5.2(a)</w:t>
      </w:r>
      <w:r>
        <w:rPr>
          <w:rFonts w:ascii="Times New Roman;sans-serif" w:hAnsi="Times New Roman;sans-serif"/>
          <w:b w:val="false"/>
          <w:color w:val="000000"/>
          <w:sz w:val="22"/>
        </w:rPr>
        <w:t xml:space="preserve">, the representations and warranties contained in </w:t>
      </w:r>
      <w:r>
        <w:rPr>
          <w:rFonts w:ascii="Times New Roman;sans-serif" w:hAnsi="Times New Roman;sans-serif"/>
          <w:b w:val="false"/>
          <w:color w:val="000000"/>
          <w:sz w:val="22"/>
          <w:u w:val="single"/>
        </w:rPr>
        <w:t>Section 6.1(o)</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w:t>
      </w:r>
      <w:r>
        <w:rPr>
          <w:rFonts w:ascii="Times New Roman;sans-serif" w:hAnsi="Times New Roman;sans-serif"/>
          <w:b w:val="false"/>
          <w:color w:val="000000"/>
          <w:sz w:val="22"/>
          <w:u w:val="single"/>
        </w:rPr>
        <w:t>Section 7.1(b)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No Existing Default</w:t>
      </w:r>
      <w:r>
        <w:rPr>
          <w:rFonts w:ascii="Times New Roman;sans-serif" w:hAnsi="Times New Roman;sans-serif"/>
          <w:b w:val="false"/>
          <w:color w:val="000000"/>
          <w:sz w:val="22"/>
        </w:rPr>
        <w:t>. No Default or Event of Default shall have occurred and be continuing (i) on the borrowing date with respect to such Loan or after giving effect to the Loans to be made on such date or (ii) on the issuance or extension date with respect to such Letter of Credit or after giving effect to the issuance or extension of such Letter of Credit on such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The Administrative Agent, and, if applicable, the applicable Issuing Lender or the Swingline Lender shall have received a Loan Notice in accordance with the requirements 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Subsidiary Borrower</w:t>
      </w:r>
      <w:r>
        <w:rPr>
          <w:rFonts w:ascii="Times New Roman;sans-serif" w:hAnsi="Times New Roman;sans-serif"/>
          <w:b w:val="false"/>
          <w:color w:val="000000"/>
          <w:sz w:val="22"/>
        </w:rPr>
        <w:t xml:space="preserve">. If the applicable Borrower is a Subsidiary Borrower, the conditions of </w:t>
      </w:r>
      <w:r>
        <w:rPr>
          <w:rFonts w:ascii="Times New Roman;sans-serif" w:hAnsi="Times New Roman;sans-serif"/>
          <w:b w:val="false"/>
          <w:color w:val="000000"/>
          <w:sz w:val="22"/>
          <w:u w:val="single"/>
        </w:rPr>
        <w:t>Section 2.10</w:t>
      </w:r>
      <w:r>
        <w:rPr>
          <w:color w:val="000000"/>
        </w:rPr>
        <w:t xml:space="preserve"> </w:t>
      </w:r>
      <w:r>
        <w:rPr>
          <w:rFonts w:ascii="Times New Roman;sans-serif" w:hAnsi="Times New Roman;sans-serif"/>
          <w:b w:val="false"/>
          <w:color w:val="000000"/>
          <w:sz w:val="22"/>
        </w:rPr>
        <w:t>to the designation of such Borrower as a Subsidiary Borrower shall have been satisfied.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strike/>
          <w:color w:val="FF0000"/>
          <w:sz w:val="22"/>
          <w:u w:val="single"/>
        </w:rPr>
        <w:t>Foreign</w:t>
      </w:r>
      <w:r>
        <w:rPr>
          <w:rFonts w:ascii="Times New Roman;sans-serif" w:hAnsi="Times New Roman;sans-serif"/>
          <w:b w:val="false"/>
          <w:color w:val="0000FF"/>
          <w:sz w:val="22"/>
          <w:u w:val="single"/>
        </w:rPr>
        <w:t>Designated</w:t>
      </w:r>
      <w:r>
        <w:rPr>
          <w:color w:val="000000"/>
          <w:u w:val="single"/>
        </w:rPr>
        <w:t xml:space="preserve"> </w:t>
      </w:r>
      <w:r>
        <w:rPr>
          <w:rFonts w:ascii="Times New Roman;sans-serif" w:hAnsi="Times New Roman;sans-serif"/>
          <w:b w:val="false"/>
          <w:color w:val="000000"/>
          <w:sz w:val="22"/>
          <w:u w:val="single"/>
        </w:rPr>
        <w:t>Currency</w:t>
      </w:r>
      <w:r>
        <w:rPr>
          <w:rFonts w:ascii="Times New Roman;sans-serif" w:hAnsi="Times New Roman;sans-serif"/>
          <w:b w:val="false"/>
          <w:color w:val="000000"/>
          <w:sz w:val="22"/>
        </w:rPr>
        <w:t xml:space="preserve">. In the case of an Extension of Credit to be denominated in a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Currency, such currency remains an Agreed Currency.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Legal Impediment</w:t>
      </w:r>
      <w:r>
        <w:rPr>
          <w:rFonts w:ascii="Times New Roman;sans-serif" w:hAnsi="Times New Roman;sans-serif"/>
          <w:b w:val="false"/>
          <w:color w:val="000000"/>
          <w:sz w:val="22"/>
        </w:rPr>
        <w:t>. In the case of an Extension of Credit to a Subsidiary Borrower that is a Foreign Subsidiary, there shall be no impediment, restriction, limitation or prohibition imposed under Applicable Law or by any Governmental Authority, as to the proposed financing under this Agreement or the repayment thereof or as to rights created under any Loan Document or as to application of the proceeds of the realization of any such rights.</w:t>
      </w:r>
    </w:p>
    <w:p>
      <w:pPr>
        <w:pStyle w:val="TextBody"/>
        <w:bidi w:val="0"/>
        <w:spacing w:lineRule="auto" w:line="288" w:before="0" w:after="240"/>
        <w:jc w:val="both"/>
        <w:rPr/>
      </w:pPr>
      <w:r>
        <w:rPr>
          <w:rFonts w:ascii="Times New Roman;sans-serif" w:hAnsi="Times New Roman;sans-serif"/>
          <w:b w:val="false"/>
          <w:color w:val="000000"/>
          <w:sz w:val="22"/>
        </w:rPr>
        <w:t xml:space="preserve">Each Loan Notice (other than a Loan Notice requesting only a conversion of Loans to the other Type or a continuation of </w:t>
      </w:r>
      <w:r>
        <w:rPr>
          <w:rFonts w:ascii="Times New Roman;sans-serif" w:hAnsi="Times New Roman;sans-serif"/>
          <w:b w:val="false"/>
          <w:strike/>
          <w:color w:val="FF0000"/>
          <w:sz w:val="22"/>
        </w:rPr>
        <w:t>Eurocurrency</w:t>
      </w:r>
      <w:r>
        <w:rPr>
          <w:rFonts w:ascii="Times New Roman;sans-serif" w:hAnsi="Times New Roman;sans-serif"/>
          <w:b w:val="false"/>
          <w:color w:val="0000FF"/>
          <w:sz w:val="22"/>
          <w:u w:val="single"/>
        </w:rPr>
        <w:t>Term SOFR Loans or Designated Currency Term</w:t>
      </w:r>
      <w:r>
        <w:rPr>
          <w:color w:val="000000"/>
        </w:rPr>
        <w:t xml:space="preserve"> </w:t>
      </w:r>
      <w:r>
        <w:rPr>
          <w:rFonts w:ascii="Times New Roman;sans-serif" w:hAnsi="Times New Roman;sans-serif"/>
          <w:b w:val="false"/>
          <w:color w:val="000000"/>
          <w:sz w:val="22"/>
        </w:rPr>
        <w:t xml:space="preserve">Rate Loans) submitted by a Borrower shall be deemed to be a representation and warranty by such Borrower that the conditions specified in </w:t>
      </w:r>
      <w:r>
        <w:rPr>
          <w:rFonts w:ascii="Times New Roman;sans-serif" w:hAnsi="Times New Roman;sans-serif"/>
          <w:b w:val="false"/>
          <w:color w:val="000000"/>
          <w:sz w:val="22"/>
          <w:u w:val="single"/>
        </w:rPr>
        <w:t>Sections 5.2(a)</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have been satisfied on and as of the date of the applicable Extension of Credit.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VI</w:t>
        <w:br/>
        <w:br/>
        <w:t>REPRESENTATIONS AND WARRANTIES OF THE BORROWER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6.1    </w:t>
      </w:r>
      <w:r>
        <w:rPr>
          <w:rFonts w:ascii="Times New Roman;sans-serif" w:hAnsi="Times New Roman;sans-serif"/>
          <w:b/>
          <w:color w:val="000000"/>
          <w:sz w:val="22"/>
          <w:u w:val="single"/>
        </w:rPr>
        <w:t>Representations and Warranties</w:t>
      </w:r>
      <w:r>
        <w:rPr>
          <w:rFonts w:ascii="Times New Roman;sans-serif" w:hAnsi="Times New Roman;sans-serif"/>
          <w:b w:val="false"/>
          <w:color w:val="000000"/>
          <w:sz w:val="22"/>
        </w:rPr>
        <w:t>. To induce the Administrative Agent and Lenders to enter into this Agreement and to induce the Lenders to make Extensions of Credit, the Borrowers hereby represent and warrant to the Administrative Agent and Lenders both before and after giving effect to the transactions contemplated hereunder that: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315"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Organization; Power; Qualification</w:t>
      </w:r>
      <w:r>
        <w:rPr>
          <w:rFonts w:ascii="Times New Roman;sans-serif" w:hAnsi="Times New Roman;sans-serif"/>
          <w:b w:val="false"/>
          <w:color w:val="000000"/>
          <w:sz w:val="22"/>
        </w:rPr>
        <w:t xml:space="preserve">. Each of the Company and its Material Subsidiaries (i) is duly organized, validly existing and in good standing under the laws of the jurisdiction of its incorporation or formation, (ii) has the power and authority to own its properties and to carry on its business as now being and hereafter proposed to be conducted and is duly qualified and (iii) is authorized to do business in each jurisdiction in which the character of its properties or the nature of its business requires such qualification and authorization except where the failure to be so qualified would not reasonably be expected to result in a Material Adverse Effect. The jurisdictions in which the Company and its Restricted Subsidiaries are organized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are described on </w:t>
      </w:r>
      <w:r>
        <w:rPr>
          <w:rFonts w:ascii="Times New Roman;sans-serif" w:hAnsi="Times New Roman;sans-serif"/>
          <w:b w:val="false"/>
          <w:color w:val="000000"/>
          <w:sz w:val="22"/>
          <w:u w:val="single"/>
        </w:rPr>
        <w:t>Schedule 6.1(a)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Ownership</w:t>
      </w:r>
      <w:r>
        <w:rPr>
          <w:rFonts w:ascii="Times New Roman;sans-serif" w:hAnsi="Times New Roman;sans-serif"/>
          <w:b w:val="false"/>
          <w:color w:val="000000"/>
          <w:sz w:val="22"/>
        </w:rPr>
        <w:t xml:space="preserve">. Each Subsidiary of the Company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is listed on </w:t>
      </w:r>
      <w:r>
        <w:rPr>
          <w:rFonts w:ascii="Times New Roman;sans-serif" w:hAnsi="Times New Roman;sans-serif"/>
          <w:b w:val="false"/>
          <w:color w:val="000000"/>
          <w:sz w:val="22"/>
          <w:u w:val="single"/>
        </w:rPr>
        <w:t>Schedule 6.1(b)</w:t>
      </w:r>
      <w:r>
        <w:rPr>
          <w:color w:val="000000"/>
        </w:rPr>
        <w:t xml:space="preserve"> </w:t>
      </w:r>
      <w:r>
        <w:rPr>
          <w:rFonts w:ascii="Times New Roman;sans-serif" w:hAnsi="Times New Roman;sans-serif"/>
          <w:b w:val="false"/>
          <w:color w:val="000000"/>
          <w:sz w:val="22"/>
        </w:rPr>
        <w:t xml:space="preserve">and each Unrestricted Subsidiary is identified on </w:t>
      </w:r>
      <w:r>
        <w:rPr>
          <w:rFonts w:ascii="Times New Roman;sans-serif" w:hAnsi="Times New Roman;sans-serif"/>
          <w:b w:val="false"/>
          <w:color w:val="000000"/>
          <w:sz w:val="22"/>
          <w:u w:val="single"/>
        </w:rPr>
        <w:t>Schedule 6.1(b)</w:t>
      </w:r>
      <w:r>
        <w:rPr>
          <w:rFonts w:ascii="Times New Roman;sans-serif" w:hAnsi="Times New Roman;sans-serif"/>
          <w:b w:val="false"/>
          <w:color w:val="000000"/>
          <w:sz w:val="22"/>
        </w:rPr>
        <w:t xml:space="preserve">.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the capitalization of the Company and its Subsidiaries consists of the number of shares or other ownership interests, authorized, issued and outstanding, of such classes and series, with or without par value, described on </w:t>
      </w:r>
      <w:r>
        <w:rPr>
          <w:rFonts w:ascii="Times New Roman;sans-serif" w:hAnsi="Times New Roman;sans-serif"/>
          <w:b w:val="false"/>
          <w:color w:val="000000"/>
          <w:sz w:val="22"/>
          <w:u w:val="single"/>
        </w:rPr>
        <w:t>Schedule 6.1(b)</w:t>
      </w:r>
      <w:r>
        <w:rPr>
          <w:rFonts w:ascii="Times New Roman;sans-serif" w:hAnsi="Times New Roman;sans-serif"/>
          <w:b w:val="false"/>
          <w:color w:val="000000"/>
          <w:sz w:val="22"/>
        </w:rPr>
        <w:t xml:space="preserve">. All outstanding shares or other ownership interests have been duly authorized and validly issued and are fully paid and nonassessable (to the extent such concept is applicable), with no personal liability attaching to the ownership thereof, and not subject to any preemptive or similar rights. The shareholders (or members, partners or other owners, as applicable) of the Subsidiaries of the Company and the number of shares or other ownership interests owned by each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are described on </w:t>
      </w:r>
      <w:r>
        <w:rPr>
          <w:rFonts w:ascii="Times New Roman;sans-serif" w:hAnsi="Times New Roman;sans-serif"/>
          <w:b w:val="false"/>
          <w:color w:val="000000"/>
          <w:sz w:val="22"/>
          <w:u w:val="single"/>
        </w:rPr>
        <w:t>Schedule 6.1(b)</w:t>
      </w:r>
      <w:r>
        <w:rPr>
          <w:rFonts w:ascii="Times New Roman;sans-serif" w:hAnsi="Times New Roman;sans-serif"/>
          <w:b w:val="false"/>
          <w:color w:val="000000"/>
          <w:sz w:val="22"/>
        </w:rPr>
        <w:t xml:space="preserve">.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there are no outstanding stock purchase warrants, subscriptions, options, securities, instruments or other rights of any type or nature whatsoever, which are convertible into, exchangeable for or otherwise provide for or permit the issuance of Capital Stock of the Company or its Subsidiaries, except as described on </w:t>
      </w:r>
      <w:r>
        <w:rPr>
          <w:rFonts w:ascii="Times New Roman;sans-serif" w:hAnsi="Times New Roman;sans-serif"/>
          <w:b w:val="false"/>
          <w:color w:val="000000"/>
          <w:sz w:val="22"/>
          <w:u w:val="single"/>
        </w:rPr>
        <w:t>Schedule 6.1(b)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Authorization of Agreement, Loan Documents and Borrowing</w:t>
      </w:r>
      <w:r>
        <w:rPr>
          <w:rFonts w:ascii="Times New Roman;sans-serif" w:hAnsi="Times New Roman;sans-serif"/>
          <w:b w:val="false"/>
          <w:color w:val="000000"/>
          <w:sz w:val="22"/>
        </w:rPr>
        <w:t xml:space="preserve">. Each of the Credit Parties has the right, power and authority and has taken all necessary corporate and other action to authorize the execution, delivery and performance of this Agreement and each of the other Loan Documents to which it is a party in accordance with their respective terms. This Agreement and each of the other Loan Documents has been duly executed and delivered by the duly authorized officers of each Credit Party party thereto, and each such document constitutes the legal, valid and binding obligation of each Credit Party party thereto, enforceable in accordance with its terms, except as such enforceability may be limited by bankruptcy, insolvency, reorganization, moratorium or similar state or federal </w:t>
      </w:r>
      <w:r>
        <w:rPr>
          <w:rFonts w:ascii="Times New Roman;sans-serif" w:hAnsi="Times New Roman;sans-serif"/>
          <w:b w:val="false"/>
          <w:strike/>
          <w:color w:val="FF0000"/>
          <w:sz w:val="22"/>
        </w:rPr>
        <w:t>debtor relief laws</w:t>
      </w:r>
      <w:r>
        <w:rPr>
          <w:rFonts w:ascii="Times New Roman;sans-serif" w:hAnsi="Times New Roman;sans-serif"/>
          <w:b w:val="false"/>
          <w:color w:val="0000FF"/>
          <w:sz w:val="22"/>
          <w:u w:val="single"/>
        </w:rPr>
        <w:t>Debtor Relief Laws</w:t>
      </w:r>
      <w:r>
        <w:rPr>
          <w:color w:val="000000"/>
        </w:rPr>
        <w:t xml:space="preserve"> </w:t>
      </w:r>
      <w:r>
        <w:rPr>
          <w:rFonts w:ascii="Times New Roman;sans-serif" w:hAnsi="Times New Roman;sans-serif"/>
          <w:b w:val="false"/>
          <w:color w:val="000000"/>
          <w:sz w:val="22"/>
        </w:rPr>
        <w:t>from time to time in effect which affect the enforcement of creditors’ rights in general and the availability of equitable remedies.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Compliance of Agreement, Loan Documents and Borrowing with Laws, Etc</w:t>
      </w:r>
      <w:r>
        <w:rPr>
          <w:rFonts w:ascii="Times New Roman;sans-serif" w:hAnsi="Times New Roman;sans-serif"/>
          <w:b w:val="false"/>
          <w:color w:val="000000"/>
          <w:sz w:val="22"/>
        </w:rPr>
        <w:t xml:space="preserve">. The execution, delivery and performance by each Credit Party of the Loan Documents to which each such Person is a party, in accordance with their respective terms, the Extensions of Credit hereunder and the transactions contemplated hereby do not and will not, by the passage of time, the giving of notice or otherwise, (i) require any material Governmental Approval except any approvals previously or concurrently received or violate any material Applicable Law, in each case relating to the Company or any of its Restricted Subsidiaries, (ii) conflict with, result in a breach of or constitute a default under the articles of incorporation, bylaws or other organizational documents of such Credit Party, (iii) conflict with, result in a breach of or constitute a default under any indenture, agreement or other instrument in an aggregate principal amount of at least $40,000,000 or under which amounts payable or receivable are at least $40,000,000 to which the Company or any of its Restricted Subsidiaries is a party or by which any of its properties may be bound, (iv) result in or require the creation or imposition of any Lien upon or with respect to any property now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316"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owned or hereafter acquired by such Person other than Liens arising under the Loan Documents or (v) require any consent or authorization of, filing with, or other act in respect of, an arbitrator or Governmental Authority and no consent of any other Person is required in connection with the execution, delivery, performance, validity or enforceability of this Agreement, other than (A) consents, authorizations, filings or other acts or consents obtained or for which the failure to obtain or make could not individually or in the aggregate, reasonably be expected to have a Material Adverse Effect and (B) consents or filings, if any, under the UCC.</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Compliance with Law; Governmental Approvals</w:t>
      </w:r>
      <w:r>
        <w:rPr>
          <w:rFonts w:ascii="Times New Roman;sans-serif" w:hAnsi="Times New Roman;sans-serif"/>
          <w:b w:val="false"/>
          <w:color w:val="000000"/>
          <w:sz w:val="22"/>
        </w:rPr>
        <w:t>. Except where the failure to do so, individually or in the aggregate, would not reasonably be expected to have a Material Adverse Effect, each of the Company and its Restricted Subsidiaries (i) has all Governmental Approvals required by any Applicable Law for it to conduct its business, each of which is in full force and effect, is final and not subject to review on appeal and is not the subject of any pending or, to the knowledge of the Company, threatened attack by direct or collateral proceeding, (ii) is in compliance with each Governmental Approval applicable to it and in compliance with all other Applicable Laws relating to it or any of its respective properties and (iii) has timely filed all material reports, documents and other materials required to be filed by it under all Applicable Laws with any Governmental Authority and has retained all material records and documents required to be retained by it under Applicable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Tax Returns and Payments</w:t>
      </w:r>
      <w:r>
        <w:rPr>
          <w:rFonts w:ascii="Times New Roman;sans-serif" w:hAnsi="Times New Roman;sans-serif"/>
          <w:b w:val="false"/>
          <w:color w:val="000000"/>
          <w:sz w:val="22"/>
        </w:rPr>
        <w:t>. The Company and its Restricted Subsidiaries have timely filed or caused to be filed or received an extension of the time to file all federal and other material tax returns and reports required to have been filed, and has paid, or caused to be paid, all federal and other material Taxes, assessments and governmental charges or levies upon it and its property, income, profits and assets which are due and payable except any amount the validity of which is currently being contested in good faith by appropriate proceedings and with respect to which reserves in conformity with GAAP have been provided for on the books of such Person. No Governmental Authority has asserted any Lien or other claim against the Company or any Restricted Subsidiary thereof with respect to unpaid taxes which has not been discharged or resolved other than (i) any amount the validity of which is currently being contested in good faith by appropriate proceedings and with respect to which reserves in conformity with GAAP have been provided for on the books of such Person or (ii) Permitted Liens.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Intellectual Property Matters</w:t>
      </w:r>
      <w:r>
        <w:rPr>
          <w:rFonts w:ascii="Times New Roman;sans-serif" w:hAnsi="Times New Roman;sans-serif"/>
          <w:b w:val="false"/>
          <w:color w:val="000000"/>
          <w:sz w:val="22"/>
        </w:rPr>
        <w:t>. Each of the Company and its Material Subsidiaries owns or possesses rights to use all material and franchises, licenses, copyrights, copyright applications, patents, patent rights or licenses, patent applications, trademarks, trademark rights, service mark, service mark rights, trade names, trade name rights, copyrights and rights with respect to the foregoing which are required to conduct its business. To the Borrowers’ knowledge, no event has occurred which permits, or after notice or lapse of time or both would permit, the revocation or termination of any such rights, and to the Borrowers’ knowledge, no Borrower nor any Restricted Subsidiary thereof is liable to any Person for infringement under Applicable Law with respect to any such rights as a result of its business operations, except as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Environmental Matters</w:t>
      </w:r>
      <w:r>
        <w:rPr>
          <w:rFonts w:ascii="Times New Roman;sans-serif" w:hAnsi="Times New Roman;sans-serif"/>
          <w:b w:val="false"/>
          <w:color w:val="000000"/>
          <w:sz w:val="22"/>
        </w:rPr>
        <w:t>. Except as would not reasonably be expected to have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the properties owned, leased or operated by the Company and its Restricted Subsidiaries do not contain any Hazardous Materials in amounts or concentrations which (A) constitute or constituted a violation of applicable Environmental Laws or (B) could give rise to liability under applicable Environmental Laws;</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317"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the Company, each Restricted Subsidiary and properties owned, leased or operated by the Company and its Restricted Subsidiaries and all operations conducted by the Company or its Restricted Subsidiaries in connection therewith are in compliance, and have been for the past five years in compliance, with all applicable Environmental Laws, and there is no contamination at, under or about such properties or such operations which could interfere with the continued operation of such properties or impair the fair saleable value thereof;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neither the Company nor any Restricted Subsidiary thereof has received any unresolved notice of violation, alleged violation, non-compliance, liability or potential liability regarding Environmental Claims, Hazardous Materials, or compliance with Environmental Laws, nor does the Company or any Restricted Subsidiary thereof have knowledge that any such notice will be received or is being threatened;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neither the Company nor any Restricted Subsidiary thereof has received notice that any Hazardous Materials have been transported or disposed of to or from the properties owned, leased or operated by the Company and its Restricted Subsidiaries in violation of, or in a manner or to a location which would reasonably be expected to give rise to a liability under, Environmental Laws;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no judicial proceedings or governmental or administrative action is pending, or, to the knowledge of the Company, threatened, against the Company or any of its Restricted Subsidiaries under any Environmental Law with respect to such properties or operations conducted in connection therewith, nor are there any administrative or judicial consent decrees, other decrees, consent orders or other orders outstanding under any Environmental Law with respect to the Company, any Restricted Subsidiary or such properties or such operations;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there has been no release, or to the Company’s knowledge, threat of release, of Hazardous Materials at or from properties owned, leased or operated by the Company or any Restricted Subsidiary, now or, to the Company’s knowledge, in the past, in violation of or in amounts or in a manner that would reasonably be expected to give rise to a material liability under Environmental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The Company represents and warrants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Date that the Company does not and will not hold “plan assets” (within the meaning of Section 3(42) of ERISA or otherwise) of one or more Benefit Plans;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The Company and each ERISA Affiliate is in material compliance with all applicable provisions of ERISA and the Code and the regulations and published interpretations thereunder with respect to all Employee Benefit Plans and the terms therefor except for any required amendments for which the remedial amendment period as defined in Section 401(b) of the Code has not yet expired and except where a failure to so comply would not reasonably be expected to have a Material Adverse Effect. Each Employee Benefit Plan that is intended to be qualified under Section 401(a) of the Code either has obtained a favorable determination letter as to its qualified status under the Code or is in a prototype or volume submitter plan document that has been pre-approved by the IRS as is evidenced by a letter from the IRS. No liability has been incurred by the Company or any ERISA Affiliate which remains unsatisfied for any taxes or penalties with respect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318"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Employee Benefit Plan or any Multiemployer Plan except for a liability that would not reasonably be expected to have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As of the Closing Date, no Pension Plan has been terminated, nor has any Pension Plan failed to satisfy the minimum funding standard within the meaning of such sections of the Code or ERISA, and no Pension Plan has applied for or received a waiver of the minimum funding standard or an extension of any amortization period within the meaning of Section 412 of the Code or Section 302, 303 or 304 of ERISA, nor has the Company or any ERISA Affiliate failed to make any contributions or to pay any amounts due and owing as required by Section 412 of the Code, Section 302 of ERISA or the terms of any Pension Plan or Multiemployer Plan prior to the due dates of such contributions under Section 412 of the Code or Section 302 of ERISA, nor has there been any event requiring any disclosure under Section 4041(c)(3)(C) or 4063(a) of ERISA with respect to any Pension Plan;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Except where the failure of any of the following representations to be correct in all material respects would not reasonably be expected to have a Material Adverse Effect, neither the Company nor any ERISA Affiliate has: (A) engaged in a nonexempt prohibited transaction described in Section 406 of the ERISA or Section 4975 of the Code, (B) incurred any liability to the PBGC which remains outstanding other than the payment of premiums and there are no premium payments which are due and unpaid, (C) failed to make a required contribution or payment to a Multiemployer Plan, or (D) failed to make a required installment or other required payment under Section 412 of the Code;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No Termination Event has occurred;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Except where the failure of any of the following representations to be correct in all material respects would not reasonably be expected to have a Material Adverse Effect, no proceeding, claim (other than a benefits claim in the ordinary course of business), lawsuit and/or investigation is existing or, to the knowledge of the Company, threatened concerning or involving any (A) employee welfare benefit plan (as defined in Section 3(1) of ERISA) currently maintained or contributed to by the Company or any ERISA Affiliate, (B) Pension Plan or (C) Multiemployer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Margin Stock</w:t>
      </w:r>
      <w:r>
        <w:rPr>
          <w:rFonts w:ascii="Times New Roman;sans-serif" w:hAnsi="Times New Roman;sans-serif"/>
          <w:b w:val="false"/>
          <w:color w:val="000000"/>
          <w:sz w:val="22"/>
        </w:rPr>
        <w:t>. Neither the Company nor any Restricted Subsidiary thereof is engaged principally or as one of its activities in the business of extending credit for the purpose of “purchasing” or “carrying” any “margin stock” (as each such term is defined or used, directly or indirectly, in Regulation U of the Board of Governors of the Federal Reserve System). No part of the proceeds of any of the Loans or Letters of Credit will be used for purchasing or carrying margin stock in contravention of Regulation T, U or X of such Board of Governors, or for any purpose which violates, or which would be inconsistent with, the provisions of Regulation T, U or X of such Board of Governors.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Government Regulation</w:t>
      </w:r>
      <w:r>
        <w:rPr>
          <w:rFonts w:ascii="Times New Roman;sans-serif" w:hAnsi="Times New Roman;sans-serif"/>
          <w:b w:val="false"/>
          <w:color w:val="000000"/>
          <w:sz w:val="22"/>
        </w:rPr>
        <w:t>. Neither the Company nor any Restricted Subsidiary thereof is an “investment company” or a company “controlled” by an “investment company” (as each such term is defined or used in the Investment Company Act of 1940, as amended).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Subsidiaries</w:t>
      </w:r>
      <w:r>
        <w:rPr>
          <w:rFonts w:ascii="Times New Roman;sans-serif" w:hAnsi="Times New Roman;sans-serif"/>
          <w:b w:val="false"/>
          <w:color w:val="000000"/>
          <w:sz w:val="22"/>
        </w:rPr>
        <w:t xml:space="preserve">. Each Subsidiary of the Company that is a Material Domestic Subsidiary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is listed on </w:t>
      </w:r>
      <w:r>
        <w:rPr>
          <w:rFonts w:ascii="Times New Roman;sans-serif" w:hAnsi="Times New Roman;sans-serif"/>
          <w:b w:val="false"/>
          <w:color w:val="000000"/>
          <w:sz w:val="22"/>
          <w:u w:val="single"/>
        </w:rPr>
        <w:t>Schedule 6.1(l)</w:t>
      </w:r>
      <w:r>
        <w:rPr>
          <w:color w:val="000000"/>
        </w:rPr>
        <w:t xml:space="preserve"> </w:t>
      </w:r>
      <w:r>
        <w:rPr>
          <w:rFonts w:ascii="Times New Roman;sans-serif" w:hAnsi="Times New Roman;sans-serif"/>
          <w:b w:val="false"/>
          <w:color w:val="000000"/>
          <w:sz w:val="22"/>
        </w:rPr>
        <w:t>hereto.</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319"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Employee Relations</w:t>
      </w:r>
      <w:r>
        <w:rPr>
          <w:rFonts w:ascii="Times New Roman;sans-serif" w:hAnsi="Times New Roman;sans-serif"/>
          <w:b w:val="false"/>
          <w:color w:val="000000"/>
          <w:sz w:val="22"/>
        </w:rPr>
        <w:t xml:space="preserve">. Neither the Company nor any Restricted Subsidiary thereof is,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party to any collective bargaining agreement or has any labor union been recognized as the representative of the employees of the Company or any Restricted Subsidiary thereof except as set forth on </w:t>
      </w:r>
      <w:r>
        <w:rPr>
          <w:rFonts w:ascii="Times New Roman;sans-serif" w:hAnsi="Times New Roman;sans-serif"/>
          <w:b w:val="false"/>
          <w:color w:val="000000"/>
          <w:sz w:val="22"/>
          <w:u w:val="single"/>
        </w:rPr>
        <w:t>Schedule 6.1(m</w:t>
      </w:r>
      <w:r>
        <w:rPr>
          <w:rFonts w:ascii="Times New Roman;sans-serif" w:hAnsi="Times New Roman;sans-serif"/>
          <w:b w:val="false"/>
          <w:color w:val="000000"/>
          <w:sz w:val="22"/>
        </w:rPr>
        <w:t>). The Company knows of no pending, threatened or contemplated strikes, work stoppage or other collective labor disputes involving its employees or those of its Restricted Subsidiaries that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(n)    </w:t>
      </w:r>
      <w:r>
        <w:rPr>
          <w:rFonts w:ascii="Times New Roman;sans-serif" w:hAnsi="Times New Roman;sans-serif"/>
          <w:b w:val="false"/>
          <w:color w:val="000000"/>
          <w:sz w:val="22"/>
          <w:u w:val="single"/>
        </w:rPr>
        <w:t>Financial Statements</w:t>
      </w:r>
      <w:r>
        <w:rPr>
          <w:rFonts w:ascii="Times New Roman;sans-serif" w:hAnsi="Times New Roman;sans-serif"/>
          <w:b w:val="false"/>
          <w:color w:val="000000"/>
          <w:sz w:val="22"/>
        </w:rPr>
        <w:t xml:space="preserve">. The audited Consolidated balance sheet of the Company and its Restricted Subsidiaries as of December 31, </w:t>
      </w:r>
      <w:r>
        <w:rPr>
          <w:rFonts w:ascii="Times New Roman;sans-serif" w:hAnsi="Times New Roman;sans-serif"/>
          <w:b w:val="false"/>
          <w:strike/>
          <w:color w:val="FF0000"/>
          <w:sz w:val="22"/>
        </w:rPr>
        <w:t>2019</w:t>
      </w:r>
      <w:r>
        <w:rPr>
          <w:rFonts w:ascii="Times New Roman;sans-serif" w:hAnsi="Times New Roman;sans-serif"/>
          <w:b w:val="false"/>
          <w:color w:val="0000FF"/>
          <w:sz w:val="22"/>
          <w:u w:val="single"/>
        </w:rPr>
        <w:t>2023</w:t>
      </w:r>
      <w:r>
        <w:rPr>
          <w:color w:val="000000"/>
        </w:rPr>
        <w:t xml:space="preserve"> </w:t>
      </w:r>
      <w:r>
        <w:rPr>
          <w:rFonts w:ascii="Times New Roman;sans-serif" w:hAnsi="Times New Roman;sans-serif"/>
          <w:b w:val="false"/>
          <w:color w:val="000000"/>
          <w:sz w:val="22"/>
        </w:rPr>
        <w:t>and the related audited statements of income and retained earnings and cash flows for the Fiscal Year then ended, copies of which have been furnished to the Administrative Agent and each Lender, are complete and correct and fairly present in all material respects on a Consolidated basis the assets, liabilities and financial position of the Company and its Restricted Subsidiaries as at such dates, and the results of the operations and changes of financial position for the periods then ended (other than customary year-end adjustments for unaudited financial statements). All such financial statements, including the related schedules and notes thereto, have been prepared in accordance with GAAP (but, in the case of any such financial statements, schedules and notes which are unaudited, only to the extent GAAP is applicable to interim unaudited reports).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(o)    </w:t>
      </w:r>
      <w:r>
        <w:rPr>
          <w:rFonts w:ascii="Times New Roman;sans-serif" w:hAnsi="Times New Roman;sans-serif"/>
          <w:b w:val="false"/>
          <w:color w:val="000000"/>
          <w:sz w:val="22"/>
          <w:u w:val="single"/>
        </w:rPr>
        <w:t>No Material Adverse Change</w:t>
      </w:r>
      <w:r>
        <w:rPr>
          <w:rFonts w:ascii="Times New Roman;sans-serif" w:hAnsi="Times New Roman;sans-serif"/>
          <w:b w:val="false"/>
          <w:color w:val="000000"/>
          <w:sz w:val="22"/>
        </w:rPr>
        <w:t xml:space="preserve">. Since December 31, </w:t>
      </w:r>
      <w:r>
        <w:rPr>
          <w:rFonts w:ascii="Times New Roman;sans-serif" w:hAnsi="Times New Roman;sans-serif"/>
          <w:b w:val="false"/>
          <w:strike/>
          <w:color w:val="FF0000"/>
          <w:sz w:val="22"/>
        </w:rPr>
        <w:t>2019</w:t>
      </w:r>
      <w:r>
        <w:rPr>
          <w:rFonts w:ascii="Times New Roman;sans-serif" w:hAnsi="Times New Roman;sans-serif"/>
          <w:b w:val="false"/>
          <w:color w:val="0000FF"/>
          <w:sz w:val="22"/>
          <w:u w:val="single"/>
        </w:rPr>
        <w:t>2023</w:t>
      </w:r>
      <w:r>
        <w:rPr>
          <w:rFonts w:ascii="Times New Roman;sans-serif" w:hAnsi="Times New Roman;sans-serif"/>
          <w:b w:val="false"/>
          <w:color w:val="000000"/>
          <w:sz w:val="22"/>
        </w:rPr>
        <w:t>, no event has occurred or condition arisen that has had or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(p)    </w:t>
      </w:r>
      <w:r>
        <w:rPr>
          <w:rFonts w:ascii="Times New Roman;sans-serif" w:hAnsi="Times New Roman;sans-serif"/>
          <w:b w:val="false"/>
          <w:color w:val="000000"/>
          <w:sz w:val="22"/>
          <w:u w:val="single"/>
        </w:rPr>
        <w:t>Solvency</w:t>
      </w:r>
      <w:r>
        <w:rPr>
          <w:rFonts w:ascii="Times New Roman;sans-serif" w:hAnsi="Times New Roman;sans-serif"/>
          <w:b w:val="false"/>
          <w:color w:val="000000"/>
          <w:sz w:val="22"/>
        </w:rPr>
        <w:t xml:space="preserve">.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Date and after giving effect to each Extension of Credit made hereunder, the Company and each of its Restricted Subsidiaries, taken as a whole, will be Solvent.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(q)    </w:t>
      </w:r>
      <w:r>
        <w:rPr>
          <w:rFonts w:ascii="Times New Roman;sans-serif" w:hAnsi="Times New Roman;sans-serif"/>
          <w:b w:val="false"/>
          <w:color w:val="000000"/>
          <w:sz w:val="22"/>
          <w:u w:val="single"/>
        </w:rPr>
        <w:t>Titles to Properties</w:t>
      </w:r>
      <w:r>
        <w:rPr>
          <w:rFonts w:ascii="Times New Roman;sans-serif" w:hAnsi="Times New Roman;sans-serif"/>
          <w:b w:val="false"/>
          <w:color w:val="000000"/>
          <w:sz w:val="22"/>
        </w:rPr>
        <w:t>. Each of the Company and its Material Subsidiaries has such title to the real property owned or leased by it as is necessary to the conduct of its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(r)    </w:t>
      </w:r>
      <w:r>
        <w:rPr>
          <w:rFonts w:ascii="Times New Roman;sans-serif" w:hAnsi="Times New Roman;sans-serif"/>
          <w:b w:val="false"/>
          <w:color w:val="000000"/>
          <w:sz w:val="22"/>
          <w:u w:val="single"/>
        </w:rPr>
        <w:t>Liens</w:t>
      </w:r>
      <w:r>
        <w:rPr>
          <w:rFonts w:ascii="Times New Roman;sans-serif" w:hAnsi="Times New Roman;sans-serif"/>
          <w:b w:val="false"/>
          <w:color w:val="000000"/>
          <w:sz w:val="22"/>
        </w:rPr>
        <w:t>. None of the properties and assets of the Company or any Restricted Subsidiary thereof is subject to any Lien, except Permitted Liens.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    </w:t>
      </w:r>
      <w:r>
        <w:rPr>
          <w:rFonts w:ascii="Times New Roman;sans-serif" w:hAnsi="Times New Roman;sans-serif"/>
          <w:b w:val="false"/>
          <w:color w:val="000000"/>
          <w:sz w:val="22"/>
          <w:u w:val="single"/>
        </w:rPr>
        <w:t>Litigation</w:t>
      </w:r>
      <w:r>
        <w:rPr>
          <w:rFonts w:ascii="Times New Roman;sans-serif" w:hAnsi="Times New Roman;sans-serif"/>
          <w:b w:val="false"/>
          <w:color w:val="000000"/>
          <w:sz w:val="22"/>
        </w:rPr>
        <w:t>. Except for matters that would not reasonably be expected, individually or in the aggregate, to have a Material Adverse Effect, there are no actions, suits or proceedings pending nor, to the knowledge of the Company, threatened in writing against or in any other way relating adversely to or affecting the Company or any Restricted Subsidiary thereof or any of their respective properties in any court or before any arbitrator of any kind or before or by any Governmental Authority.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    </w:t>
      </w:r>
      <w:r>
        <w:rPr>
          <w:rFonts w:ascii="Times New Roman;sans-serif" w:hAnsi="Times New Roman;sans-serif"/>
          <w:b w:val="false"/>
          <w:color w:val="000000"/>
          <w:sz w:val="22"/>
          <w:u w:val="single"/>
        </w:rPr>
        <w:t>Absence of Defaults</w:t>
      </w:r>
      <w:r>
        <w:rPr>
          <w:rFonts w:ascii="Times New Roman;sans-serif" w:hAnsi="Times New Roman;sans-serif"/>
          <w:b w:val="false"/>
          <w:color w:val="000000"/>
          <w:sz w:val="22"/>
        </w:rPr>
        <w:t>. No event has occurred or is continuing which constitutes a Default or an Event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(u)    </w:t>
      </w:r>
      <w:r>
        <w:rPr>
          <w:rFonts w:ascii="Times New Roman;sans-serif" w:hAnsi="Times New Roman;sans-serif"/>
          <w:b w:val="false"/>
          <w:color w:val="000000"/>
          <w:sz w:val="22"/>
          <w:u w:val="single"/>
        </w:rPr>
        <w:t>Senior Indebtedness Status</w:t>
      </w:r>
      <w:r>
        <w:rPr>
          <w:rFonts w:ascii="Times New Roman;sans-serif" w:hAnsi="Times New Roman;sans-serif"/>
          <w:b w:val="false"/>
          <w:color w:val="000000"/>
          <w:sz w:val="22"/>
        </w:rPr>
        <w:t>. The Obligations of the Company and each other Credit Party under this Agreement and each of the other Loan Documents rank and shall continue to rank at least senior in priority of payment to all Subordinated Indebtedness of each such Person and is designated as “Senior Indebtedness” or otherwise treated as senior debt under all instruments and documents, now or in the future, relating to all Subordinated Indebtedness of such Person.</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320"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(v)    </w:t>
      </w:r>
      <w:r>
        <w:rPr>
          <w:rFonts w:ascii="Times New Roman;sans-serif" w:hAnsi="Times New Roman;sans-serif"/>
          <w:b w:val="false"/>
          <w:color w:val="000000"/>
          <w:sz w:val="22"/>
          <w:u w:val="single"/>
        </w:rPr>
        <w:t>Sanctions Concerns</w:t>
      </w:r>
      <w:r>
        <w:rPr>
          <w:rFonts w:ascii="Times New Roman;sans-serif" w:hAnsi="Times New Roman;sans-serif"/>
          <w:b w:val="false"/>
          <w:color w:val="000000"/>
          <w:sz w:val="22"/>
        </w:rPr>
        <w:t xml:space="preserve">. No Credit Party, nor any Subsidiary, nor, to the knowledge of the Credit Parties and their Subsidiaries, any director, officer, employee, agent, affiliate or representative thereof, is an individual or entity that is, or is owned or controlled by any individual or entity that is (i) currently the subject </w:t>
      </w:r>
      <w:r>
        <w:rPr>
          <w:rFonts w:ascii="Times New Roman;sans-serif" w:hAnsi="Times New Roman;sans-serif"/>
          <w:b w:val="false"/>
          <w:strike/>
          <w:color w:val="FF0000"/>
          <w:sz w:val="22"/>
        </w:rPr>
        <w:t>or target of any</w:t>
      </w:r>
      <w:r>
        <w:rPr>
          <w:rFonts w:ascii="Times New Roman;sans-serif" w:hAnsi="Times New Roman;sans-serif"/>
          <w:b w:val="false"/>
          <w:color w:val="0000FF"/>
          <w:sz w:val="22"/>
          <w:u w:val="single"/>
        </w:rPr>
        <w:t>of applicable</w:t>
      </w:r>
      <w:r>
        <w:rPr>
          <w:color w:val="000000"/>
        </w:rPr>
        <w:t xml:space="preserve"> </w:t>
      </w:r>
      <w:r>
        <w:rPr>
          <w:rFonts w:ascii="Times New Roman;sans-serif" w:hAnsi="Times New Roman;sans-serif"/>
          <w:b w:val="false"/>
          <w:color w:val="000000"/>
          <w:sz w:val="22"/>
        </w:rPr>
        <w:t xml:space="preserve">Sanctions, (ii) included on OFAC’s List of Specially Designated Nationals, </w:t>
      </w:r>
      <w:r>
        <w:rPr>
          <w:rFonts w:ascii="Times New Roman;sans-serif" w:hAnsi="Times New Roman;sans-serif"/>
          <w:b w:val="false"/>
          <w:strike/>
          <w:color w:val="FF0000"/>
          <w:sz w:val="22"/>
        </w:rPr>
        <w:t>Her</w:t>
      </w:r>
      <w:r>
        <w:rPr>
          <w:rFonts w:ascii="Times New Roman;sans-serif" w:hAnsi="Times New Roman;sans-serif"/>
          <w:b w:val="false"/>
          <w:color w:val="0000FF"/>
          <w:sz w:val="22"/>
          <w:u w:val="single"/>
        </w:rPr>
        <w:t>His</w:t>
      </w:r>
      <w:r>
        <w:rPr>
          <w:color w:val="000000"/>
        </w:rPr>
        <w:t xml:space="preserve"> </w:t>
      </w:r>
      <w:r>
        <w:rPr>
          <w:rFonts w:ascii="Times New Roman;sans-serif" w:hAnsi="Times New Roman;sans-serif"/>
          <w:b w:val="false"/>
          <w:color w:val="000000"/>
          <w:sz w:val="22"/>
        </w:rPr>
        <w:t>Majesty’s Treasury’s Consolidated List of Financial Sanctions Targets and the Investment Ban List</w:t>
      </w:r>
      <w:r>
        <w:rPr>
          <w:rFonts w:ascii="Times New Roman;sans-serif" w:hAnsi="Times New Roman;sans-serif"/>
          <w:b w:val="false"/>
          <w:strike/>
          <w:color w:val="FF0000"/>
          <w:sz w:val="22"/>
        </w:rPr>
        <w:t xml:space="preserve">, </w:t>
      </w:r>
      <w:r>
        <w:rPr>
          <w:rFonts w:ascii="Times New Roman;sans-serif" w:hAnsi="Times New Roman;sans-serif"/>
          <w:b w:val="false"/>
          <w:color w:val="0000FF"/>
          <w:sz w:val="22"/>
          <w:u w:val="single"/>
        </w:rPr>
        <w:t>(</w:t>
      </w:r>
      <w:r>
        <w:rPr>
          <w:rFonts w:ascii="Times New Roman;sans-serif" w:hAnsi="Times New Roman;sans-serif"/>
          <w:b w:val="false"/>
          <w:color w:val="000000"/>
          <w:sz w:val="22"/>
        </w:rPr>
        <w:t xml:space="preserve">or any similar list </w:t>
      </w:r>
      <w:r>
        <w:rPr>
          <w:rFonts w:ascii="Times New Roman;sans-serif" w:hAnsi="Times New Roman;sans-serif"/>
          <w:b w:val="false"/>
          <w:strike/>
          <w:color w:val="FF0000"/>
          <w:sz w:val="22"/>
        </w:rPr>
        <w:t>enforced by any other relevant sanctions authority to which the Company or its Subsidiaries are subject</w:t>
      </w:r>
      <w:r>
        <w:rPr>
          <w:rFonts w:ascii="Times New Roman;sans-serif" w:hAnsi="Times New Roman;sans-serif"/>
          <w:b w:val="false"/>
          <w:color w:val="0000FF"/>
          <w:sz w:val="22"/>
          <w:u w:val="single"/>
        </w:rPr>
        <w:t>maintained by the European Union)</w:t>
      </w:r>
      <w:r>
        <w:rPr>
          <w:color w:val="000000"/>
        </w:rPr>
        <w:t xml:space="preserve"> </w:t>
      </w:r>
      <w:r>
        <w:rPr>
          <w:rFonts w:ascii="Times New Roman;sans-serif" w:hAnsi="Times New Roman;sans-serif"/>
          <w:b w:val="false"/>
          <w:color w:val="000000"/>
          <w:sz w:val="22"/>
        </w:rPr>
        <w:t>or (iii) located, organized or resident in a Designated Jurisdiction.</w:t>
      </w:r>
    </w:p>
    <w:p>
      <w:pPr>
        <w:pStyle w:val="TextBody"/>
        <w:bidi w:val="0"/>
        <w:spacing w:lineRule="auto" w:line="288" w:before="0" w:after="240"/>
        <w:ind w:left="0" w:right="0" w:firstLine="720"/>
        <w:jc w:val="both"/>
        <w:rPr/>
      </w:pPr>
      <w:r>
        <w:rPr>
          <w:rFonts w:ascii="Times New Roman;sans-serif" w:hAnsi="Times New Roman;sans-serif"/>
          <w:b w:val="false"/>
          <w:i/>
          <w:color w:val="000000"/>
          <w:sz w:val="22"/>
        </w:rPr>
        <w:t>(w)    </w:t>
      </w:r>
      <w:r>
        <w:rPr>
          <w:rFonts w:ascii="Times New Roman;sans-serif" w:hAnsi="Times New Roman;sans-serif"/>
          <w:b w:val="false"/>
          <w:strike/>
          <w:color w:val="FF0000"/>
          <w:sz w:val="22"/>
          <w:u w:val="single"/>
        </w:rPr>
        <w:t>Anti-Corruption</w:t>
      </w:r>
      <w:r>
        <w:rPr>
          <w:rFonts w:ascii="Times New Roman;sans-serif" w:hAnsi="Times New Roman;sans-serif"/>
          <w:b w:val="false"/>
          <w:color w:val="0000FF"/>
          <w:sz w:val="22"/>
          <w:u w:val="single"/>
        </w:rPr>
        <w:t>Anti-Corruption</w:t>
      </w:r>
      <w:r>
        <w:rPr>
          <w:color w:val="000000"/>
          <w:u w:val="single"/>
        </w:rPr>
        <w:t xml:space="preserve"> </w:t>
      </w:r>
      <w:r>
        <w:rPr>
          <w:rFonts w:ascii="Times New Roman;sans-serif" w:hAnsi="Times New Roman;sans-serif"/>
          <w:b w:val="false"/>
          <w:color w:val="000000"/>
          <w:sz w:val="22"/>
          <w:u w:val="single"/>
        </w:rPr>
        <w:t>Laws</w:t>
      </w:r>
      <w:r>
        <w:rPr>
          <w:rFonts w:ascii="Times New Roman;sans-serif" w:hAnsi="Times New Roman;sans-serif"/>
          <w:b w:val="false"/>
          <w:color w:val="000000"/>
          <w:sz w:val="22"/>
        </w:rPr>
        <w:t xml:space="preserve">. The Credit Parties and their Subsidiaries have conducted their business in compliance </w:t>
      </w:r>
      <w:r>
        <w:rPr>
          <w:rFonts w:ascii="Times New Roman;sans-serif" w:hAnsi="Times New Roman;sans-serif"/>
          <w:b w:val="false"/>
          <w:color w:val="0000FF"/>
          <w:sz w:val="22"/>
          <w:u w:val="single"/>
        </w:rPr>
        <w:t xml:space="preserve">in all material respects </w:t>
      </w:r>
      <w:r>
        <w:rPr>
          <w:rFonts w:ascii="Times New Roman;sans-serif" w:hAnsi="Times New Roman;sans-serif"/>
          <w:b w:val="false"/>
          <w:color w:val="000000"/>
          <w:sz w:val="22"/>
        </w:rPr>
        <w:t xml:space="preserve">with the United States Foreign Corrupt Practices Act of 1977, the UK Bribery Act 2010 and other similar </w:t>
      </w:r>
      <w:r>
        <w:rPr>
          <w:rFonts w:ascii="Times New Roman;sans-serif" w:hAnsi="Times New Roman;sans-serif"/>
          <w:b w:val="false"/>
          <w:strike/>
          <w:color w:val="FF0000"/>
          <w:sz w:val="22"/>
        </w:rPr>
        <w:t>anti-corruption</w:t>
      </w:r>
      <w:r>
        <w:rPr>
          <w:rFonts w:ascii="Times New Roman;sans-serif" w:hAnsi="Times New Roman;sans-serif"/>
          <w:b w:val="false"/>
          <w:color w:val="0000FF"/>
          <w:sz w:val="22"/>
          <w:u w:val="single"/>
        </w:rPr>
        <w:t>anti-corruption</w:t>
      </w:r>
      <w:r>
        <w:rPr>
          <w:color w:val="000000"/>
        </w:rPr>
        <w:t xml:space="preserve"> </w:t>
      </w:r>
      <w:r>
        <w:rPr>
          <w:rFonts w:ascii="Times New Roman;sans-serif" w:hAnsi="Times New Roman;sans-serif"/>
          <w:b w:val="false"/>
          <w:color w:val="000000"/>
          <w:sz w:val="22"/>
        </w:rPr>
        <w:t xml:space="preserve">legislation in other jurisdictions applicable to the Company and its Subsidiaries, and have instituted and maintained policies and procedures that, in the Company’s reasonable business judgment, are designed to promote </w:t>
      </w:r>
      <w:r>
        <w:rPr>
          <w:rFonts w:ascii="Times New Roman;sans-serif" w:hAnsi="Times New Roman;sans-serif"/>
          <w:b w:val="false"/>
          <w:strike/>
          <w:color w:val="FF0000"/>
          <w:sz w:val="22"/>
        </w:rPr>
        <w:t xml:space="preserve">and achieve </w:t>
      </w:r>
      <w:r>
        <w:rPr>
          <w:rFonts w:ascii="Times New Roman;sans-serif" w:hAnsi="Times New Roman;sans-serif"/>
          <w:b w:val="false"/>
          <w:color w:val="000000"/>
          <w:sz w:val="22"/>
        </w:rPr>
        <w:t>compliance with such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(x)    </w:t>
      </w:r>
      <w:r>
        <w:rPr>
          <w:rFonts w:ascii="Times New Roman;sans-serif" w:hAnsi="Times New Roman;sans-serif"/>
          <w:b w:val="false"/>
          <w:color w:val="000000"/>
          <w:sz w:val="22"/>
          <w:u w:val="single"/>
        </w:rPr>
        <w:t>No Affected Financial Institutions</w:t>
      </w:r>
      <w:r>
        <w:rPr>
          <w:rFonts w:ascii="Times New Roman;sans-serif" w:hAnsi="Times New Roman;sans-serif"/>
          <w:b w:val="false"/>
          <w:color w:val="000000"/>
          <w:sz w:val="22"/>
        </w:rPr>
        <w:t>. No Credit Party is an Affected Financial Institution.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(y)    </w:t>
      </w:r>
      <w:r>
        <w:rPr>
          <w:rFonts w:ascii="Times New Roman;sans-serif" w:hAnsi="Times New Roman;sans-serif"/>
          <w:b w:val="false"/>
          <w:color w:val="000000"/>
          <w:sz w:val="22"/>
          <w:u w:val="single"/>
        </w:rPr>
        <w:t>Disclosure</w:t>
      </w:r>
      <w:r>
        <w:rPr>
          <w:rFonts w:ascii="Times New Roman;sans-serif" w:hAnsi="Times New Roman;sans-serif"/>
          <w:b w:val="false"/>
          <w:color w:val="000000"/>
          <w:sz w:val="22"/>
        </w:rPr>
        <w:t xml:space="preserve">. No financial statement, material report, material certificate or other material information furnished in writing (taken as a whole) by or on behalf of any of the Credit Parties to the Administrative Agent or any Lender in connection with the transactions contemplated hereby and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projected financial information, pro forma financial information, estimated financial information and other projected or estimated information, the Company represents only that such information was prepared in good faith based upon assumptions believed to be reasonable at the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such forecasted statements are being made as to future events and are not to be viewed as facts, are subject to significant uncertainties and contingencies, many of which are beyond the control of any Credit Party, that no assurance can be given that any particular item contained in such forecasted statements will be realized and that the actual results during the period or periods covered by any such business plan and operating and capital budget may differ significantly from the projected results or other forward looking information, and such differences may be material. The information included in each Beneficial Ownership Certification, if applicable, is true and correct in all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(z)    </w:t>
      </w:r>
      <w:r>
        <w:rPr>
          <w:rFonts w:ascii="Times New Roman;sans-serif" w:hAnsi="Times New Roman;sans-serif"/>
          <w:b w:val="false"/>
          <w:color w:val="000000"/>
          <w:sz w:val="22"/>
          <w:u w:val="single"/>
        </w:rPr>
        <w:t>Security Documents</w:t>
      </w:r>
      <w:r>
        <w:rPr>
          <w:rFonts w:ascii="Times New Roman;sans-serif" w:hAnsi="Times New Roman;sans-serif"/>
          <w:b w:val="false"/>
          <w:color w:val="000000"/>
          <w:sz w:val="22"/>
        </w:rPr>
        <w:t>. The Security Documents create valid and enforceable security interests in, and Liens on, the Collateral purported to be covered thereby. Except as set forth in the Security Documents, such security interests and Liens are currently (or will be, upon (i) the filing of appropriate financing statements with the Secretary of State of the state of incorporation or organization for each Credit Party in favor of the Administrative Agent, on behalf of the Lenders, and (ii) the Administrative Agent obtaining control or possession over those items of Collateral in which a security interest is perfected through control or possession) perfected security interests and Liens in favor of the Administrative Agent, for the benefit of the Lenders, prior to all other Liens other than Permitted Liens.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2"/>
        </w:rPr>
        <w:t>(aa)    </w:t>
      </w:r>
      <w:r>
        <w:rPr>
          <w:rFonts w:ascii="Times New Roman;sans-serif" w:hAnsi="Times New Roman;sans-serif"/>
          <w:b w:val="false"/>
          <w:color w:val="000000"/>
          <w:sz w:val="22"/>
          <w:u w:val="single"/>
        </w:rPr>
        <w:t>Representations as to Foreign Subsidiaries</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321"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i/>
          <w:color w:val="000000"/>
          <w:sz w:val="22"/>
        </w:rPr>
        <w:t>(i)    </w:t>
      </w:r>
      <w:r>
        <w:rPr>
          <w:rFonts w:ascii="Times New Roman;sans-serif" w:hAnsi="Times New Roman;sans-serif"/>
          <w:b w:val="false"/>
          <w:color w:val="000000"/>
          <w:sz w:val="22"/>
        </w:rPr>
        <w:t>Such Foreign Obligor is subject to civil and commercial Applicable Laws with respect to its obligations under this Agreement and the other Loan Documents to which it is a party (collectively as to such Foreign Obligor, the “</w:t>
      </w:r>
      <w:r>
        <w:rPr>
          <w:rFonts w:ascii="Times New Roman;sans-serif" w:hAnsi="Times New Roman;sans-serif"/>
          <w:b w:val="false"/>
          <w:color w:val="000000"/>
          <w:sz w:val="22"/>
          <w:u w:val="single"/>
        </w:rPr>
        <w:t>Applicable Foreign Obligor Documents</w:t>
      </w:r>
      <w:r>
        <w:rPr>
          <w:color w:val="000000"/>
        </w:rPr>
        <w:t>”</w:t>
      </w:r>
      <w:r>
        <w:rPr>
          <w:rFonts w:ascii="Times New Roman;sans-serif" w:hAnsi="Times New Roman;sans-serif"/>
          <w:b w:val="false"/>
          <w:color w:val="000000"/>
          <w:sz w:val="22"/>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pStyle w:val="TextBody"/>
        <w:bidi w:val="0"/>
        <w:spacing w:lineRule="auto" w:line="288" w:before="0" w:after="240"/>
        <w:ind w:left="0" w:right="0" w:firstLine="720"/>
        <w:jc w:val="both"/>
        <w:rPr/>
      </w:pPr>
      <w:r>
        <w:rPr>
          <w:rFonts w:ascii="Times New Roman;sans-serif" w:hAnsi="Times New Roman;sans-serif"/>
          <w:b w:val="false"/>
          <w:i/>
          <w:color w:val="000000"/>
          <w:sz w:val="22"/>
        </w:rPr>
        <w:t>(ii)    </w:t>
      </w:r>
      <w:r>
        <w:rPr>
          <w:rFonts w:ascii="Times New Roman;sans-serif" w:hAnsi="Times New Roman;sans-serif"/>
          <w:b w:val="false"/>
          <w:color w:val="000000"/>
          <w:sz w:val="22"/>
        </w:rPr>
        <w:t>The Applicable Foreign Obligor Documents are in proper legal form under the Applicable Laws of the jurisdiction in which such Foreign Obligor is organized and existing for the enforcement thereof against such Foreign Obligor under the Applicable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pStyle w:val="TextBody"/>
        <w:bidi w:val="0"/>
        <w:spacing w:lineRule="auto" w:line="288" w:before="0" w:after="240"/>
        <w:ind w:left="0" w:right="0" w:firstLine="720"/>
        <w:jc w:val="both"/>
        <w:rPr/>
      </w:pPr>
      <w:r>
        <w:rPr>
          <w:rFonts w:ascii="Times New Roman;sans-serif" w:hAnsi="Times New Roman;sans-serif"/>
          <w:b w:val="false"/>
          <w:i/>
          <w:color w:val="000000"/>
          <w:sz w:val="22"/>
        </w:rPr>
        <w:t>(iii)    </w:t>
      </w:r>
      <w:r>
        <w:rPr>
          <w:rFonts w:ascii="Times New Roman;sans-serif" w:hAnsi="Times New Roman;sans-serif"/>
          <w:b w:val="false"/>
          <w:color w:val="000000"/>
          <w:sz w:val="22"/>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pStyle w:val="TextBody"/>
        <w:bidi w:val="0"/>
        <w:spacing w:lineRule="auto" w:line="288" w:before="0" w:after="240"/>
        <w:ind w:left="0" w:right="0" w:firstLine="720"/>
        <w:jc w:val="both"/>
        <w:rPr/>
      </w:pPr>
      <w:r>
        <w:rPr>
          <w:rFonts w:ascii="Times New Roman;sans-serif" w:hAnsi="Times New Roman;sans-serif"/>
          <w:b w:val="false"/>
          <w:i/>
          <w:color w:val="000000"/>
          <w:sz w:val="22"/>
        </w:rPr>
        <w:t>(iv)    </w:t>
      </w:r>
      <w:r>
        <w:rPr>
          <w:rFonts w:ascii="Times New Roman;sans-serif" w:hAnsi="Times New Roman;sans-serif"/>
          <w:b w:val="false"/>
          <w:color w:val="000000"/>
          <w:sz w:val="22"/>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(x) such as have been made or obtained or (y) such as cannot be made or obtained until a later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notification or authorization described in clause (y) shall be made or obtained as soon as is reasonably practicable).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6.2    </w:t>
      </w:r>
      <w:r>
        <w:rPr>
          <w:rFonts w:ascii="Times New Roman;sans-serif" w:hAnsi="Times New Roman;sans-serif"/>
          <w:b/>
          <w:color w:val="000000"/>
          <w:sz w:val="22"/>
          <w:u w:val="single"/>
        </w:rPr>
        <w:t>Survival of Representations and Warranties, Etc</w:t>
      </w:r>
      <w:r>
        <w:rPr>
          <w:rFonts w:ascii="Times New Roman;sans-serif" w:hAnsi="Times New Roman;sans-serif"/>
          <w:b w:val="false"/>
          <w:color w:val="000000"/>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Extension of Credit, and shall continue in full force and effect as long as any Loan or any other Obligation hereunder shall remain unpaid or unsatisfied or any Letter of Credit shall remain outstanding.</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322"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VII</w:t>
        <w:br/>
        <w:br/>
        <w:t>FINANCIAL INFORMATION AND NOTICES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Until all of the Obligations (other than contingent </w:t>
      </w:r>
      <w:r>
        <w:rPr>
          <w:rFonts w:ascii="Times New Roman;sans-serif" w:hAnsi="Times New Roman;sans-serif"/>
          <w:b w:val="false"/>
          <w:strike/>
          <w:color w:val="FF0000"/>
          <w:sz w:val="24"/>
        </w:rPr>
        <w:t xml:space="preserve">indemnification </w:t>
      </w:r>
      <w:r>
        <w:rPr>
          <w:rFonts w:ascii="Times New Roman;sans-serif" w:hAnsi="Times New Roman;sans-serif"/>
          <w:b w:val="false"/>
          <w:color w:val="000000"/>
          <w:sz w:val="24"/>
        </w:rPr>
        <w:t xml:space="preserve">obligations not yet due </w:t>
      </w:r>
      <w:r>
        <w:rPr>
          <w:rFonts w:ascii="Times New Roman;sans-serif" w:hAnsi="Times New Roman;sans-serif"/>
          <w:b w:val="false"/>
          <w:color w:val="0000FF"/>
          <w:sz w:val="24"/>
          <w:u w:val="single"/>
        </w:rPr>
        <w:t xml:space="preserve">for which no claim has been asserted </w:t>
      </w:r>
      <w:r>
        <w:rPr>
          <w:rFonts w:ascii="Times New Roman;sans-serif" w:hAnsi="Times New Roman;sans-serif"/>
          <w:b w:val="false"/>
          <w:color w:val="000000"/>
          <w:sz w:val="24"/>
        </w:rPr>
        <w:t xml:space="preserve">and Bank Product Debt) have been paid in full (or, in the case of Letters of Credit, cash collateralized) and the Commitments terminated, unless consent has been obtained in the manner set forth in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 xml:space="preserve">, the Company will furnish or cause to be furnished to the Administrative Agent at the Administrative Agent’s Office at the address set forth in </w:t>
      </w:r>
      <w:r>
        <w:rPr>
          <w:rFonts w:ascii="Times New Roman;sans-serif" w:hAnsi="Times New Roman;sans-serif"/>
          <w:b w:val="false"/>
          <w:color w:val="000000"/>
          <w:sz w:val="24"/>
          <w:u w:val="single"/>
        </w:rPr>
        <w:t>Section 13.1</w:t>
      </w:r>
      <w:r>
        <w:rPr>
          <w:color w:val="000000"/>
        </w:rPr>
        <w:t xml:space="preserve"> </w:t>
      </w:r>
      <w:r>
        <w:rPr>
          <w:rFonts w:ascii="Times New Roman;sans-serif" w:hAnsi="Times New Roman;sans-serif"/>
          <w:b w:val="false"/>
          <w:color w:val="000000"/>
          <w:sz w:val="24"/>
        </w:rPr>
        <w:t>and to the Lenders at their respective addresses as set forth on the Register, or such other office as may be designated by the Administrative Agent and Lenders from time to time: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7.1    </w:t>
      </w:r>
      <w:r>
        <w:rPr>
          <w:rFonts w:ascii="Times New Roman;sans-serif" w:hAnsi="Times New Roman;sans-serif"/>
          <w:b/>
          <w:color w:val="000000"/>
          <w:sz w:val="22"/>
          <w:u w:val="single"/>
        </w:rPr>
        <w:t>Financial Statements and Projections.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Quarterly Financial Statements</w:t>
      </w:r>
      <w:r>
        <w:rPr>
          <w:rFonts w:ascii="Times New Roman;sans-serif" w:hAnsi="Times New Roman;sans-serif"/>
          <w:b w:val="false"/>
          <w:color w:val="000000"/>
          <w:sz w:val="22"/>
        </w:rPr>
        <w:t xml:space="preserve">. As soon as practicable and in any event within forty-five (45) days (or, if earlier, on the date of any required public filing thereof) after the end of each of the first three fiscal quarters of each Fiscal Year, an unaudited Consolidated balance sheet of the Company and its Subsidiaries as of the close of such fiscal quarter and unaudited Consolidated statements of income, retained earnings and cash flows for the fiscal quarter then ended and that portion of the Fiscal Year then ended, including the notes thereto, all in reasonable detail setting forth in comparative form the corresponding figures as of the end of and for the corresponding period in the preceding Fiscal Year and prepared by the Company in accordance with GAAP (to the extent GAAP is applicable to interim unaudited reports) and, if applicable, containing disclosure of the effect on the financial position or results of operations of any change in the application of accounting principles and practices during the period, and certified by a Responsible Officer of the Company to present fairly in all material respects the financial condition of the Company and its Subsidiaries on a Consolidated basis as of their respective dates and the results of operations of the Company and its Subsidiaries for the respective periods then ended, subject to normal </w:t>
      </w:r>
      <w:r>
        <w:rPr>
          <w:rFonts w:ascii="Times New Roman;sans-serif" w:hAnsi="Times New Roman;sans-serif"/>
          <w:b w:val="false"/>
          <w:strike/>
          <w:color w:val="FF0000"/>
          <w:sz w:val="22"/>
        </w:rPr>
        <w:t>year-end</w:t>
      </w:r>
      <w:r>
        <w:rPr>
          <w:rFonts w:ascii="Times New Roman;sans-serif" w:hAnsi="Times New Roman;sans-serif"/>
          <w:b w:val="false"/>
          <w:color w:val="0000FF"/>
          <w:sz w:val="22"/>
          <w:u w:val="single"/>
        </w:rPr>
        <w:t>year-end</w:t>
      </w:r>
      <w:r>
        <w:rPr>
          <w:color w:val="000000"/>
        </w:rPr>
        <w:t xml:space="preserve"> </w:t>
      </w:r>
      <w:r>
        <w:rPr>
          <w:rFonts w:ascii="Times New Roman;sans-serif" w:hAnsi="Times New Roman;sans-serif"/>
          <w:b w:val="false"/>
          <w:color w:val="000000"/>
          <w:sz w:val="22"/>
        </w:rPr>
        <w:t xml:space="preserve">adjustments. Delivery by the Company to the Administrative Agent and the Lenders of the Company’s quarterly report to the SEC on Form 10-Q with respect to any fiscal quarter, or the availability of such report on EDGAR Online, within the period specified above shall be deemed to be compliance by the Company with this </w:t>
      </w:r>
      <w:r>
        <w:rPr>
          <w:rFonts w:ascii="Times New Roman;sans-serif" w:hAnsi="Times New Roman;sans-serif"/>
          <w:b w:val="false"/>
          <w:color w:val="000000"/>
          <w:sz w:val="22"/>
          <w:u w:val="single"/>
        </w:rPr>
        <w:t>Section 7.1(a)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Annual Financial Statements</w:t>
      </w:r>
      <w:r>
        <w:rPr>
          <w:rFonts w:ascii="Times New Roman;sans-serif" w:hAnsi="Times New Roman;sans-serif"/>
          <w:b w:val="false"/>
          <w:color w:val="000000"/>
          <w:sz w:val="22"/>
        </w:rPr>
        <w:t xml:space="preserve">. As soon as practicable and in any event within ninety (90) days (or, if earlier, on the date of any required public filing thereof) after the end of each Fiscal Year, an audited Consolidated balance sheet of the Company and its Subsidiaries as of the close of such Fiscal Year and audited Consolidated statements of income, retained earnings and cash flows for the Fiscal Year then ended, including the notes thereto, all in reasonable detail setting forth in comparative form the corresponding figures as of the end of and for the preceding Fiscal Year and prepared in accordance with GAAP and, if applicable, containing disclosure of the effect on the financial position or results of operations of any change in the application of accounting principles and practices during the year. Such annual financial statements shall be audited by an independent certified public accounting firm of national standing or otherwise acceptable to the Administrative Agent (it being agreed that </w:t>
      </w:r>
      <w:r>
        <w:rPr>
          <w:rFonts w:ascii="Times New Roman;sans-serif" w:hAnsi="Times New Roman;sans-serif"/>
          <w:b w:val="false"/>
          <w:strike/>
          <w:color w:val="FF0000"/>
          <w:sz w:val="22"/>
        </w:rPr>
        <w:t>PRICEWATERHOUSECOOPERS</w:t>
      </w:r>
      <w:r>
        <w:rPr>
          <w:rFonts w:ascii="Times New Roman;sans-serif" w:hAnsi="Times New Roman;sans-serif"/>
          <w:b w:val="false"/>
          <w:color w:val="0000FF"/>
          <w:sz w:val="22"/>
          <w:u w:val="single"/>
        </w:rPr>
        <w:t>Ernst &amp; Young</w:t>
      </w:r>
      <w:r>
        <w:rPr>
          <w:color w:val="000000"/>
        </w:rPr>
        <w:t xml:space="preserve"> </w:t>
      </w:r>
      <w:r>
        <w:rPr>
          <w:rFonts w:ascii="Times New Roman;sans-serif" w:hAnsi="Times New Roman;sans-serif"/>
          <w:b w:val="false"/>
          <w:color w:val="000000"/>
          <w:sz w:val="22"/>
        </w:rPr>
        <w:t xml:space="preserve">LLP is acceptable), and accompanied by a report thereon by such certified public accountants that is not qualified with respect to scope limitations imposed by the Company or any of its Subsidiaries or with respect to accounting principles followed by the Company or any of its Subsidiaries not in accordance with GAAP. Delivery by the Company to the Administrative Agent and the Lenders of the Company’s annual report to the SEC on Form 10-K with respect to any Fiscal Year, or the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323"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availability of such report on EDGAR Online, within the period specified above shall be deemed to be compliance by the Company with this </w:t>
      </w:r>
      <w:r>
        <w:rPr>
          <w:rFonts w:ascii="Times New Roman;sans-serif" w:hAnsi="Times New Roman;sans-serif"/>
          <w:b w:val="false"/>
          <w:color w:val="000000"/>
          <w:sz w:val="22"/>
          <w:u w:val="single"/>
        </w:rPr>
        <w:t>Section 7.1(b)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Annual Budget</w:t>
      </w:r>
      <w:r>
        <w:rPr>
          <w:rFonts w:ascii="Times New Roman;sans-serif" w:hAnsi="Times New Roman;sans-serif"/>
          <w:b w:val="false"/>
          <w:color w:val="000000"/>
          <w:sz w:val="22"/>
        </w:rPr>
        <w:t>. As soon as practicable and in any event within ninety (90) days after the end of each Fiscal Year commencing with Fiscal Year 2020, an annual operating and capital budget of the Company and its Restricted Subsidiaries, in a form and with calculations to be made in a manner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Unrestricted Subsidiaries</w:t>
      </w:r>
      <w:r>
        <w:rPr>
          <w:rFonts w:ascii="Times New Roman;sans-serif" w:hAnsi="Times New Roman;sans-serif"/>
          <w:b w:val="false"/>
          <w:color w:val="000000"/>
          <w:sz w:val="22"/>
        </w:rPr>
        <w:t xml:space="preserve">. For any period in which there exist any Unrestricted Subsidiaries, unaudited consolidating financial statements reflecting adjustments necessary to eliminate the assets, accounts and operations of such Unrestricted Subsidiaries from such financial statements delivered pursuant to </w:t>
      </w:r>
      <w:r>
        <w:rPr>
          <w:rFonts w:ascii="Times New Roman;sans-serif" w:hAnsi="Times New Roman;sans-serif"/>
          <w:b w:val="false"/>
          <w:color w:val="000000"/>
          <w:sz w:val="22"/>
          <w:u w:val="single"/>
        </w:rPr>
        <w:t>Sections 7.1(a)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all in reasonable detail and certified by the chief financial officer or treasurer of the Company as fairly presenting in all material respects the financial condition and results of operations of the Company and its Restricted Subsidiaries in accordance with GAAP, subject only to normal </w:t>
      </w:r>
      <w:r>
        <w:rPr>
          <w:rFonts w:ascii="Times New Roman;sans-serif" w:hAnsi="Times New Roman;sans-serif"/>
          <w:b w:val="false"/>
          <w:strike/>
          <w:color w:val="FF0000"/>
          <w:sz w:val="22"/>
        </w:rPr>
        <w:t>year-end</w:t>
      </w:r>
      <w:r>
        <w:rPr>
          <w:rFonts w:ascii="Times New Roman;sans-serif" w:hAnsi="Times New Roman;sans-serif"/>
          <w:b w:val="false"/>
          <w:color w:val="0000FF"/>
          <w:sz w:val="22"/>
          <w:u w:val="single"/>
        </w:rPr>
        <w:t>year-end</w:t>
      </w:r>
      <w:r>
        <w:rPr>
          <w:color w:val="000000"/>
        </w:rPr>
        <w:t xml:space="preserve"> </w:t>
      </w:r>
      <w:r>
        <w:rPr>
          <w:rFonts w:ascii="Times New Roman;sans-serif" w:hAnsi="Times New Roman;sans-serif"/>
          <w:b w:val="false"/>
          <w:color w:val="000000"/>
          <w:sz w:val="22"/>
        </w:rPr>
        <w:t>audit adjustments and the absence of footnotes.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7.2    </w:t>
      </w:r>
      <w:r>
        <w:rPr>
          <w:rFonts w:ascii="Times New Roman;sans-serif" w:hAnsi="Times New Roman;sans-serif"/>
          <w:b/>
          <w:color w:val="000000"/>
          <w:sz w:val="22"/>
          <w:u w:val="single"/>
        </w:rPr>
        <w:t>Officer’s Compliance Certificate</w:t>
      </w:r>
      <w:r>
        <w:rPr>
          <w:rFonts w:ascii="Times New Roman;sans-serif" w:hAnsi="Times New Roman;sans-serif"/>
          <w:b w:val="false"/>
          <w:color w:val="000000"/>
          <w:sz w:val="22"/>
        </w:rPr>
        <w:t xml:space="preserve">. At each time financial statements are delivered pursuant to </w:t>
      </w:r>
      <w:r>
        <w:rPr>
          <w:rFonts w:ascii="Times New Roman;sans-serif" w:hAnsi="Times New Roman;sans-serif"/>
          <w:b w:val="false"/>
          <w:color w:val="000000"/>
          <w:sz w:val="22"/>
          <w:u w:val="single"/>
        </w:rPr>
        <w:t>Sections 7.1(a)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an Officer’s Compliance Certificate.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7.3    </w:t>
      </w:r>
      <w:r>
        <w:rPr>
          <w:rFonts w:ascii="Times New Roman;sans-serif" w:hAnsi="Times New Roman;sans-serif"/>
          <w:b/>
          <w:color w:val="000000"/>
          <w:sz w:val="22"/>
          <w:u w:val="single"/>
        </w:rPr>
        <w:t>Borrower Materials.</w:t>
      </w:r>
      <w:r>
        <w:rPr>
          <w:strike/>
          <w:color w:val="FF0000"/>
        </w:rPr>
        <w:t xml:space="preserve"> </w:t>
      </w:r>
      <w:r>
        <w:rPr>
          <w:rFonts w:ascii="Times New Roman;sans-serif" w:hAnsi="Times New Roman;sans-serif"/>
          <w:b w:val="false"/>
          <w:color w:val="000000"/>
          <w:sz w:val="22"/>
        </w:rPr>
        <w:t>Each Borrower hereby acknowledges that (A) the Administrative Agent and/or an Affiliate thereof may, but shall not be obligated to, make available to the Lenders and the Issuing Lenders materials and/or information provided by or on behalf of the Borrowers hereunder (collectively, “</w:t>
      </w:r>
      <w:r>
        <w:rPr>
          <w:rFonts w:ascii="Times New Roman;sans-serif" w:hAnsi="Times New Roman;sans-serif"/>
          <w:b w:val="false"/>
          <w:color w:val="000000"/>
          <w:sz w:val="22"/>
          <w:u w:val="single"/>
        </w:rPr>
        <w:t>Borrower Materials</w:t>
      </w:r>
      <w:r>
        <w:rPr>
          <w:color w:val="000000"/>
        </w:rPr>
        <w:t>”</w:t>
      </w:r>
      <w:r>
        <w:rPr>
          <w:rFonts w:ascii="Times New Roman;sans-serif" w:hAnsi="Times New Roman;sans-serif"/>
          <w:b w:val="false"/>
          <w:color w:val="000000"/>
          <w:sz w:val="22"/>
        </w:rPr>
        <w:t>) by posting the Borrower Materials on IntraLinks, Syndtrak, ClearPar or a substantially similar electronic transmission system (the “</w:t>
      </w:r>
      <w:r>
        <w:rPr>
          <w:rFonts w:ascii="Times New Roman;sans-serif" w:hAnsi="Times New Roman;sans-serif"/>
          <w:b w:val="false"/>
          <w:color w:val="000000"/>
          <w:sz w:val="22"/>
          <w:u w:val="single"/>
        </w:rPr>
        <w:t>Platform</w:t>
      </w:r>
      <w:r>
        <w:rPr>
          <w:color w:val="000000"/>
        </w:rPr>
        <w:t>”</w:t>
      </w:r>
      <w:r>
        <w:rPr>
          <w:rFonts w:ascii="Times New Roman;sans-serif" w:hAnsi="Times New Roman;sans-serif"/>
          <w:b w:val="false"/>
          <w:color w:val="000000"/>
          <w:sz w:val="22"/>
        </w:rPr>
        <w:t>) and (B) certain of the Lenders (each, a “</w:t>
      </w:r>
      <w:r>
        <w:rPr>
          <w:rFonts w:ascii="Times New Roman;sans-serif" w:hAnsi="Times New Roman;sans-serif"/>
          <w:b w:val="false"/>
          <w:color w:val="000000"/>
          <w:sz w:val="22"/>
          <w:u w:val="single"/>
        </w:rPr>
        <w:t>Public Lender</w:t>
      </w:r>
      <w:r>
        <w:rPr>
          <w:color w:val="000000"/>
        </w:rPr>
        <w:t>”</w:t>
      </w:r>
      <w:r>
        <w:rPr>
          <w:rFonts w:ascii="Times New Roman;sans-serif" w:hAnsi="Times New Roman;sans-serif"/>
          <w:b w:val="false"/>
          <w:color w:val="000000"/>
          <w:sz w:val="22"/>
        </w:rPr>
        <w:t xml:space="preserve">) may have personnel who do not wish to receive material </w:t>
      </w:r>
      <w:r>
        <w:rPr>
          <w:rFonts w:ascii="Times New Roman;sans-serif" w:hAnsi="Times New Roman;sans-serif"/>
          <w:b w:val="false"/>
          <w:strike/>
          <w:color w:val="FF0000"/>
          <w:sz w:val="22"/>
        </w:rPr>
        <w:t>non-public</w:t>
      </w:r>
      <w:r>
        <w:rPr>
          <w:rFonts w:ascii="Times New Roman;sans-serif" w:hAnsi="Times New Roman;sans-serif"/>
          <w:b w:val="false"/>
          <w:color w:val="0000FF"/>
          <w:sz w:val="22"/>
          <w:u w:val="single"/>
        </w:rPr>
        <w:t>non-public</w:t>
      </w:r>
      <w:r>
        <w:rPr>
          <w:color w:val="000000"/>
        </w:rPr>
        <w:t xml:space="preserve"> </w:t>
      </w:r>
      <w:r>
        <w:rPr>
          <w:rFonts w:ascii="Times New Roman;sans-serif" w:hAnsi="Times New Roman;sans-serif"/>
          <w:b w:val="false"/>
          <w:color w:val="000000"/>
          <w:sz w:val="22"/>
        </w:rPr>
        <w:t xml:space="preserve">information with respect to the Company or its Affiliates, or the respective securities of any of the foregoing, and who may be engaged in investment and other </w:t>
      </w:r>
      <w:r>
        <w:rPr>
          <w:rFonts w:ascii="Times New Roman;sans-serif" w:hAnsi="Times New Roman;sans-serif"/>
          <w:b w:val="false"/>
          <w:strike/>
          <w:color w:val="FF0000"/>
          <w:sz w:val="22"/>
        </w:rPr>
        <w:t>market-related</w:t>
      </w:r>
      <w:r>
        <w:rPr>
          <w:rFonts w:ascii="Times New Roman;sans-serif" w:hAnsi="Times New Roman;sans-serif"/>
          <w:b w:val="false"/>
          <w:color w:val="0000FF"/>
          <w:sz w:val="22"/>
          <w:u w:val="single"/>
        </w:rPr>
        <w:t>market-related</w:t>
      </w:r>
      <w:r>
        <w:rPr>
          <w:color w:val="000000"/>
        </w:rPr>
        <w:t xml:space="preserve"> </w:t>
      </w:r>
      <w:r>
        <w:rPr>
          <w:rFonts w:ascii="Times New Roman;sans-serif" w:hAnsi="Times New Roman;sans-serif"/>
          <w:b w:val="false"/>
          <w:color w:val="000000"/>
          <w:sz w:val="22"/>
        </w:rPr>
        <w:t xml:space="preserve">activities with respect to such Persons’ securities. The Company hereby agrees that, upon the request of the Administrative Agent, it will use commercially reasonable efforts to identify that portion of the Borrower Materials that may be distributed to the Public Lenders and that (1) all such Borrower Materials shall be clearly and conspicuously marked “PUBLIC” which, at a minimum, shall mean that the word “PUBLIC” shall appear prominently on the first page thereof; (2) by marking Borrower Materials “PUBLIC,” the Borrowers shall be deemed to have authorized the Administrative Agent, any Affiliate thereof, the Arranger, the Issuing Lenders and the Lenders to treat such Borrower Materials as not containing any material </w:t>
      </w:r>
      <w:r>
        <w:rPr>
          <w:rFonts w:ascii="Times New Roman;sans-serif" w:hAnsi="Times New Roman;sans-serif"/>
          <w:b w:val="false"/>
          <w:strike/>
          <w:color w:val="FF0000"/>
          <w:sz w:val="22"/>
        </w:rPr>
        <w:t>non-public</w:t>
      </w:r>
      <w:r>
        <w:rPr>
          <w:rFonts w:ascii="Times New Roman;sans-serif" w:hAnsi="Times New Roman;sans-serif"/>
          <w:b w:val="false"/>
          <w:color w:val="0000FF"/>
          <w:sz w:val="22"/>
          <w:u w:val="single"/>
        </w:rPr>
        <w:t>non-public</w:t>
      </w:r>
      <w:r>
        <w:rPr>
          <w:color w:val="000000"/>
        </w:rPr>
        <w:t xml:space="preserve"> </w:t>
      </w:r>
      <w:r>
        <w:rPr>
          <w:rFonts w:ascii="Times New Roman;sans-serif" w:hAnsi="Times New Roman;sans-serif"/>
          <w:b w:val="false"/>
          <w:color w:val="000000"/>
          <w:sz w:val="22"/>
        </w:rPr>
        <w:t>information (although it may be sensitive and proprietary) with respect to the Borrowers or their securities for purposes of United States federal and state securities laws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to the extent such Borrower Materials constitute Information, they shall be treated as set forth in </w:t>
      </w:r>
      <w:r>
        <w:rPr>
          <w:rFonts w:ascii="Times New Roman;sans-serif" w:hAnsi="Times New Roman;sans-serif"/>
          <w:b w:val="false"/>
          <w:color w:val="000000"/>
          <w:sz w:val="22"/>
          <w:u w:val="single"/>
        </w:rPr>
        <w:t>Section 13.10</w:t>
      </w:r>
      <w:r>
        <w:rPr>
          <w:rFonts w:ascii="Times New Roman;sans-serif" w:hAnsi="Times New Roman;sans-serif"/>
          <w:b w:val="false"/>
          <w:color w:val="000000"/>
          <w:sz w:val="22"/>
        </w:rPr>
        <w:t>); (3) all Borrower Materials marked “PUBLIC” are permitted to be made available through a portion of the Platform designated “Public Side Information;” and (4) the Administrative Agent and any Affiliate thereof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7.4    </w:t>
      </w:r>
      <w:r>
        <w:rPr>
          <w:rFonts w:ascii="Times New Roman;sans-serif" w:hAnsi="Times New Roman;sans-serif"/>
          <w:b/>
          <w:color w:val="000000"/>
          <w:sz w:val="22"/>
          <w:u w:val="single"/>
        </w:rPr>
        <w:t>Other Reports.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Promptly upon receipt thereof, copies of material reports, if any, submitted to the Company or its Board of Directors by its independent public accountants in connection with the condition of the Company’s financial controls, including, without limitation, any management report and any management responses thereto;</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324"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promptly following any request therefor, information and documentation reasonably requested by the Administrative Agent or any Lender </w:t>
      </w:r>
      <w:r>
        <w:rPr>
          <w:rFonts w:ascii="Times New Roman;sans-serif" w:hAnsi="Times New Roman;sans-serif"/>
          <w:b w:val="false"/>
          <w:strike/>
          <w:color w:val="FF0000"/>
          <w:sz w:val="22"/>
        </w:rPr>
        <w:t xml:space="preserve">for purposes of compliance with </w:t>
      </w:r>
      <w:r>
        <w:rPr>
          <w:rFonts w:ascii="Times New Roman;sans-serif" w:hAnsi="Times New Roman;sans-serif"/>
          <w:b w:val="false"/>
          <w:color w:val="0000FF"/>
          <w:sz w:val="22"/>
          <w:u w:val="single"/>
        </w:rPr>
        <w:t xml:space="preserve">as required (as </w:t>
      </w:r>
      <w:r>
        <w:rPr>
          <w:rFonts w:ascii="Times New Roman;sans-serif" w:hAnsi="Times New Roman;sans-serif"/>
          <w:b w:val="false"/>
          <w:color w:val="008000"/>
          <w:sz w:val="22"/>
          <w:u w:val="single"/>
        </w:rPr>
        <w:t xml:space="preserve">reasonably determined by the Administrative Agent </w:t>
      </w:r>
      <w:r>
        <w:rPr>
          <w:rFonts w:ascii="Times New Roman;sans-serif" w:hAnsi="Times New Roman;sans-serif"/>
          <w:b w:val="false"/>
          <w:color w:val="0000FF"/>
          <w:sz w:val="22"/>
          <w:u w:val="single"/>
        </w:rPr>
        <w:t xml:space="preserve">or such Lender) under </w:t>
      </w:r>
      <w:r>
        <w:rPr>
          <w:rFonts w:ascii="Times New Roman;sans-serif" w:hAnsi="Times New Roman;sans-serif"/>
          <w:b w:val="false"/>
          <w:color w:val="000000"/>
          <w:sz w:val="22"/>
        </w:rPr>
        <w:t xml:space="preserve">applicable “know your customer” and </w:t>
      </w:r>
      <w:r>
        <w:rPr>
          <w:rFonts w:ascii="Times New Roman;sans-serif" w:hAnsi="Times New Roman;sans-serif"/>
          <w:b w:val="false"/>
          <w:strike/>
          <w:color w:val="FF0000"/>
          <w:sz w:val="22"/>
        </w:rPr>
        <w:t>anti-money-laundering</w:t>
      </w:r>
      <w:r>
        <w:rPr>
          <w:rFonts w:ascii="Times New Roman;sans-serif" w:hAnsi="Times New Roman;sans-serif"/>
          <w:b w:val="false"/>
          <w:color w:val="0000FF"/>
          <w:sz w:val="22"/>
          <w:u w:val="single"/>
        </w:rPr>
        <w:t>anti-money-laundering</w:t>
      </w:r>
      <w:r>
        <w:rPr>
          <w:color w:val="000000"/>
        </w:rPr>
        <w:t xml:space="preserve"> </w:t>
      </w:r>
      <w:r>
        <w:rPr>
          <w:rFonts w:ascii="Times New Roman;sans-serif" w:hAnsi="Times New Roman;sans-serif"/>
          <w:b w:val="false"/>
          <w:color w:val="000000"/>
          <w:sz w:val="22"/>
        </w:rPr>
        <w:t>rules and regulations, including, without limitation, the Patriot Act;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to the extent any Credit Party qualifies as a “legal entity customer” under the Beneficial Ownership Regulation, an updated Beneficial Ownership Certification promptly following any change in the information provided in the Beneficial Ownership Certification delivered to any Lender in relation to such Credit Party that would result in a change to the list of beneficial owners identified in such certification;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such other information regarding the operations, business affairs and financial condition of the Company or any of its Restricted Subsidiaries as the Administrative Agent or any Lender may reasonably request.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7.5    </w:t>
      </w:r>
      <w:r>
        <w:rPr>
          <w:rFonts w:ascii="Times New Roman;sans-serif" w:hAnsi="Times New Roman;sans-serif"/>
          <w:b/>
          <w:color w:val="000000"/>
          <w:sz w:val="22"/>
          <w:u w:val="single"/>
        </w:rPr>
        <w:t>Notice of Litigation and Other Matters</w:t>
      </w:r>
      <w:r>
        <w:rPr>
          <w:rFonts w:ascii="Times New Roman;sans-serif" w:hAnsi="Times New Roman;sans-serif"/>
          <w:b w:val="false"/>
          <w:color w:val="000000"/>
          <w:sz w:val="22"/>
        </w:rPr>
        <w:t>. Promptly (but in no event later than ten (10) days after a Senior Officer of the Company obtains knowledge thereof) telephonic and written notice 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event that could reasonably be expected to have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any notice of any material violation received by the Company or any Restricted Subsidiary thereof from any Governmental Authority including, without limitation, any notice of material violation of Environmental Laws;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any attachment, judgment, lien, levy or order exceeding $15,000,000 that may be assessed against or threatened against the Company or any Restricted Subsidiary thereof;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any Default or Event of Default.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7.6    </w:t>
      </w:r>
      <w:r>
        <w:rPr>
          <w:rFonts w:ascii="Times New Roman;sans-serif" w:hAnsi="Times New Roman;sans-serif"/>
          <w:b/>
          <w:color w:val="000000"/>
          <w:sz w:val="22"/>
          <w:u w:val="single"/>
        </w:rPr>
        <w:t>Accuracy of Information</w:t>
      </w:r>
      <w:r>
        <w:rPr>
          <w:rFonts w:ascii="Times New Roman;sans-serif" w:hAnsi="Times New Roman;sans-serif"/>
          <w:b w:val="false"/>
          <w:color w:val="000000"/>
          <w:sz w:val="22"/>
        </w:rPr>
        <w:t xml:space="preserve">. All written information, reports, statements and other papers and data furnished by or on behalf of the Company to the Administrative Agent or any Lender whether pursuant to this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 xml:space="preserve">or any other provision of this Agreement or any of the Loan Documents, shall, at the time the same is so furnished, comply with the representations and warranties set forth in </w:t>
      </w:r>
      <w:r>
        <w:rPr>
          <w:rFonts w:ascii="Times New Roman;sans-serif" w:hAnsi="Times New Roman;sans-serif"/>
          <w:b w:val="false"/>
          <w:color w:val="000000"/>
          <w:sz w:val="22"/>
          <w:u w:val="single"/>
        </w:rPr>
        <w:t>Sections 6.1(y)</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VIII</w:t>
        <w:br/>
        <w:br/>
        <w:t>AFFIRMATIVE COVENANTS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Until all of the Obligations (other than contingent </w:t>
      </w:r>
      <w:r>
        <w:rPr>
          <w:rFonts w:ascii="Times New Roman;sans-serif" w:hAnsi="Times New Roman;sans-serif"/>
          <w:b w:val="false"/>
          <w:strike/>
          <w:color w:val="FF0000"/>
          <w:sz w:val="24"/>
        </w:rPr>
        <w:t xml:space="preserve">indemnification </w:t>
      </w:r>
      <w:r>
        <w:rPr>
          <w:rFonts w:ascii="Times New Roman;sans-serif" w:hAnsi="Times New Roman;sans-serif"/>
          <w:b w:val="false"/>
          <w:color w:val="000000"/>
          <w:sz w:val="24"/>
        </w:rPr>
        <w:t xml:space="preserve">obligations not yet due </w:t>
      </w:r>
      <w:r>
        <w:rPr>
          <w:rFonts w:ascii="Times New Roman;sans-serif" w:hAnsi="Times New Roman;sans-serif"/>
          <w:b w:val="false"/>
          <w:color w:val="0000FF"/>
          <w:sz w:val="24"/>
          <w:u w:val="single"/>
        </w:rPr>
        <w:t xml:space="preserve">for which no claim has been asserted </w:t>
      </w:r>
      <w:r>
        <w:rPr>
          <w:rFonts w:ascii="Times New Roman;sans-serif" w:hAnsi="Times New Roman;sans-serif"/>
          <w:b w:val="false"/>
          <w:color w:val="000000"/>
          <w:sz w:val="24"/>
        </w:rPr>
        <w:t xml:space="preserve">and Bank Product Debt) have been paid in full (or, in the case of Letters of Credit, cash collateralized) and the Commitments terminated, unless consent has been obtained in the manner provided for in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 xml:space="preserve">, the Borrowers will, and will cause each of their Restricted Subsidiaries (and each of their Subsidiaries in the case of </w:t>
      </w:r>
      <w:r>
        <w:rPr>
          <w:rFonts w:ascii="Times New Roman;sans-serif" w:hAnsi="Times New Roman;sans-serif"/>
          <w:b w:val="false"/>
          <w:color w:val="000000"/>
          <w:sz w:val="24"/>
          <w:u w:val="single"/>
        </w:rPr>
        <w:t>Section 8.15</w:t>
      </w:r>
      <w:r>
        <w:rPr>
          <w:rFonts w:ascii="Times New Roman;sans-serif" w:hAnsi="Times New Roman;sans-serif"/>
          <w:b w:val="false"/>
          <w:color w:val="000000"/>
          <w:sz w:val="24"/>
        </w:rPr>
        <w:t>) to:</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8.1    </w:t>
      </w:r>
      <w:r>
        <w:rPr>
          <w:rFonts w:ascii="Times New Roman;sans-serif" w:hAnsi="Times New Roman;sans-serif"/>
          <w:b/>
          <w:color w:val="000000"/>
          <w:sz w:val="22"/>
          <w:u w:val="single"/>
        </w:rPr>
        <w:t>Preservation of Existence and Related Matters</w:t>
      </w:r>
      <w:r>
        <w:rPr>
          <w:rFonts w:ascii="Times New Roman;sans-serif" w:hAnsi="Times New Roman;sans-serif"/>
          <w:b w:val="false"/>
          <w:color w:val="000000"/>
          <w:sz w:val="22"/>
        </w:rPr>
        <w:t xml:space="preserve">. Except as permitted by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 xml:space="preserve">, (a) preserve and maintain its separate corporate, limited liability company, partnership or other entity existence and all rights, franchises, licenses and privileges necessary to the conduct of its business, and (b) except where the failure to qualify or remain qualified as a foreign corporation would not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325"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reasonably be expected to have a Material Adverse Effect, qualify and remain qualified as a foreign corporation and authorized to do business in each jurisdiction where the nature and scope of its activities require it to so qualify under Applicable Law.</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8.2    </w:t>
      </w:r>
      <w:r>
        <w:rPr>
          <w:rFonts w:ascii="Times New Roman;sans-serif" w:hAnsi="Times New Roman;sans-serif"/>
          <w:b/>
          <w:color w:val="000000"/>
          <w:sz w:val="22"/>
          <w:u w:val="single"/>
        </w:rPr>
        <w:t>Maintenance of Property</w:t>
      </w:r>
      <w:r>
        <w:rPr>
          <w:rFonts w:ascii="Times New Roman;sans-serif" w:hAnsi="Times New Roman;sans-serif"/>
          <w:b w:val="false"/>
          <w:color w:val="000000"/>
          <w:sz w:val="22"/>
        </w:rPr>
        <w:t>. Protect and preserve all material properties necessary to its business; maintain in good working order and condition, ordinary wear and tear excepted, all material properties (real and personal) necessary to its business; and from time to time make or cause to be made all repairs, renewals and replacements thereof and additions to such material property necessary for the conduct of its business, so that the business carried on in connection therewith may be conducted in a commercially reasonable manner, except, in each case, where the failure to do so could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8.3    </w:t>
      </w:r>
      <w:r>
        <w:rPr>
          <w:rFonts w:ascii="Times New Roman;sans-serif" w:hAnsi="Times New Roman;sans-serif"/>
          <w:b/>
          <w:color w:val="000000"/>
          <w:sz w:val="22"/>
          <w:u w:val="single"/>
        </w:rPr>
        <w:t>Insurance</w:t>
      </w:r>
      <w:r>
        <w:rPr>
          <w:rFonts w:ascii="Times New Roman;sans-serif" w:hAnsi="Times New Roman;sans-serif"/>
          <w:b w:val="false"/>
          <w:color w:val="000000"/>
          <w:sz w:val="22"/>
        </w:rPr>
        <w:t>. Maintain insurance with financially sound and reputable insurance companies against at least such risks and in at least such amounts as are customarily maintained by similar businesses and as may be required by Applicable Law.</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8.4    </w:t>
      </w:r>
      <w:r>
        <w:rPr>
          <w:rFonts w:ascii="Times New Roman;sans-serif" w:hAnsi="Times New Roman;sans-serif"/>
          <w:b/>
          <w:color w:val="000000"/>
          <w:sz w:val="22"/>
          <w:u w:val="single"/>
        </w:rPr>
        <w:t>Accounting Methods and Financial Records</w:t>
      </w:r>
      <w:r>
        <w:rPr>
          <w:rFonts w:ascii="Times New Roman;sans-serif" w:hAnsi="Times New Roman;sans-serif"/>
          <w:b w:val="false"/>
          <w:color w:val="000000"/>
          <w:sz w:val="22"/>
        </w:rPr>
        <w:t>. Maintain a system of accounting, and keep such books, records and accounts (which shall be true and complete in all material respects) as may be required or as may be necessary to permit the preparation of financial statements in accordance with GAAP and in compliance with the regulations of any Governmental Authority having jurisdiction over it or any of its properties.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8.5    </w:t>
      </w:r>
      <w:r>
        <w:rPr>
          <w:rFonts w:ascii="Times New Roman;sans-serif" w:hAnsi="Times New Roman;sans-serif"/>
          <w:b/>
          <w:color w:val="000000"/>
          <w:sz w:val="22"/>
          <w:u w:val="single"/>
        </w:rPr>
        <w:t>Payment and Performance of Obligations</w:t>
      </w:r>
      <w:r>
        <w:rPr>
          <w:rFonts w:ascii="Times New Roman;sans-serif" w:hAnsi="Times New Roman;sans-serif"/>
          <w:b w:val="false"/>
          <w:color w:val="000000"/>
          <w:sz w:val="22"/>
        </w:rPr>
        <w:t xml:space="preserve">. Pay and perform all Obligations under this Agreement and the other Loan Documents, and pay or perform (a) all material Taxes, assessments and other governmental charges that may be levied or assessed upon it or any of its property, and (b) all other material obligations and liabilities in accordance with customary trade practices;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Company or such Restricted Subsidiary may contest any item described in clauses (a) or (b) of this Section in good faith so long as adequate reserves are maintained with respect thereto in accordance with GAAP.</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8.6    </w:t>
      </w:r>
      <w:r>
        <w:rPr>
          <w:rFonts w:ascii="Times New Roman;sans-serif" w:hAnsi="Times New Roman;sans-serif"/>
          <w:b/>
          <w:color w:val="000000"/>
          <w:sz w:val="22"/>
          <w:u w:val="single"/>
        </w:rPr>
        <w:t xml:space="preserve">Compliance </w:t>
      </w:r>
      <w:r>
        <w:rPr>
          <w:rFonts w:ascii="Times New Roman;sans-serif" w:hAnsi="Times New Roman;sans-serif"/>
          <w:b/>
          <w:strike/>
          <w:color w:val="FF0000"/>
          <w:sz w:val="22"/>
          <w:u w:val="single"/>
        </w:rPr>
        <w:t>With</w:t>
      </w:r>
      <w:r>
        <w:rPr>
          <w:rFonts w:ascii="Times New Roman;sans-serif" w:hAnsi="Times New Roman;sans-serif"/>
          <w:b/>
          <w:color w:val="0000FF"/>
          <w:sz w:val="22"/>
          <w:u w:val="single"/>
        </w:rPr>
        <w:t>with</w:t>
      </w:r>
      <w:r>
        <w:rPr>
          <w:color w:val="000000"/>
          <w:u w:val="single"/>
        </w:rPr>
        <w:t xml:space="preserve"> </w:t>
      </w:r>
      <w:r>
        <w:rPr>
          <w:rFonts w:ascii="Times New Roman;sans-serif" w:hAnsi="Times New Roman;sans-serif"/>
          <w:b/>
          <w:color w:val="000000"/>
          <w:sz w:val="22"/>
          <w:u w:val="single"/>
        </w:rPr>
        <w:t>Laws and Approvals</w:t>
      </w:r>
      <w:r>
        <w:rPr>
          <w:rFonts w:ascii="Times New Roman;sans-serif" w:hAnsi="Times New Roman;sans-serif"/>
          <w:b w:val="false"/>
          <w:color w:val="000000"/>
          <w:sz w:val="22"/>
        </w:rPr>
        <w:t>. Observe and remain in compliance with all Applicable Laws and maintain in full force and effect all Governmental Approvals, in each case applicable to the conduct of its business except where the failure to do so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8.7    </w:t>
      </w:r>
      <w:r>
        <w:rPr>
          <w:rFonts w:ascii="Times New Roman;sans-serif" w:hAnsi="Times New Roman;sans-serif"/>
          <w:b/>
          <w:color w:val="000000"/>
          <w:sz w:val="22"/>
          <w:u w:val="single"/>
        </w:rPr>
        <w:t>Environmental Laws</w:t>
      </w:r>
      <w:r>
        <w:rPr>
          <w:rFonts w:ascii="Times New Roman;sans-serif" w:hAnsi="Times New Roman;sans-serif"/>
          <w:b w:val="false"/>
          <w:color w:val="000000"/>
          <w:sz w:val="22"/>
        </w:rPr>
        <w:t xml:space="preserve">. In addition to and without limiting the generality of </w:t>
      </w:r>
      <w:r>
        <w:rPr>
          <w:rFonts w:ascii="Times New Roman;sans-serif" w:hAnsi="Times New Roman;sans-serif"/>
          <w:b w:val="false"/>
          <w:color w:val="000000"/>
          <w:sz w:val="22"/>
          <w:u w:val="single"/>
        </w:rPr>
        <w:t>Section 8.6</w:t>
      </w:r>
      <w:r>
        <w:rPr>
          <w:rFonts w:ascii="Times New Roman;sans-serif" w:hAnsi="Times New Roman;sans-serif"/>
          <w:b w:val="false"/>
          <w:color w:val="000000"/>
          <w:sz w:val="22"/>
        </w:rPr>
        <w:t xml:space="preserve">, except, in the case of clauses (a) and (b) below, as would not reasonably be expected to have a Material Adverse Effect, (a) comply with, and ensure such compliance by all tenants and subtenants with all applicable Environmental Laws and obtain and comply with and maintain, and ensure that all tenants and subtenants, if any, obtain and comply with and maintain, any and all licenses, approvals, notifications, registrations or permits required by applicable Environmental Laws, (b) conduct and complete all investigations, studies, sampling and testing, and all remedial, removal and other actions required under Environmental Laws, and promptly comply with all lawful orders and directives of any Governmental Authority regarding Environmental Laws, and (c) 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the violation of, noncompliance with or liability under any Environmental Laws applicable to the operations of the Company or any such Restricted Subsidiary, or any orders, requirements or demands of Governmental Authorities related thereto, including, without limitation, reasonable attorney’s and consultant’s fees, investigation and laboratory fees, response costs, court costs and litigation expenses, except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326"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that any of the foregoing are determined by a court of competent jurisdiction by a final and nonappealable judgment to have resulted from the bad faith, gross negligence or willful misconduct of the party seeking indemnification therefor.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8.8    </w:t>
      </w:r>
      <w:r>
        <w:rPr>
          <w:rFonts w:ascii="Times New Roman;sans-serif" w:hAnsi="Times New Roman;sans-serif"/>
          <w:b/>
          <w:color w:val="000000"/>
          <w:sz w:val="22"/>
          <w:u w:val="single"/>
        </w:rPr>
        <w:t>Compliance with ERISA</w:t>
      </w:r>
      <w:r>
        <w:rPr>
          <w:rFonts w:ascii="Times New Roman;sans-serif" w:hAnsi="Times New Roman;sans-serif"/>
          <w:b w:val="false"/>
          <w:color w:val="000000"/>
          <w:sz w:val="22"/>
        </w:rPr>
        <w:t xml:space="preserve">. In addition to and without limiting the generality of </w:t>
      </w:r>
      <w:r>
        <w:rPr>
          <w:rFonts w:ascii="Times New Roman;sans-serif" w:hAnsi="Times New Roman;sans-serif"/>
          <w:b w:val="false"/>
          <w:color w:val="000000"/>
          <w:sz w:val="22"/>
          <w:u w:val="single"/>
        </w:rPr>
        <w:t>Section 8.6,</w:t>
      </w:r>
      <w:r>
        <w:rPr>
          <w:color w:val="000000"/>
        </w:rPr>
        <w:t xml:space="preserve"> </w:t>
      </w:r>
      <w:r>
        <w:rPr>
          <w:rFonts w:ascii="Times New Roman;sans-serif" w:hAnsi="Times New Roman;sans-serif"/>
          <w:b w:val="false"/>
          <w:color w:val="000000"/>
          <w:sz w:val="22"/>
        </w:rPr>
        <w:t>except where the failure to so comply could not, individually or in the aggregate, reasonably be expected to have a Material Adverse Effect, (a) comply with all material applicable provisions of ERISA and the Code and the regulations and published interpretations thereunder with respect to all Employee Benefit Plans and all Multiemployer Plans, (b) not take any action or fail to take action the result of which could be a liability to the IRS or to the PBGC or to a Multiemployer Plan, (c) not participate in any non-exempt prohibited transaction (within the meaning of Section 4975 of the Code or Section 406 of ERISA) that could result in any penalty or Tax under ERISA or the Code and (d) operate each Employee Benefit Plan in such a manner that will not incur any tax liability under Section 4980B of the Code.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8.9    </w:t>
      </w:r>
      <w:r>
        <w:rPr>
          <w:rFonts w:ascii="Times New Roman;sans-serif" w:hAnsi="Times New Roman;sans-serif"/>
          <w:b/>
          <w:color w:val="000000"/>
          <w:sz w:val="22"/>
          <w:u w:val="single"/>
        </w:rPr>
        <w:t>[Intentionally Omitted].</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8.10    </w:t>
      </w:r>
      <w:r>
        <w:rPr>
          <w:rFonts w:ascii="Times New Roman;sans-serif" w:hAnsi="Times New Roman;sans-serif"/>
          <w:b/>
          <w:color w:val="000000"/>
          <w:sz w:val="22"/>
          <w:u w:val="single"/>
        </w:rPr>
        <w:t>Visits and Inspections</w:t>
      </w:r>
      <w:r>
        <w:rPr>
          <w:rFonts w:ascii="Times New Roman;sans-serif" w:hAnsi="Times New Roman;sans-serif"/>
          <w:b w:val="false"/>
          <w:color w:val="000000"/>
          <w:sz w:val="22"/>
        </w:rPr>
        <w:t>. Permit representatives of the Administrative Agent or any Lender, from time to time (no more frequently than once for the Administrative Agent and the Lenders during any calendar year unless an Event of Default shall have occurred and be continuing), upon reasonable notice and during normal business hours, to visit and inspect its properties; inspect, audit and make extracts from its books, records and files, including, but not limited to, management letters prepared by independent accountants; and discuss with its principal officers, and its independent accountants, its business, assets, liabilities, financial condition, results of operations and business prospects.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8.11    </w:t>
      </w:r>
      <w:r>
        <w:rPr>
          <w:rFonts w:ascii="Times New Roman;sans-serif" w:hAnsi="Times New Roman;sans-serif"/>
          <w:b/>
          <w:color w:val="000000"/>
          <w:sz w:val="22"/>
          <w:u w:val="single"/>
        </w:rPr>
        <w:t>Additional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Additional Domestic Subsidiaries</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8.11(d)</w:t>
      </w:r>
      <w:r>
        <w:rPr>
          <w:rFonts w:ascii="Times New Roman;sans-serif" w:hAnsi="Times New Roman;sans-serif"/>
          <w:b w:val="false"/>
          <w:color w:val="000000"/>
          <w:sz w:val="22"/>
        </w:rPr>
        <w:t xml:space="preserve">, notify the Administrative Agent of the creation or acquisition of any Material Domestic Subsidiary, the designation of any Subsidiary as a Material Domestic Subsidiary or any Material Domestic Subsidiary ceasing to be an Unrestricted Subsidiary and promptly thereafter (and in any event within thirty (30) days or such later date as may be approved by the Administrative Agent in its sole discretion), cause such Material Domestic Subsidiary to (i) become a Guarantor by delivering to the Administrative Agent, if such Person is the initial Material Domestic Subsidiary, a duly executed Guaranty Agreement and thereafter, for any other Material Domestic Subsidiary, a supplement to such Guaranty Agreement, (ii) pledge a security interest in all Collateral, subject to </w:t>
      </w:r>
      <w:r>
        <w:rPr>
          <w:rFonts w:ascii="Times New Roman;sans-serif" w:hAnsi="Times New Roman;sans-serif"/>
          <w:b w:val="false"/>
          <w:color w:val="000000"/>
          <w:sz w:val="22"/>
          <w:u w:val="single"/>
        </w:rPr>
        <w:t>Section 8.11(c)</w:t>
      </w:r>
      <w:r>
        <w:rPr>
          <w:rFonts w:ascii="Times New Roman;sans-serif" w:hAnsi="Times New Roman;sans-serif"/>
          <w:b w:val="false"/>
          <w:color w:val="000000"/>
          <w:sz w:val="22"/>
        </w:rPr>
        <w:t xml:space="preserve">, owned by such Material Domestic Subsidiary by delivering to the Administrative Agent a duly executed supplement to each Security Document or such other document as the Administrative Agent shall deem appropriate for such purpose and comply with the terms of each Security Document, (iii) deliver to the Administrative Agent such documents and certificates referred to in </w:t>
      </w:r>
      <w:r>
        <w:rPr>
          <w:rFonts w:ascii="Times New Roman;sans-serif" w:hAnsi="Times New Roman;sans-serif"/>
          <w:b w:val="false"/>
          <w:color w:val="000000"/>
          <w:sz w:val="22"/>
          <w:u w:val="single"/>
        </w:rPr>
        <w:t>Sections 5.1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(g)(ii)</w:t>
      </w:r>
      <w:r>
        <w:rPr>
          <w:color w:val="000000"/>
        </w:rPr>
        <w:t xml:space="preserve"> </w:t>
      </w:r>
      <w:r>
        <w:rPr>
          <w:rFonts w:ascii="Times New Roman;sans-serif" w:hAnsi="Times New Roman;sans-serif"/>
          <w:b w:val="false"/>
          <w:color w:val="000000"/>
          <w:sz w:val="22"/>
        </w:rPr>
        <w:t>as may be reasonably requested by the Administrative Agent (including, without limitation, charter documents and opinions of counsel), (iv) deliver to the Administrative Agent such original Capital Stock or other certificates and stock or other transfer powers evidencing the Capital Stock of such Material Domestic Subsidiary to the extent constituting Collateral, (v) deliver to the Administrative Agent such updated Schedules to the Loan Documents as requested by the Administrative Agent with respect to such Material Domestic Subsidiary, and (vi) deliver to the Administrative Agent such other documents as may be reasonably requested by the Administrative Agent, all in form, content and scope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Additional Foreign Subsidiaries</w:t>
      </w:r>
      <w:r>
        <w:rPr>
          <w:rFonts w:ascii="Times New Roman;sans-serif" w:hAnsi="Times New Roman;sans-serif"/>
          <w:b w:val="false"/>
          <w:color w:val="000000"/>
          <w:sz w:val="22"/>
        </w:rPr>
        <w:t xml:space="preserve">. Notify the Administrative Agent at the time that any Person becomes a first tier Material Foreign Subsidiary of the Company or of any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327"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Domestic Subsidiary, and, promptly thereafter (and in any event within forty-five (45) days after such request (or such later date as may be approved by the Administrative Agent in its sole discretion)), cause (i) the applicable Domestic Credit Party to deliver to the Administrative Agent Security Documents governed by New York law (or, if requested by the Administrative Agent, the local laws of the jurisdiction of organization of such Material Foreign Subsidiary) pledging sixty-five percent (65%) of the total outstanding voting Capital Stock, and 100% of the total outstanding nonvoting Capital Stock, of such Material Foreign Subsidiary and a consent thereto executed by such new Material Foreign Subsidiary (including, without limitation, if applicable, original stock certificates (or the equivalent thereof pursuant to the Applicable Laws and practices of any relevant foreign jurisdiction) evidencing the Capital Stock of such Material Foreign Subsidiary, together with an appropriate undated stock power for each certificate duly executed in blank by the registered owner thereof), (ii) the applicable Domestic Credit Party to deliver to the Administrative Agent such documents and certificates referred to in </w:t>
      </w:r>
      <w:r>
        <w:rPr>
          <w:rFonts w:ascii="Times New Roman;sans-serif" w:hAnsi="Times New Roman;sans-serif"/>
          <w:b w:val="false"/>
          <w:color w:val="000000"/>
          <w:sz w:val="22"/>
          <w:u w:val="single"/>
        </w:rPr>
        <w:t>Sections 5.1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(g)(ii)</w:t>
      </w:r>
      <w:r>
        <w:rPr>
          <w:color w:val="000000"/>
        </w:rPr>
        <w:t xml:space="preserve"> </w:t>
      </w:r>
      <w:r>
        <w:rPr>
          <w:rFonts w:ascii="Times New Roman;sans-serif" w:hAnsi="Times New Roman;sans-serif"/>
          <w:b w:val="false"/>
          <w:color w:val="000000"/>
          <w:sz w:val="22"/>
        </w:rPr>
        <w:t>as may be reasonably requested by the Administrative Agent (including, without limitation, charter documents and opinions of counsel with respect to local laws, each in form and substance reasonably acceptable to the Administrative Agent), (iii) the applicable Domestic Credit Party to deliver to the Administrative Agent such updated Schedules to the Loan Documents as requested by the Administrative Agent with respect to such Person and (iv) the applicable Domestic Credit Party to deliver to the Administrative Agent such other documents as may be reasonably requested by the Administrative Agent, all in form, content and scope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Pledged Stock</w:t>
      </w:r>
      <w:r>
        <w:rPr>
          <w:rFonts w:ascii="Times New Roman;sans-serif" w:hAnsi="Times New Roman;sans-serif"/>
          <w:b w:val="false"/>
          <w:color w:val="000000"/>
          <w:sz w:val="22"/>
        </w:rPr>
        <w:t>. Cause each Domestic Credit Party to cause (i) 100% of the Capital Stock in each of its Domestic Subsidiaries that are Restricted Subsidiaries and (ii) 100% of the total outstanding non-voting Capital Stock and 65% of the total outstanding voting Capital Stock of each of its first tier Foreign Subsidiaries that are Restricted Subsidiaries (without regard to whether such Foreign Subsidiary is a Material Foreign Subsidiary), to the extent owned by such Domestic Credit Party, to be subject at all times to a first priority and perfected Lien in favor of the Administrative Agent pursuant to the terms of the Pledge Agreement (other than Permitted Liens arising by operation of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Merger Subsidiaries</w:t>
      </w:r>
      <w:r>
        <w:rPr>
          <w:rFonts w:ascii="Times New Roman;sans-serif" w:hAnsi="Times New Roman;sans-serif"/>
          <w:b w:val="false"/>
          <w:color w:val="000000"/>
          <w:sz w:val="22"/>
        </w:rPr>
        <w:t xml:space="preserve">. Notwithstanding the foregoing, to the extent any new Subsidiary is created solely for the purpose of consummating an acquisition or merger transaction pursuant to a Permitted Acquisition, and such new Subsidiary at no time holds any material assets or liabilities other than any merger consideration contributed to it contemporaneously with the closing of such merger transaction or liability under any related merger or acquisition, such new Subsidiary shall not be required to take the actions set forth in </w:t>
      </w:r>
      <w:r>
        <w:rPr>
          <w:rFonts w:ascii="Times New Roman;sans-serif" w:hAnsi="Times New Roman;sans-serif"/>
          <w:b w:val="false"/>
          <w:color w:val="000000"/>
          <w:sz w:val="22"/>
          <w:u w:val="single"/>
        </w:rPr>
        <w:t>Section 8.11(a)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as applicable, until after the consummation of such Permitted Acquisition (at which time, the surviving entity of the respective merger transaction shall be required to so comply with </w:t>
      </w:r>
      <w:r>
        <w:rPr>
          <w:rFonts w:ascii="Times New Roman;sans-serif" w:hAnsi="Times New Roman;sans-serif"/>
          <w:b w:val="false"/>
          <w:color w:val="000000"/>
          <w:sz w:val="22"/>
          <w:u w:val="single"/>
        </w:rPr>
        <w:t>Section 8.11(a)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as applicable, within ten (10) Business Days of the consummation of such Permitted Acquisition).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Foreign Subsidiaries</w:t>
      </w:r>
      <w:r>
        <w:rPr>
          <w:rFonts w:ascii="Times New Roman;sans-serif" w:hAnsi="Times New Roman;sans-serif"/>
          <w:b w:val="false"/>
          <w:color w:val="000000"/>
          <w:sz w:val="22"/>
        </w:rPr>
        <w:t>. Notwithstanding anything contained herein or in any other Loan Document to the contrary, no Foreign Subsidiary shall be required to grant a Lien on its assets or property.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8.12    </w:t>
      </w:r>
      <w:r>
        <w:rPr>
          <w:rFonts w:ascii="Times New Roman;sans-serif" w:hAnsi="Times New Roman;sans-serif"/>
          <w:b/>
          <w:color w:val="000000"/>
          <w:sz w:val="22"/>
          <w:u w:val="single"/>
        </w:rPr>
        <w:t>Use of Proceeds</w:t>
      </w:r>
      <w:r>
        <w:rPr>
          <w:rFonts w:ascii="Times New Roman;sans-serif" w:hAnsi="Times New Roman;sans-serif"/>
          <w:b w:val="false"/>
          <w:color w:val="000000"/>
          <w:sz w:val="22"/>
        </w:rPr>
        <w:t xml:space="preserve">. The Borrowers shall use the proceeds of the Extensions of Credit (a) to finance Permitted Acquisitions, (b) to pay Transaction Costs, (c) to refinance existing Indebtedness of the Company and its Subsidiaries, including the Existing Credit Agreement, (d) to finance capital expenditures and (e) for working capital and general corporate uses of the Company and its Restricted Subsidiaries, including the payment of dividends upon any of its Capital Stock and the making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328"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distributions to the holders of shares of its Capital Stock, the payment of certain fees, commissions and expenses incurred in connection with the transactions contemplated hereby (to the extent not otherwise paid in cash by the Company).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8.13    </w:t>
      </w:r>
      <w:r>
        <w:rPr>
          <w:rFonts w:ascii="Times New Roman;sans-serif" w:hAnsi="Times New Roman;sans-serif"/>
          <w:b/>
          <w:color w:val="000000"/>
          <w:sz w:val="22"/>
          <w:u w:val="single"/>
        </w:rPr>
        <w:t>Further Assurances.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Make, execute and deliver all such additional and further acts, things, deeds and instruments as the Administrative Agent, the Issuing Lenders or the Required Lenders (through the Administrative Agent) may reasonably require to document and consummate the transactions contemplated hereby and to vest completely in and insure the Administrative Agent, the Issuing Lenders and the Lenders their respective rights under this Agreement, the Letters of Credit and the other Loan Documents.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Deliver to the Administrative Agent within 10 days after the date hereof (as such deadline may be extended by the Administrative Agent in its sole discretion) (i) all certificated Capital Stock subject to the Security Documents and required to be delivered pursuant to the terms thereof and (ii) executed acknowledgments to the Pledge Agreement by each Restricted Subsidiary of the Company whose Capital Stock is subject to the Pledge Agreement, each in form and substance reasonably acceptable to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To the extent requested by the Administrative Agent, cause each Responsible Officer to provide an incumbency certificate and to the extent requested by the Administrative Agent, appropriate authorization documentation, in form and substance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8.14    </w:t>
      </w:r>
      <w:r>
        <w:rPr>
          <w:rFonts w:ascii="Times New Roman;sans-serif" w:hAnsi="Times New Roman;sans-serif"/>
          <w:b/>
          <w:color w:val="000000"/>
          <w:sz w:val="22"/>
          <w:u w:val="single"/>
        </w:rPr>
        <w:t>Designation of Subsidiaries</w:t>
      </w:r>
      <w:r>
        <w:rPr>
          <w:rFonts w:ascii="Times New Roman;sans-serif" w:hAnsi="Times New Roman;sans-serif"/>
          <w:b w:val="false"/>
          <w:color w:val="000000"/>
          <w:sz w:val="22"/>
        </w:rPr>
        <w:t>.</w:t>
      </w:r>
    </w:p>
    <w:p>
      <w:pPr>
        <w:pStyle w:val="TextBody"/>
        <w:bidi w:val="0"/>
        <w:spacing w:lineRule="auto" w:line="288"/>
        <w:ind w:left="0" w:right="0" w:firstLine="720"/>
        <w:jc w:val="both"/>
        <w:rPr/>
      </w:pPr>
      <w:r>
        <w:rPr>
          <w:rFonts w:ascii="Times New Roman;sans-serif" w:hAnsi="Times New Roman;sans-serif"/>
          <w:b w:val="false"/>
          <w:color w:val="000000"/>
          <w:sz w:val="22"/>
        </w:rPr>
        <w:t xml:space="preserve">The Company may at any time after the Closing Date designate any Restricted Subsidiary of the Company as an Unrestricted Subsidiary or any Unrestricted Subsidiary as a Restricted Subsidiary by written notice to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immediately before and after such designation, no Default shall have occurred and be continuing, (ii) the Credit Parties would be in compliance on a pro forma basis with the financial covenants set forth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 xml:space="preserve">recomputed as of the end of the period of the four fiscal quarters most recently ended for which the Company has delivered financial statements pursuant to </w:t>
      </w:r>
      <w:r>
        <w:rPr>
          <w:rFonts w:ascii="Times New Roman;sans-serif" w:hAnsi="Times New Roman;sans-serif"/>
          <w:b w:val="false"/>
          <w:color w:val="000000"/>
          <w:sz w:val="22"/>
          <w:u w:val="single"/>
        </w:rPr>
        <w:t>Section 7.1(a)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7.1(b)</w:t>
      </w:r>
      <w:r>
        <w:rPr>
          <w:color w:val="000000"/>
        </w:rPr>
        <w:t xml:space="preserve"> </w:t>
      </w:r>
      <w:r>
        <w:rPr>
          <w:rFonts w:ascii="Times New Roman;sans-serif" w:hAnsi="Times New Roman;sans-serif"/>
          <w:b w:val="false"/>
          <w:color w:val="000000"/>
          <w:sz w:val="22"/>
        </w:rPr>
        <w:t xml:space="preserve">after giving effect to such redesignation, (iii) in the case of the designation of any Restricted Subsidiary as an Unrestricted Subsidiary, such designation shall constitute an Investment in such Unrestricted Subsidiary (calculated as an amount equal to the sum of (x) the net worth of the Subsidiary designated immediately prior to such designation (such net worth to be calculated without regard to any Obligations of such Subsidiary under the Loan Documents) and (y) to the extent not reflected in such net worth, the aggregate principal amount of any Indebtedness owed by the Subsidiary to the Company or any of its Restricted Subsidiaries immediately prior to such designation, all calculated, except as set forth in the parenthetical to </w:t>
      </w:r>
      <w:r>
        <w:rPr>
          <w:rFonts w:ascii="Times New Roman;sans-serif" w:hAnsi="Times New Roman;sans-serif"/>
          <w:b w:val="false"/>
          <w:color w:val="000000"/>
          <w:sz w:val="22"/>
          <w:u w:val="single"/>
        </w:rPr>
        <w:t>clause (x)</w:t>
      </w:r>
      <w:r>
        <w:rPr>
          <w:color w:val="000000"/>
        </w:rPr>
        <w:t xml:space="preserve"> </w:t>
      </w:r>
      <w:r>
        <w:rPr>
          <w:rFonts w:ascii="Times New Roman;sans-serif" w:hAnsi="Times New Roman;sans-serif"/>
          <w:b w:val="false"/>
          <w:color w:val="000000"/>
          <w:sz w:val="22"/>
        </w:rPr>
        <w:t xml:space="preserve">above, on a Consolidated basis in accordance with GAAP), and such Investment shall be permitted under </w:t>
      </w:r>
      <w:r>
        <w:rPr>
          <w:rFonts w:ascii="Times New Roman;sans-serif" w:hAnsi="Times New Roman;sans-serif"/>
          <w:b w:val="false"/>
          <w:color w:val="000000"/>
          <w:sz w:val="22"/>
          <w:u w:val="single"/>
        </w:rPr>
        <w:t>Section 10.3</w:t>
      </w:r>
      <w:r>
        <w:rPr>
          <w:rFonts w:ascii="Times New Roman;sans-serif" w:hAnsi="Times New Roman;sans-serif"/>
          <w:b w:val="false"/>
          <w:color w:val="000000"/>
          <w:sz w:val="22"/>
        </w:rPr>
        <w:t xml:space="preserve">, (iv) no Subsidiary may be designated as an Unrestricted Subsidiary if it is a “Restricted Subsidiary” for the purpose of (or is otherwise subject to the covenants under, or otherwise obligated for) any material Indebtedness for borrowed money of the Company or any Restricted Subsidiary, (v) immediately after giving effect to the designation of an Unrestricted Subsidiary as a Restricted Subsidiary, the Company shall comply with the provisions of </w:t>
      </w:r>
      <w:r>
        <w:rPr>
          <w:rFonts w:ascii="Times New Roman;sans-serif" w:hAnsi="Times New Roman;sans-serif"/>
          <w:b w:val="false"/>
          <w:color w:val="000000"/>
          <w:sz w:val="22"/>
          <w:u w:val="single"/>
        </w:rPr>
        <w:t>Section 8.11</w:t>
      </w:r>
      <w:r>
        <w:rPr>
          <w:color w:val="000000"/>
        </w:rPr>
        <w:t xml:space="preserve"> </w:t>
      </w:r>
      <w:r>
        <w:rPr>
          <w:rFonts w:ascii="Times New Roman;sans-serif" w:hAnsi="Times New Roman;sans-serif"/>
          <w:b w:val="false"/>
          <w:color w:val="000000"/>
          <w:sz w:val="22"/>
        </w:rPr>
        <w:t xml:space="preserve">with respect to such designated Restricted Subsidiary, to the extent applicable, (vi) no Restricted Subsidiary may be a Subsidiary of an Unrestricted Subsidiary, and no Unrestricted Subsidiary shall have a Lien on the assets of the Company or a Restricted Subsidiary except as permitted by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 xml:space="preserve">, (vii) once an Unrestricted Subsidiary is designated as a Restricted Subsidiary pursuant to this </w:t>
      </w:r>
      <w:r>
        <w:rPr>
          <w:rFonts w:ascii="Times New Roman;sans-serif" w:hAnsi="Times New Roman;sans-serif"/>
          <w:b w:val="false"/>
          <w:color w:val="000000"/>
          <w:sz w:val="22"/>
          <w:u w:val="single"/>
        </w:rPr>
        <w:t>Section 8.14</w:t>
      </w:r>
      <w:r>
        <w:rPr>
          <w:rFonts w:ascii="Times New Roman;sans-serif" w:hAnsi="Times New Roman;sans-serif"/>
          <w:b w:val="false"/>
          <w:color w:val="000000"/>
          <w:sz w:val="22"/>
        </w:rPr>
        <w:t xml:space="preserve">, such Restricted Subsidiary may not be redesignated as an Unrestricted Subsidiary thereafter, and once a Restricted Subsidiary is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329"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 xml:space="preserve">designated as an Unrestricted Subsidiary pursuant to this </w:t>
      </w:r>
      <w:r>
        <w:rPr>
          <w:rFonts w:ascii="Times New Roman;sans-serif" w:hAnsi="Times New Roman;sans-serif"/>
          <w:b w:val="false"/>
          <w:color w:val="000000"/>
          <w:sz w:val="22"/>
          <w:u w:val="single"/>
        </w:rPr>
        <w:t>Section 8.14</w:t>
      </w:r>
      <w:r>
        <w:rPr>
          <w:rFonts w:ascii="Times New Roman;sans-serif" w:hAnsi="Times New Roman;sans-serif"/>
          <w:b w:val="false"/>
          <w:color w:val="000000"/>
          <w:sz w:val="22"/>
        </w:rPr>
        <w:t>, such Unrestricted Subsidiary may only be redesignated as a Restricted Subsidiary one time thereafter and (viii) the Company shall have delivered to the Administrative Agent and each Lender a certificate executed by its chief financial officer or treasurer, certifying to the best of such officer’s knowledge, compliance with the requirements of the preceding clauses (i) through (vi), inclusive, and containing the calculations (in reasonable detail) required by the preceding clause (ii). The designation of any Unrestricted Subsidiary as a Restricted Subsidiary shall constitute (i) the incurrence at the time of designation of any Investment, Indebtedness or Liens of such Subsidiary existing at such time and (ii) a return on any Investment by the Company in Unrestricted Subsidiaries pursuant to the preceding sentence in an amount equal to the fair market value at the date of such designation of the Company’s Investment in such Subsidiary (that have not otherwise been transferred to or invested in other Unrestricted Subsidiaries).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8.15    </w:t>
      </w:r>
      <w:r>
        <w:rPr>
          <w:rFonts w:ascii="Times New Roman;sans-serif" w:hAnsi="Times New Roman;sans-serif"/>
          <w:b/>
          <w:strike/>
          <w:color w:val="FF0000"/>
          <w:sz w:val="22"/>
        </w:rPr>
        <w:t>Anti-Corruption</w:t>
      </w:r>
      <w:r>
        <w:rPr>
          <w:rFonts w:ascii="Times New Roman;sans-serif" w:hAnsi="Times New Roman;sans-serif"/>
          <w:b/>
          <w:color w:val="0000FF"/>
          <w:sz w:val="22"/>
          <w:u w:val="single"/>
        </w:rPr>
        <w:t>Anti-Corruption</w:t>
      </w:r>
      <w:r>
        <w:rPr>
          <w:color w:val="000000"/>
          <w:u w:val="single"/>
        </w:rPr>
        <w:t xml:space="preserve"> </w:t>
      </w:r>
      <w:r>
        <w:rPr>
          <w:rFonts w:ascii="Times New Roman;sans-serif" w:hAnsi="Times New Roman;sans-serif"/>
          <w:b/>
          <w:color w:val="000000"/>
          <w:sz w:val="22"/>
          <w:u w:val="single"/>
        </w:rPr>
        <w:t>Laws</w:t>
      </w:r>
      <w:r>
        <w:rPr>
          <w:rFonts w:ascii="Times New Roman;sans-serif" w:hAnsi="Times New Roman;sans-serif"/>
          <w:b w:val="false"/>
          <w:color w:val="000000"/>
          <w:sz w:val="22"/>
        </w:rPr>
        <w:t>.</w:t>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 xml:space="preserve">Conduct its business in compliance in all material respects with the United States Foreign Corrupt Practices Act of 1977, the UK Bribery Act 2010 and other similar </w:t>
      </w:r>
      <w:r>
        <w:rPr>
          <w:rFonts w:ascii="Times New Roman;sans-serif" w:hAnsi="Times New Roman;sans-serif"/>
          <w:b w:val="false"/>
          <w:strike/>
          <w:color w:val="FF0000"/>
          <w:sz w:val="22"/>
        </w:rPr>
        <w:t>anti-corruption</w:t>
      </w:r>
      <w:r>
        <w:rPr>
          <w:rFonts w:ascii="Times New Roman;sans-serif" w:hAnsi="Times New Roman;sans-serif"/>
          <w:b w:val="false"/>
          <w:color w:val="0000FF"/>
          <w:sz w:val="22"/>
          <w:u w:val="single"/>
        </w:rPr>
        <w:t>anti-corruption</w:t>
      </w:r>
      <w:r>
        <w:rPr>
          <w:color w:val="000000"/>
        </w:rPr>
        <w:t xml:space="preserve"> </w:t>
      </w:r>
      <w:r>
        <w:rPr>
          <w:rFonts w:ascii="Times New Roman;sans-serif" w:hAnsi="Times New Roman;sans-serif"/>
          <w:b w:val="false"/>
          <w:color w:val="000000"/>
          <w:sz w:val="22"/>
        </w:rPr>
        <w:t xml:space="preserve">legislation in other jurisdictions applicable to the Company and its Subsidiaries and maintain policies and procedures that, in the Company’s reasonable business judgment, are designed to promote </w:t>
      </w:r>
      <w:r>
        <w:rPr>
          <w:rFonts w:ascii="Times New Roman;sans-serif" w:hAnsi="Times New Roman;sans-serif"/>
          <w:b w:val="false"/>
          <w:strike/>
          <w:color w:val="FF0000"/>
          <w:sz w:val="22"/>
        </w:rPr>
        <w:t xml:space="preserve">and achieve </w:t>
      </w:r>
      <w:r>
        <w:rPr>
          <w:rFonts w:ascii="Times New Roman;sans-serif" w:hAnsi="Times New Roman;sans-serif"/>
          <w:b w:val="false"/>
          <w:color w:val="000000"/>
          <w:sz w:val="22"/>
        </w:rPr>
        <w:t>compliance with such laws.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8.16    </w:t>
      </w:r>
      <w:r>
        <w:rPr>
          <w:rFonts w:ascii="Times New Roman;sans-serif" w:hAnsi="Times New Roman;sans-serif"/>
          <w:b/>
          <w:color w:val="000000"/>
          <w:sz w:val="22"/>
          <w:u w:val="single"/>
        </w:rPr>
        <w:t>Approvals and Authorizations</w:t>
      </w:r>
      <w:r>
        <w:rPr>
          <w:rFonts w:ascii="Times New Roman;sans-serif" w:hAnsi="Times New Roman;sans-serif"/>
          <w:b w:val="false"/>
          <w:color w:val="000000"/>
          <w:sz w:val="22"/>
        </w:rPr>
        <w:t>.</w:t>
      </w:r>
    </w:p>
    <w:p>
      <w:pPr>
        <w:pStyle w:val="TextBody"/>
        <w:bidi w:val="0"/>
        <w:spacing w:lineRule="auto" w:line="288" w:before="0" w:after="7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pStyle w:val="TextBody"/>
        <w:bidi w:val="0"/>
        <w:spacing w:lineRule="auto" w:line="288" w:before="0" w:after="240"/>
        <w:ind w:left="0" w:right="0" w:firstLine="720"/>
        <w:jc w:val="both"/>
        <w:rPr/>
      </w:pPr>
      <w:r>
        <w:rPr>
          <w:rFonts w:ascii="Times New Roman;sans-serif" w:hAnsi="Times New Roman;sans-serif"/>
          <w:b/>
          <w:strike/>
          <w:color w:val="FF0000"/>
          <w:sz w:val="22"/>
        </w:rPr>
        <w:t>SECTION 8.17 Post-Closing Covenants</w:t>
      </w:r>
      <w:r>
        <w:rPr>
          <w:rFonts w:ascii="Times New Roman;sans-serif" w:hAnsi="Times New Roman;sans-serif"/>
          <w:b w:val="false"/>
          <w:strike/>
          <w:color w:val="FF0000"/>
          <w:sz w:val="22"/>
        </w:rPr>
        <w:t>.</w:t>
      </w:r>
    </w:p>
    <w:p>
      <w:pPr>
        <w:pStyle w:val="TextBody"/>
        <w:bidi w:val="0"/>
        <w:spacing w:lineRule="auto" w:line="288" w:before="0" w:after="24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(a) Within sixty (60) days following the Closing Date (or such later date as the Administrative Agent shall agree in its sole discretion), the Company shall deliver to the Administrative Agent each certificate representing the Capital Stock of JG US, Inc., a Delaware corporation, that is required to be pledged pursuant to the Pledge Agreement, together with an undated stock power for each such certificate executed in blank by the Company.</w:t>
      </w:r>
    </w:p>
    <w:p>
      <w:pPr>
        <w:pStyle w:val="TextBody"/>
        <w:bidi w:val="0"/>
        <w:spacing w:lineRule="auto" w:line="288" w:before="0" w:after="24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(b) Within sixty (60) days following the Closing Date (or such later date as the Administrative Agent shall agree in its sole discretion), the Company shall deliver to the Administrative Agent each certificate representing the Capital Stock of Blackbaud Latin America S.R.L., a company organized under the laws of Costa Rica, that is required to be pledged pursuant to the Pledge Agreement, together with an undated stock power for each such certificate executed in blank by the Company.</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IX</w:t>
        <w:br/>
        <w:br/>
        <w:t>FINANCIAL COVENANTS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Until all of the Obligations (other than contingent </w:t>
      </w:r>
      <w:r>
        <w:rPr>
          <w:rFonts w:ascii="Times New Roman;sans-serif" w:hAnsi="Times New Roman;sans-serif"/>
          <w:b w:val="false"/>
          <w:strike/>
          <w:color w:val="FF0000"/>
          <w:sz w:val="24"/>
        </w:rPr>
        <w:t xml:space="preserve">indemnification </w:t>
      </w:r>
      <w:r>
        <w:rPr>
          <w:rFonts w:ascii="Times New Roman;sans-serif" w:hAnsi="Times New Roman;sans-serif"/>
          <w:b w:val="false"/>
          <w:color w:val="000000"/>
          <w:sz w:val="24"/>
        </w:rPr>
        <w:t>obligations not yet due</w:t>
      </w:r>
      <w:r>
        <w:rPr>
          <w:color w:val="0000FF"/>
          <w:u w:val="single"/>
        </w:rPr>
        <w:t xml:space="preserve"> </w:t>
      </w:r>
      <w:r>
        <w:rPr>
          <w:rFonts w:ascii="Times New Roman;sans-serif" w:hAnsi="Times New Roman;sans-serif"/>
          <w:b w:val="false"/>
          <w:color w:val="0000FF"/>
          <w:sz w:val="24"/>
          <w:u w:val="single"/>
        </w:rPr>
        <w:t>for which no claim has been asserted</w:t>
      </w:r>
      <w:r>
        <w:rPr>
          <w:rFonts w:ascii="Times New Roman;sans-serif" w:hAnsi="Times New Roman;sans-serif"/>
          <w:b w:val="false"/>
          <w:color w:val="000000"/>
          <w:sz w:val="24"/>
        </w:rPr>
        <w:t xml:space="preserve">) have been paid in full (or, in the case of Letters of Credit, cash collateralized) and the Commitments terminated, unless consent has been obtained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330"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manner set forth in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 the Company and its Restricted Subsidiaries on a Consolidated basis will not: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9.1    </w:t>
      </w:r>
      <w:r>
        <w:rPr>
          <w:rFonts w:ascii="Times New Roman;sans-serif" w:hAnsi="Times New Roman;sans-serif"/>
          <w:b/>
          <w:color w:val="000000"/>
          <w:sz w:val="22"/>
          <w:u w:val="single"/>
        </w:rPr>
        <w:t>Net Leverage Ratio</w:t>
      </w:r>
      <w:r>
        <w:rPr>
          <w:rFonts w:ascii="Times New Roman;sans-serif" w:hAnsi="Times New Roman;sans-serif"/>
          <w:b w:val="false"/>
          <w:color w:val="000000"/>
          <w:sz w:val="22"/>
        </w:rPr>
        <w:t>. As of any fiscal quarter end, permit the ratio (the “</w:t>
      </w:r>
      <w:r>
        <w:rPr>
          <w:rFonts w:ascii="Times New Roman;sans-serif" w:hAnsi="Times New Roman;sans-serif"/>
          <w:b w:val="false"/>
          <w:color w:val="000000"/>
          <w:sz w:val="22"/>
          <w:u w:val="single"/>
        </w:rPr>
        <w:t>Net Leverage Ratio</w:t>
      </w:r>
      <w:r>
        <w:rPr>
          <w:color w:val="000000"/>
        </w:rPr>
        <w:t>”</w:t>
      </w:r>
      <w:r>
        <w:rPr>
          <w:rFonts w:ascii="Times New Roman;sans-serif" w:hAnsi="Times New Roman;sans-serif"/>
          <w:b w:val="false"/>
          <w:color w:val="000000"/>
          <w:sz w:val="22"/>
        </w:rPr>
        <w:t>) of (a) Total Funded Net Indebtedness on such date to (b) EBITDA for the period of four (4) consecutive fiscal quarters ending on or immediately prior to such date to be greater than</w:t>
      </w:r>
      <w:r>
        <w:rPr>
          <w:rFonts w:ascii="Times New Roman;sans-serif" w:hAnsi="Times New Roman;sans-serif"/>
          <w:b w:val="false"/>
          <w:strike/>
          <w:color w:val="FF0000"/>
          <w:sz w:val="22"/>
        </w:rPr>
        <w:t xml:space="preserve">: (a) commencing with the fiscal quarter ending December 31, 2021 and through December 31, 2023, 4.00 to 1.00 and (b) commencing with the fiscal quarter ending March 31, 2024 and thereafter, </w:t>
      </w:r>
      <w:r>
        <w:rPr>
          <w:rFonts w:ascii="Times New Roman;sans-serif" w:hAnsi="Times New Roman;sans-serif"/>
          <w:b w:val="false"/>
          <w:color w:val="000000"/>
          <w:sz w:val="22"/>
        </w:rPr>
        <w:t xml:space="preserve">3.75 to 1.00;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Net Leverage Ratio for any fiscal quarter may be increased by the Company by 0.50 if such increase satisfies the Leverage Ratio Increase Requirements;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maximum Net Leverage Ratio permitted after giving effect to such increase shall not exceed 4.25 to 1.00. No increase shall be given effect unless all of the Leverage Ratio Increase Requirements are satisfied.</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9.2    </w:t>
      </w:r>
      <w:r>
        <w:rPr>
          <w:rFonts w:ascii="Times New Roman;sans-serif" w:hAnsi="Times New Roman;sans-serif"/>
          <w:b/>
          <w:color w:val="000000"/>
          <w:sz w:val="22"/>
          <w:u w:val="single"/>
        </w:rPr>
        <w:t>Interest Coverage Ratio</w:t>
      </w:r>
      <w:r>
        <w:rPr>
          <w:rFonts w:ascii="Times New Roman;sans-serif" w:hAnsi="Times New Roman;sans-serif"/>
          <w:b w:val="false"/>
          <w:color w:val="000000"/>
          <w:sz w:val="22"/>
        </w:rPr>
        <w:t>. As of any fiscal quarter end, commencing with the fiscal quarter ending December 31, 2020, permit the ratio of (a) EBITDA for the period of four (4) consecutive fiscal quarters ending on or immediately prior to such date to (b) Interest Expense for the period of four (4) consecutive fiscal quarters ending on or immediately prior to such date to be less than 2.50 to 1.0.</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w:t>
        <w:br/>
        <w:br/>
        <w:t>NEGATIVE COVENANTS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Until all of the Obligations (other than contingent </w:t>
      </w:r>
      <w:r>
        <w:rPr>
          <w:rFonts w:ascii="Times New Roman;sans-serif" w:hAnsi="Times New Roman;sans-serif"/>
          <w:b w:val="false"/>
          <w:strike/>
          <w:color w:val="FF0000"/>
          <w:sz w:val="24"/>
        </w:rPr>
        <w:t xml:space="preserve">indemnification </w:t>
      </w:r>
      <w:r>
        <w:rPr>
          <w:rFonts w:ascii="Times New Roman;sans-serif" w:hAnsi="Times New Roman;sans-serif"/>
          <w:b w:val="false"/>
          <w:color w:val="000000"/>
          <w:sz w:val="24"/>
        </w:rPr>
        <w:t xml:space="preserve">obligations not yet due </w:t>
      </w:r>
      <w:r>
        <w:rPr>
          <w:rFonts w:ascii="Times New Roman;sans-serif" w:hAnsi="Times New Roman;sans-serif"/>
          <w:b w:val="false"/>
          <w:color w:val="0000FF"/>
          <w:sz w:val="24"/>
          <w:u w:val="single"/>
        </w:rPr>
        <w:t xml:space="preserve">for which no claim has been asserted </w:t>
      </w:r>
      <w:r>
        <w:rPr>
          <w:rFonts w:ascii="Times New Roman;sans-serif" w:hAnsi="Times New Roman;sans-serif"/>
          <w:b w:val="false"/>
          <w:color w:val="000000"/>
          <w:sz w:val="24"/>
        </w:rPr>
        <w:t xml:space="preserve">and Bank Product Debt) have been paid in full (or, in the case of Letters of Credit, cash collateralized) and the Commitments terminated, unless consent has been obtained in the manner set forth in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 xml:space="preserve">, the Borrowers have not, will not and will not permit any of their Restricted Subsidiaries (and each of their Subsidiaries in the case of </w:t>
      </w:r>
      <w:r>
        <w:rPr>
          <w:rFonts w:ascii="Times New Roman;sans-serif" w:hAnsi="Times New Roman;sans-serif"/>
          <w:b w:val="false"/>
          <w:color w:val="000000"/>
          <w:sz w:val="24"/>
          <w:u w:val="single"/>
        </w:rPr>
        <w:t>Sections 10.7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10.13</w:t>
      </w:r>
      <w:r>
        <w:rPr>
          <w:rFonts w:ascii="Times New Roman;sans-serif" w:hAnsi="Times New Roman;sans-serif"/>
          <w:b w:val="false"/>
          <w:color w:val="000000"/>
          <w:sz w:val="24"/>
        </w:rPr>
        <w:t>) to:</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10.1    </w:t>
      </w:r>
      <w:r>
        <w:rPr>
          <w:rFonts w:ascii="Times New Roman;sans-serif" w:hAnsi="Times New Roman;sans-serif"/>
          <w:b/>
          <w:color w:val="000000"/>
          <w:sz w:val="22"/>
          <w:u w:val="single"/>
        </w:rPr>
        <w:t>Limitations on Indebtedness</w:t>
      </w:r>
      <w:r>
        <w:rPr>
          <w:rFonts w:ascii="Times New Roman;sans-serif" w:hAnsi="Times New Roman;sans-serif"/>
          <w:b w:val="false"/>
          <w:color w:val="000000"/>
          <w:sz w:val="22"/>
        </w:rPr>
        <w:t>. Create, incur, assume or suffer to exist any Indebtedness except: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the Obligations (excluding Bank Product Debt permitted pursuant to </w:t>
      </w:r>
      <w:r>
        <w:rPr>
          <w:rFonts w:ascii="Times New Roman;sans-serif" w:hAnsi="Times New Roman;sans-serif"/>
          <w:b w:val="false"/>
          <w:color w:val="000000"/>
          <w:sz w:val="22"/>
          <w:u w:val="single"/>
        </w:rPr>
        <w:t>Section 10.1(b)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Indebtedness incurred in connection with Bank Products and other Hedging Agreements with a counterparty (other than a Lender or an Affiliate of a Lender) and upon terms and conditions (including interest rate)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Indebtedness of the Company and its Restricted Subsidiaries incurred in connection with Capital Leases and purchase money Indebtedness in an aggregate amount not to exceed $</w:t>
      </w:r>
      <w:r>
        <w:rPr>
          <w:rFonts w:ascii="Times New Roman;sans-serif" w:hAnsi="Times New Roman;sans-serif"/>
          <w:b w:val="false"/>
          <w:strike/>
          <w:color w:val="FF0000"/>
          <w:sz w:val="22"/>
        </w:rPr>
        <w:t>70,000,000</w:t>
      </w:r>
      <w:r>
        <w:rPr>
          <w:rFonts w:ascii="Times New Roman;sans-serif" w:hAnsi="Times New Roman;sans-serif"/>
          <w:b w:val="false"/>
          <w:color w:val="0000FF"/>
          <w:sz w:val="22"/>
          <w:u w:val="single"/>
        </w:rPr>
        <w:t>105,000,000</w:t>
      </w:r>
      <w:r>
        <w:rPr>
          <w:color w:val="000000"/>
        </w:rPr>
        <w:t xml:space="preserve"> </w:t>
      </w:r>
      <w:r>
        <w:rPr>
          <w:rFonts w:ascii="Times New Roman;sans-serif" w:hAnsi="Times New Roman;sans-serif"/>
          <w:b w:val="false"/>
          <w:color w:val="000000"/>
          <w:sz w:val="22"/>
        </w:rPr>
        <w:t>on any date of determination;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Guaranty Obligations with respect to Indebtedness permitted under this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    Indebtedness owed by (i) any Domestic Credit Party to any other Domestic Credit Party or any Domestic Subsidiary that is a Restricted Subsidiary so long as such Domestic Subsidiary becomes a Domestic Credit Party within the time period specified by </w:t>
      </w:r>
      <w:r>
        <w:rPr>
          <w:rFonts w:ascii="Times New Roman;sans-serif" w:hAnsi="Times New Roman;sans-serif"/>
          <w:b w:val="false"/>
          <w:color w:val="000000"/>
          <w:sz w:val="22"/>
          <w:u w:val="single"/>
        </w:rPr>
        <w:t>Section 8.11(a)</w:t>
      </w:r>
      <w:r>
        <w:rPr>
          <w:rFonts w:ascii="Times New Roman;sans-serif" w:hAnsi="Times New Roman;sans-serif"/>
          <w:b w:val="false"/>
          <w:color w:val="000000"/>
          <w:sz w:val="22"/>
        </w:rPr>
        <w:t xml:space="preserve">, (ii) any Foreign Obligor to any other Foreign Obligor, (iii) any Restricted Subsidiary that is not a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331"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Credit Party to any other Restricted Subsidiary that is not a Credit Party, (iv) any Restricted Subsidiary that is not a Guarantor to any Credit Party in an aggregate amount not to exceed $</w:t>
      </w:r>
      <w:r>
        <w:rPr>
          <w:rFonts w:ascii="Times New Roman;sans-serif" w:hAnsi="Times New Roman;sans-serif"/>
          <w:b w:val="false"/>
          <w:strike/>
          <w:color w:val="FF0000"/>
          <w:sz w:val="22"/>
        </w:rPr>
        <w:t>40,000,000</w:t>
      </w:r>
      <w:r>
        <w:rPr>
          <w:rFonts w:ascii="Times New Roman;sans-serif" w:hAnsi="Times New Roman;sans-serif"/>
          <w:b w:val="false"/>
          <w:color w:val="0000FF"/>
          <w:sz w:val="22"/>
          <w:u w:val="single"/>
        </w:rPr>
        <w:t>60,000,000</w:t>
      </w:r>
      <w:r>
        <w:rPr>
          <w:color w:val="000000"/>
        </w:rPr>
        <w:t xml:space="preserve"> </w:t>
      </w:r>
      <w:r>
        <w:rPr>
          <w:rFonts w:ascii="Times New Roman;sans-serif" w:hAnsi="Times New Roman;sans-serif"/>
          <w:b w:val="false"/>
          <w:color w:val="000000"/>
          <w:sz w:val="22"/>
        </w:rPr>
        <w:t>at any time outstanding, (v) any Domestic Credit Party to any Restricted Subsidiary that is not a Guarantor or an Unrestricted Subsidiary in an aggregate amount not to exceed $</w:t>
      </w:r>
      <w:r>
        <w:rPr>
          <w:rFonts w:ascii="Times New Roman;sans-serif" w:hAnsi="Times New Roman;sans-serif"/>
          <w:b w:val="false"/>
          <w:strike/>
          <w:color w:val="FF0000"/>
          <w:sz w:val="22"/>
        </w:rPr>
        <w:t>40,000,000</w:t>
      </w:r>
      <w:r>
        <w:rPr>
          <w:rFonts w:ascii="Times New Roman;sans-serif" w:hAnsi="Times New Roman;sans-serif"/>
          <w:b w:val="false"/>
          <w:color w:val="0000FF"/>
          <w:sz w:val="22"/>
          <w:u w:val="single"/>
        </w:rPr>
        <w:t>60,000,000</w:t>
      </w:r>
      <w:r>
        <w:rPr>
          <w:color w:val="000000"/>
        </w:rPr>
        <w:t xml:space="preserve"> </w:t>
      </w:r>
      <w:r>
        <w:rPr>
          <w:rFonts w:ascii="Times New Roman;sans-serif" w:hAnsi="Times New Roman;sans-serif"/>
          <w:b w:val="false"/>
          <w:color w:val="000000"/>
          <w:sz w:val="22"/>
        </w:rPr>
        <w:t xml:space="preserve">at any time outstanding or (vi) any Restricted Subsidiary to the Company or any other Restricted Subsidiary, pursuant to an Investment permitted by </w:t>
      </w:r>
      <w:r>
        <w:rPr>
          <w:rFonts w:ascii="Times New Roman;sans-serif" w:hAnsi="Times New Roman;sans-serif"/>
          <w:b w:val="false"/>
          <w:color w:val="000000"/>
          <w:sz w:val="22"/>
          <w:u w:val="single"/>
        </w:rPr>
        <w:t>Section 10.3(h)(iii)</w:t>
      </w:r>
      <w:r>
        <w:rPr>
          <w:color w:val="000000"/>
        </w:rPr>
        <w:t xml:space="preserve"> </w:t>
      </w:r>
      <w:r>
        <w:rPr>
          <w:rFonts w:ascii="Times New Roman;sans-serif" w:hAnsi="Times New Roman;sans-serif"/>
          <w:b w:val="false"/>
          <w:color w:val="000000"/>
          <w:sz w:val="22"/>
        </w:rPr>
        <w:t>(collectively, the “</w:t>
      </w:r>
      <w:r>
        <w:rPr>
          <w:rFonts w:ascii="Times New Roman;sans-serif" w:hAnsi="Times New Roman;sans-serif"/>
          <w:b w:val="false"/>
          <w:color w:val="000000"/>
          <w:sz w:val="22"/>
          <w:u w:val="single"/>
        </w:rPr>
        <w:t>Intercompany Debt</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    unsecured Indebtedness and Subordinated Indebtedness and the refinancing, refunding, renewal and extension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each issuance of such Indebtedness at the time of issuance, (i) no Default or Event of Default shall have occurred and be continuing or would be caused by the issuance of such Indebtedness, (ii) the Administrative Agent shall have received reasonably satisfactory written evidence that the Company would be in compliance with </w:t>
      </w:r>
      <w:r>
        <w:rPr>
          <w:rFonts w:ascii="Times New Roman;sans-serif" w:hAnsi="Times New Roman;sans-serif"/>
          <w:b w:val="false"/>
          <w:color w:val="000000"/>
          <w:sz w:val="22"/>
          <w:u w:val="single"/>
        </w:rPr>
        <w:t>Sections 9.1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9.2</w:t>
      </w:r>
      <w:r>
        <w:rPr>
          <w:color w:val="000000"/>
        </w:rPr>
        <w:t xml:space="preserve"> </w:t>
      </w:r>
      <w:r>
        <w:rPr>
          <w:rFonts w:ascii="Times New Roman;sans-serif" w:hAnsi="Times New Roman;sans-serif"/>
          <w:b w:val="false"/>
          <w:color w:val="000000"/>
          <w:sz w:val="22"/>
        </w:rPr>
        <w:t>on a pro forma basis after giving effect to the issuance of any such Indebtedness, and (iii) (x) the maturity date of such Indebtedness shall be no earlier than the date which is six months following the Maturity Date and such Indebtedness shall not be subject to amortization or prepayment prior to such date (other than any such amortization or prepayments permitted to be paid under the applicable intercreditor or subordination agreement with respect to such Indebtedness as to which the Administrative Agent is a party) and (y) the financial covenants and events of default to which such Indebtedness is subject are not more restrictive, when taken as a whole, than the financial covenants and the Events of Default under this Agreement, as determined in good faith by the Company and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the Administrative Agent fails to object to such determination of the Company within three (3) Business Days after receipt of written notification thereof, the Administrative Agent will be deemed to have agreed with the Company’s determination), unless the Company agrees to amend this Agreement such that the conditions in this clause (iii) would be satisfied upon the execution of such amendment;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(g)    Indebtedness incurred by the Company or any Restricted Subsidiary thereof arising from agreements providing for indemnification, adjustment of purchase price or similar obligations incurred or assumed in connection with any Permitted Acquisition to the extent permitted pursuant to </w:t>
      </w:r>
      <w:r>
        <w:rPr>
          <w:rFonts w:ascii="Times New Roman;sans-serif" w:hAnsi="Times New Roman;sans-serif"/>
          <w:b w:val="false"/>
          <w:color w:val="000000"/>
          <w:sz w:val="22"/>
          <w:u w:val="single"/>
        </w:rPr>
        <w:t>Section 10.3(g)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(h)    Indebtedness of Foreign Subsidiaries of the Company that are Restricted Subsidiaries in an aggregate principal amount not to exceed $</w:t>
      </w:r>
      <w:r>
        <w:rPr>
          <w:rFonts w:ascii="Times New Roman;sans-serif" w:hAnsi="Times New Roman;sans-serif"/>
          <w:b w:val="false"/>
          <w:strike/>
          <w:color w:val="FF0000"/>
          <w:sz w:val="22"/>
        </w:rPr>
        <w:t>50,000,000</w:t>
      </w:r>
      <w:r>
        <w:rPr>
          <w:rFonts w:ascii="Times New Roman;sans-serif" w:hAnsi="Times New Roman;sans-serif"/>
          <w:b w:val="false"/>
          <w:color w:val="0000FF"/>
          <w:sz w:val="22"/>
          <w:u w:val="single"/>
        </w:rPr>
        <w:t>75,000,000</w:t>
      </w:r>
      <w:r>
        <w:rPr>
          <w:color w:val="000000"/>
        </w:rPr>
        <w:t xml:space="preserve"> </w:t>
      </w:r>
      <w:r>
        <w:rPr>
          <w:rFonts w:ascii="Times New Roman;sans-serif" w:hAnsi="Times New Roman;sans-serif"/>
          <w:b w:val="false"/>
          <w:color w:val="000000"/>
          <w:sz w:val="22"/>
        </w:rPr>
        <w:t xml:space="preserve">at any time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Indebtedness shall at all times be and remain non-recourse to any Credit Party and, at the time of such issuance, no Default or Event of Default exists;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[Intentionally Omitted];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(j)    other Indebtedness, in an aggregate amount not to exceed $</w:t>
      </w:r>
      <w:r>
        <w:rPr>
          <w:rFonts w:ascii="Times New Roman;sans-serif" w:hAnsi="Times New Roman;sans-serif"/>
          <w:b w:val="false"/>
          <w:strike/>
          <w:color w:val="FF0000"/>
          <w:sz w:val="22"/>
        </w:rPr>
        <w:t>25,000,000</w:t>
      </w:r>
      <w:r>
        <w:rPr>
          <w:rFonts w:ascii="Times New Roman;sans-serif" w:hAnsi="Times New Roman;sans-serif"/>
          <w:b w:val="false"/>
          <w:color w:val="0000FF"/>
          <w:sz w:val="22"/>
          <w:u w:val="single"/>
        </w:rPr>
        <w:t>37,500,000</w:t>
      </w:r>
      <w:r>
        <w:rPr>
          <w:color w:val="000000"/>
        </w:rPr>
        <w:t xml:space="preserve"> </w:t>
      </w:r>
      <w:r>
        <w:rPr>
          <w:rFonts w:ascii="Times New Roman;sans-serif" w:hAnsi="Times New Roman;sans-serif"/>
          <w:b w:val="false"/>
          <w:color w:val="000000"/>
          <w:sz w:val="22"/>
        </w:rPr>
        <w:t>at any time outstanding for this clause (j);</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(k)    Indebtedness existing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and listed on </w:t>
      </w:r>
      <w:r>
        <w:rPr>
          <w:rFonts w:ascii="Times New Roman;sans-serif" w:hAnsi="Times New Roman;sans-serif"/>
          <w:b w:val="false"/>
          <w:color w:val="000000"/>
          <w:sz w:val="22"/>
          <w:u w:val="single"/>
        </w:rPr>
        <w:t>Schedule 10.1</w:t>
      </w:r>
      <w:r>
        <w:rPr>
          <w:color w:val="000000"/>
        </w:rPr>
        <w:t xml:space="preserve"> </w:t>
      </w:r>
      <w:r>
        <w:rPr>
          <w:rFonts w:ascii="Times New Roman;sans-serif" w:hAnsi="Times New Roman;sans-serif"/>
          <w:b w:val="false"/>
          <w:color w:val="000000"/>
          <w:sz w:val="22"/>
        </w:rPr>
        <w:t>and the renewal, refinancing, extension and replacement (but not the increase in the aggregate principal amount)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(l)    other Indebtedness in an aggregate principal amount not to exceed $</w:t>
      </w:r>
      <w:r>
        <w:rPr>
          <w:rFonts w:ascii="Times New Roman;sans-serif" w:hAnsi="Times New Roman;sans-serif"/>
          <w:b w:val="false"/>
          <w:strike/>
          <w:color w:val="FF0000"/>
          <w:sz w:val="22"/>
        </w:rPr>
        <w:t>5,000,000</w:t>
      </w:r>
      <w:r>
        <w:rPr>
          <w:rFonts w:ascii="Times New Roman;sans-serif" w:hAnsi="Times New Roman;sans-serif"/>
          <w:b w:val="false"/>
          <w:color w:val="0000FF"/>
          <w:sz w:val="22"/>
          <w:u w:val="single"/>
        </w:rPr>
        <w:t>7,500,000</w:t>
      </w:r>
      <w:r>
        <w:rPr>
          <w:color w:val="000000"/>
        </w:rPr>
        <w:t xml:space="preserve"> </w:t>
      </w:r>
      <w:r>
        <w:rPr>
          <w:rFonts w:ascii="Times New Roman;sans-serif" w:hAnsi="Times New Roman;sans-serif"/>
          <w:b w:val="false"/>
          <w:color w:val="000000"/>
          <w:sz w:val="22"/>
        </w:rPr>
        <w:t>at any time outstanding for letters of credit not issued by the Issuing Lenders hereunder;</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332"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    Indebtedness in respect of performance bonds, bid bonds, appeal bonds, bankers acceptances, letters of credit, surety bonds or other similar obligations arising in the ordinary course of business, and any refinancing thereof to the extent not provided to secure the repayment of other Indebtedness;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(n)    Indebtedness related to customer financings;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principal amount of all such Indebtedness and all Investments made pursuant to </w:t>
      </w:r>
      <w:r>
        <w:rPr>
          <w:rFonts w:ascii="Times New Roman;sans-serif" w:hAnsi="Times New Roman;sans-serif"/>
          <w:b w:val="false"/>
          <w:color w:val="000000"/>
          <w:sz w:val="22"/>
          <w:u w:val="single"/>
        </w:rPr>
        <w:t>Section 10.3(j)</w:t>
      </w:r>
      <w:r>
        <w:rPr>
          <w:color w:val="000000"/>
        </w:rPr>
        <w:t xml:space="preserve"> </w:t>
      </w:r>
      <w:r>
        <w:rPr>
          <w:rFonts w:ascii="Times New Roman;sans-serif" w:hAnsi="Times New Roman;sans-serif"/>
          <w:b w:val="false"/>
          <w:color w:val="000000"/>
          <w:sz w:val="22"/>
        </w:rPr>
        <w:t>shall not exceed $</w:t>
      </w:r>
      <w:r>
        <w:rPr>
          <w:rFonts w:ascii="Times New Roman;sans-serif" w:hAnsi="Times New Roman;sans-serif"/>
          <w:b w:val="false"/>
          <w:strike/>
          <w:color w:val="FF0000"/>
          <w:sz w:val="22"/>
        </w:rPr>
        <w:t>25,000,000</w:t>
      </w:r>
      <w:r>
        <w:rPr>
          <w:rFonts w:ascii="Times New Roman;sans-serif" w:hAnsi="Times New Roman;sans-serif"/>
          <w:b w:val="false"/>
          <w:color w:val="0000FF"/>
          <w:sz w:val="22"/>
          <w:u w:val="single"/>
        </w:rPr>
        <w:t>37,500,000</w:t>
      </w:r>
      <w:r>
        <w:rPr>
          <w:color w:val="000000"/>
        </w:rPr>
        <w:t xml:space="preserve"> </w:t>
      </w:r>
      <w:r>
        <w:rPr>
          <w:rFonts w:ascii="Times New Roman;sans-serif" w:hAnsi="Times New Roman;sans-serif"/>
          <w:b w:val="false"/>
          <w:color w:val="000000"/>
          <w:sz w:val="22"/>
        </w:rPr>
        <w:t>at any time outstanding;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(o)    Indebtedness (i) of a Person that becomes a Restricted Subsidiary of the Company after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in connection with any Permitted Acquisition or (ii) assumed in connection with any assets acquired in connection with any Permitted Acquisition, and the refinancing, refunding, renewal and extension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such Indebtedness (x) exists at the time such Person becomes a Restricted Subsidiary or such assets are acquired and is not created in contemplation of, or in connection with, such Person becoming a Restricted Subsidiary or such assets being acquired and (y) shall not exceed $</w:t>
      </w:r>
      <w:r>
        <w:rPr>
          <w:rFonts w:ascii="Times New Roman;sans-serif" w:hAnsi="Times New Roman;sans-serif"/>
          <w:b w:val="false"/>
          <w:strike/>
          <w:color w:val="FF0000"/>
          <w:sz w:val="22"/>
        </w:rPr>
        <w:t>25,000,000</w:t>
      </w:r>
      <w:r>
        <w:rPr>
          <w:rFonts w:ascii="Times New Roman;sans-serif" w:hAnsi="Times New Roman;sans-serif"/>
          <w:b w:val="false"/>
          <w:color w:val="0000FF"/>
          <w:sz w:val="22"/>
          <w:u w:val="single"/>
        </w:rPr>
        <w:t>37,500,000</w:t>
      </w:r>
      <w:r>
        <w:rPr>
          <w:color w:val="000000"/>
        </w:rPr>
        <w:t xml:space="preserve"> </w:t>
      </w:r>
      <w:r>
        <w:rPr>
          <w:rFonts w:ascii="Times New Roman;sans-serif" w:hAnsi="Times New Roman;sans-serif"/>
          <w:b w:val="false"/>
          <w:color w:val="000000"/>
          <w:sz w:val="22"/>
        </w:rPr>
        <w:t>in the aggregate on any date of determination.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10.2    </w:t>
      </w:r>
      <w:r>
        <w:rPr>
          <w:rFonts w:ascii="Times New Roman;sans-serif" w:hAnsi="Times New Roman;sans-serif"/>
          <w:b/>
          <w:color w:val="000000"/>
          <w:sz w:val="22"/>
          <w:u w:val="single"/>
        </w:rPr>
        <w:t>Limitations on Liens</w:t>
      </w:r>
      <w:r>
        <w:rPr>
          <w:rFonts w:ascii="Times New Roman;sans-serif" w:hAnsi="Times New Roman;sans-serif"/>
          <w:b w:val="false"/>
          <w:color w:val="000000"/>
          <w:sz w:val="22"/>
        </w:rPr>
        <w:t>. Create, incur, assume or suffer to exist, any Lien on or with respect to any of its assets or properties (including, without limitation, shares of Capital Stock), real or personal, whether now owned or hereafter acquired, except: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Liens for Taxes (excluding any Lien imposed pursuant to any of the provisions of ERISA or Environmental Laws) not yet due or as to which the period of grace (not to exceed thirty (30) days), if any, related thereto has not expired or which are being contested in good faith and by appropriate proceedings if adequate reserves are maintained to the extent required by GAAP;</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claims of materialmen, mechanics, carriers, warehousemen, processors or landlords for labor, materials, supplies or rentals incurred in the ordinary course of business, (i) which are not overdue for a period of more than sixty (60) days or (ii) which are being contested in good faith and by appropriate proceedings;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Liens consisting of deposits or pledges made in the ordinary course of business in connection with, or to secure payment of, obligations under workers’ compensation, unemployment insurance or similar legislation;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Liens constituting encumbrances in the nature of zoning restrictions, easements and rights or restrictions of record on the use of real property, which in the aggregate do not result in a Material Adverse Effect and which do not, in any case, detract from the value of such property or impair the use thereof in the ordinary conduct of business;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Liens securing the Obligations;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    Liens not otherwise permitted by this Section and in existence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and described on </w:t>
      </w:r>
      <w:r>
        <w:rPr>
          <w:rFonts w:ascii="Times New Roman;sans-serif" w:hAnsi="Times New Roman;sans-serif"/>
          <w:b w:val="false"/>
          <w:color w:val="000000"/>
          <w:sz w:val="22"/>
          <w:u w:val="single"/>
        </w:rPr>
        <w:t>Schedule 10.2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(g)    Liens securing Indebtedness permitted under </w:t>
      </w:r>
      <w:r>
        <w:rPr>
          <w:rFonts w:ascii="Times New Roman;sans-serif" w:hAnsi="Times New Roman;sans-serif"/>
          <w:b w:val="false"/>
          <w:color w:val="000000"/>
          <w:sz w:val="22"/>
          <w:u w:val="single"/>
        </w:rPr>
        <w:t>Section 10.1(c)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Liens shall be created substantially simultaneously with or within 180 days of the acquisition or lease of the related asset, (ii) such Liens do not at any time encumber any property other than the property financed by such Indebtedness, (iii) the amount of Indebtedness secured thereby is not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333"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increased and (iv) the principal amount of Indebtedness secured by any such Lien shall at no time exceed one hundred percent (100%) of the original purchase price or lease payment amount of such property at the time it was acquired;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deposits to secure the performance of bids, tenders, trade contracts, liability to insurance carriers and leases (other than Indebtedness), statutory obligations, surety bonds (other than bonds related to judgments or litigation), performance bonds, contractual or warranty obligations and other obligations of a like nature incurred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Liens securing judgments for the payment of money not constituting an Event of Default under </w:t>
      </w:r>
      <w:r>
        <w:rPr>
          <w:rFonts w:ascii="Times New Roman;sans-serif" w:hAnsi="Times New Roman;sans-serif"/>
          <w:b w:val="false"/>
          <w:color w:val="000000"/>
          <w:sz w:val="22"/>
          <w:u w:val="single"/>
        </w:rPr>
        <w:t>Section 11.1(n)</w:t>
      </w:r>
      <w:r>
        <w:rPr>
          <w:color w:val="000000"/>
        </w:rPr>
        <w:t xml:space="preserve"> </w:t>
      </w:r>
      <w:r>
        <w:rPr>
          <w:rFonts w:ascii="Times New Roman;sans-serif" w:hAnsi="Times New Roman;sans-serif"/>
          <w:b w:val="false"/>
          <w:color w:val="000000"/>
          <w:sz w:val="22"/>
        </w:rPr>
        <w:t>or securing appeal or other surety bonds related to such judgments;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(j)    Liens solely on the assets of Foreign Subsidiaries of the Company that are Restricted Subsidiaries securing Indebtedness of such Foreign Subsidiaries that is permitted pursuant to </w:t>
      </w:r>
      <w:r>
        <w:rPr>
          <w:rFonts w:ascii="Times New Roman;sans-serif" w:hAnsi="Times New Roman;sans-serif"/>
          <w:b w:val="false"/>
          <w:color w:val="000000"/>
          <w:sz w:val="22"/>
          <w:u w:val="single"/>
        </w:rPr>
        <w:t>Section 10.1(h)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Liens shall not extend to any assets of any Credit Party or any of its Domestic Subsidiaries and (ii) the aggregate principal amount of obligations secured by such Liens shall not exceed $</w:t>
      </w:r>
      <w:r>
        <w:rPr>
          <w:rFonts w:ascii="Times New Roman;sans-serif" w:hAnsi="Times New Roman;sans-serif"/>
          <w:b w:val="false"/>
          <w:strike/>
          <w:color w:val="FF0000"/>
          <w:sz w:val="22"/>
        </w:rPr>
        <w:t>35,000,000</w:t>
      </w:r>
      <w:r>
        <w:rPr>
          <w:rFonts w:ascii="Times New Roman;sans-serif" w:hAnsi="Times New Roman;sans-serif"/>
          <w:b w:val="false"/>
          <w:color w:val="0000FF"/>
          <w:sz w:val="22"/>
          <w:u w:val="single"/>
        </w:rPr>
        <w:t>52,500,000</w:t>
      </w:r>
      <w:r>
        <w:rPr>
          <w:color w:val="000000"/>
        </w:rPr>
        <w:t xml:space="preserve"> </w:t>
      </w:r>
      <w:r>
        <w:rPr>
          <w:rFonts w:ascii="Times New Roman;sans-serif" w:hAnsi="Times New Roman;sans-serif"/>
          <w:b w:val="false"/>
          <w:color w:val="000000"/>
          <w:sz w:val="22"/>
        </w:rPr>
        <w:t>at any time outstanding;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[Intentionally Omitted];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(l)    Liens securing Indebtedness permitted under </w:t>
      </w:r>
      <w:r>
        <w:rPr>
          <w:rFonts w:ascii="Times New Roman;sans-serif" w:hAnsi="Times New Roman;sans-serif"/>
          <w:b w:val="false"/>
          <w:color w:val="000000"/>
          <w:sz w:val="22"/>
          <w:u w:val="single"/>
        </w:rPr>
        <w:t>Section 10.1(m)</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(m)    Liens on assets of any Restricted Subsidiary acquired pursuant to a Permitted Acquisition, or on assets of any Restricted Subsidiary which are in existence at the time that such Restricted Subsidiary is acquired pursuant to a Permitted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Liens (i) are not incurred in connection with, or in anticipation of, such Permitted Acquisition, (ii) are applicable only to specific assets, (iii) are not “blanket” or all asset Liens and (iv) do not attach to any other property or assets of any Credit Party);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    (i) Liens of a collecting bank arising in the ordinary course of business under Section 4-208 of the Uniform Commercial Code in effect in the relevant jurisdiction and (ii) Liens of any depositary bank in connection with statutory, common law and contractual rights of set-off and recoupment with respect to any deposit account of the Company or any of its Restricted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(o)    any extension, renewal or replacement of any Lien permitted by clauses (a) through (n);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Liens permitted under this clause (o) shall not (A) secure any Indebtedness other than the Indebtedness that was secured by the Lien being extended, renewed or replaced and (B) be extended to cover any property that was not encumbered by the Lien being extended, renewed or replaced; (ii) the principal amount of Indebtedness secured by the Lien permitted by this clause (o) shall not be increased over the principal amount of such Indebtedness immediately prior to such extension, renewal or replacement and (iii) both before and after giving effect to such extension, renewal or replacement, no Default or Event of Default shall occur and be continuing or would result therefrom;</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    Liens arising from precautionary UCC filings regarding “true” operating leases;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(q)    Liens not otherwise permitted hereunder on assets other than the Collateral securing obligations not at any time exceeding in the aggregate $</w:t>
      </w:r>
      <w:r>
        <w:rPr>
          <w:rFonts w:ascii="Times New Roman;sans-serif" w:hAnsi="Times New Roman;sans-serif"/>
          <w:b w:val="false"/>
          <w:strike/>
          <w:color w:val="FF0000"/>
          <w:sz w:val="22"/>
        </w:rPr>
        <w:t>40,000,000</w:t>
      </w:r>
      <w:r>
        <w:rPr>
          <w:rFonts w:ascii="Times New Roman;sans-serif" w:hAnsi="Times New Roman;sans-serif"/>
          <w:b w:val="false"/>
          <w:color w:val="0000FF"/>
          <w:sz w:val="22"/>
          <w:u w:val="single"/>
        </w:rPr>
        <w:t>60,000,000</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334"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10.3    </w:t>
      </w:r>
      <w:r>
        <w:rPr>
          <w:rFonts w:ascii="Times New Roman;sans-serif" w:hAnsi="Times New Roman;sans-serif"/>
          <w:b/>
          <w:color w:val="000000"/>
          <w:sz w:val="22"/>
          <w:u w:val="single"/>
        </w:rPr>
        <w:t>Limitations on Loans, Advances, Investments and Acquisitions</w:t>
      </w:r>
      <w:r>
        <w:rPr>
          <w:rFonts w:ascii="Times New Roman;sans-serif" w:hAnsi="Times New Roman;sans-serif"/>
          <w:b w:val="false"/>
          <w:color w:val="000000"/>
          <w:sz w:val="22"/>
        </w:rPr>
        <w:t>. Purchase, own, invest in or otherwise acquire any Capital Stock, interests in any partnership or joint venture (including, without limitation, the creation or capitalization of any Restricted Subsidiary), evidence of Indebtedness or other obligation or security, substantially all or a portion of the business or assets of any other Person or any other investment or interest whatsoever in any other Person, or make or permit to exist, any loans, advances or extensions of credit to, or any investment in cash or by delivery of property in, any Person (each, an “</w:t>
      </w:r>
      <w:r>
        <w:rPr>
          <w:rFonts w:ascii="Times New Roman;sans-serif" w:hAnsi="Times New Roman;sans-serif"/>
          <w:b w:val="false"/>
          <w:color w:val="000000"/>
          <w:sz w:val="22"/>
          <w:u w:val="single"/>
        </w:rPr>
        <w:t>Investment</w:t>
      </w:r>
      <w:r>
        <w:rPr>
          <w:color w:val="000000"/>
        </w:rPr>
        <w:t>”</w:t>
      </w:r>
      <w:r>
        <w:rPr>
          <w:rFonts w:ascii="Times New Roman;sans-serif" w:hAnsi="Times New Roman;sans-serif"/>
          <w:b w:val="false"/>
          <w:color w:val="000000"/>
          <w:sz w:val="22"/>
        </w:rPr>
        <w:t>), except: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Investments in any of the following (collectively “</w:t>
      </w:r>
      <w:r>
        <w:rPr>
          <w:rFonts w:ascii="Times New Roman;sans-serif" w:hAnsi="Times New Roman;sans-serif"/>
          <w:b w:val="false"/>
          <w:color w:val="000000"/>
          <w:sz w:val="22"/>
          <w:u w:val="single"/>
        </w:rPr>
        <w:t>Cash Equivalents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with commercial banks or savings banks or savings and loan associations each having membership either in the FDIC or the deposits of which are insured by the FDIC and in amounts not exceeding the maximum amounts of insurance thereunder;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(ii)    any variable or fixed rate notes (other than notes of the type described in clause (ix) below) issued by, or guaranteed by, any domestic corporation rated A-1 (or the equivalent thereof) or better by S&amp;P or P</w:t>
      </w:r>
      <w:r>
        <w:rPr>
          <w:rFonts w:ascii="Times New Roman;sans-serif" w:hAnsi="Times New Roman;sans-serif"/>
          <w:b w:val="false"/>
          <w:strike/>
          <w:color w:val="FF0000"/>
          <w:sz w:val="22"/>
        </w:rPr>
        <w:t>-1</w:t>
      </w:r>
      <w:r>
        <w:rPr>
          <w:rFonts w:ascii="Times New Roman;sans-serif" w:hAnsi="Times New Roman;sans-serif"/>
          <w:b w:val="false"/>
          <w:color w:val="0000FF"/>
          <w:sz w:val="22"/>
          <w:u w:val="single"/>
        </w:rPr>
        <w:t>-1</w:t>
      </w:r>
      <w:r>
        <w:rPr>
          <w:color w:val="000000"/>
        </w:rPr>
        <w:t xml:space="preserve"> </w:t>
      </w:r>
      <w:r>
        <w:rPr>
          <w:rFonts w:ascii="Times New Roman;sans-serif" w:hAnsi="Times New Roman;sans-serif"/>
          <w:b w:val="false"/>
          <w:color w:val="000000"/>
          <w:sz w:val="22"/>
        </w:rPr>
        <w:t>(or the equivalent thereof) or better by Moody’s and maturing within twelve (12) months of the date of acquisition;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(iii)    auction preferred stocks having the highest </w:t>
      </w:r>
      <w:r>
        <w:rPr>
          <w:rFonts w:ascii="Times New Roman;sans-serif" w:hAnsi="Times New Roman;sans-serif"/>
          <w:b w:val="false"/>
          <w:strike/>
          <w:color w:val="FF0000"/>
          <w:sz w:val="22"/>
        </w:rPr>
        <w:t>short-term</w:t>
      </w:r>
      <w:r>
        <w:rPr>
          <w:rFonts w:ascii="Times New Roman;sans-serif" w:hAnsi="Times New Roman;sans-serif"/>
          <w:b w:val="false"/>
          <w:color w:val="0000FF"/>
          <w:sz w:val="22"/>
          <w:u w:val="single"/>
        </w:rPr>
        <w:t>short-term</w:t>
      </w:r>
      <w:r>
        <w:rPr>
          <w:color w:val="000000"/>
        </w:rPr>
        <w:t xml:space="preserve"> </w:t>
      </w:r>
      <w:r>
        <w:rPr>
          <w:rFonts w:ascii="Times New Roman;sans-serif" w:hAnsi="Times New Roman;sans-serif"/>
          <w:b w:val="false"/>
          <w:color w:val="000000"/>
          <w:sz w:val="22"/>
        </w:rPr>
        <w:t xml:space="preserve">credit rating by S&amp;P or Moody’s; </w:t>
      </w:r>
      <w:r>
        <w:rPr>
          <w:rFonts w:ascii="Times New Roman;sans-serif" w:hAnsi="Times New Roman;sans-serif"/>
          <w:b w:val="false"/>
          <w:strike/>
          <w:color w:val="FF0000"/>
          <w:sz w:val="22"/>
        </w:rPr>
        <w:t>Investments as of the Closing Date in Restricted Subsidiaries existing on the Closing Date;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    marketable direct obligations issued or unconditionally guaranteed by the United States or any agency thereof maturing within one (1) year from the date of acquisition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    commercial paper or banker’s acceptances maturing no more than three hundred </w:t>
      </w:r>
      <w:r>
        <w:rPr>
          <w:rFonts w:ascii="Times New Roman;sans-serif" w:hAnsi="Times New Roman;sans-serif"/>
          <w:b w:val="false"/>
          <w:strike/>
          <w:color w:val="FF0000"/>
          <w:sz w:val="22"/>
        </w:rPr>
        <w:t>sixty-four</w:t>
      </w:r>
      <w:r>
        <w:rPr>
          <w:rFonts w:ascii="Times New Roman;sans-serif" w:hAnsi="Times New Roman;sans-serif"/>
          <w:b w:val="false"/>
          <w:color w:val="0000FF"/>
          <w:sz w:val="22"/>
          <w:u w:val="single"/>
        </w:rPr>
        <w:t>sixty-four</w:t>
      </w:r>
      <w:r>
        <w:rPr>
          <w:color w:val="000000"/>
        </w:rPr>
        <w:t> </w:t>
      </w:r>
      <w:r>
        <w:rPr>
          <w:rFonts w:ascii="Times New Roman;sans-serif" w:hAnsi="Times New Roman;sans-serif"/>
          <w:b w:val="false"/>
          <w:color w:val="000000"/>
          <w:sz w:val="22"/>
        </w:rPr>
        <w:t>(364) days from the date of creation thereof and currently having a rating of either A-2 (or the equivalent thereof) or better by S&amp;P or P</w:t>
      </w:r>
      <w:r>
        <w:rPr>
          <w:rFonts w:ascii="Times New Roman;sans-serif" w:hAnsi="Times New Roman;sans-serif"/>
          <w:b w:val="false"/>
          <w:strike/>
          <w:color w:val="FF0000"/>
          <w:sz w:val="22"/>
        </w:rPr>
        <w:t>-2</w:t>
      </w:r>
      <w:r>
        <w:rPr>
          <w:rFonts w:ascii="Times New Roman;sans-serif" w:hAnsi="Times New Roman;sans-serif"/>
          <w:b w:val="false"/>
          <w:color w:val="0000FF"/>
          <w:sz w:val="22"/>
          <w:u w:val="single"/>
        </w:rPr>
        <w:t>-2</w:t>
      </w:r>
      <w:r>
        <w:rPr>
          <w:color w:val="000000"/>
        </w:rPr>
        <w:t xml:space="preserve"> </w:t>
      </w:r>
      <w:r>
        <w:rPr>
          <w:rFonts w:ascii="Times New Roman;sans-serif" w:hAnsi="Times New Roman;sans-serif"/>
          <w:b w:val="false"/>
          <w:color w:val="000000"/>
          <w:sz w:val="22"/>
        </w:rPr>
        <w:t>(or the equivalent thereof) or better by Moody’s;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    certificates of deposit maturing no more than three hundred </w:t>
      </w:r>
      <w:r>
        <w:rPr>
          <w:rFonts w:ascii="Times New Roman;sans-serif" w:hAnsi="Times New Roman;sans-serif"/>
          <w:b w:val="false"/>
          <w:strike/>
          <w:color w:val="FF0000"/>
          <w:sz w:val="22"/>
        </w:rPr>
        <w:t>sixty-four</w:t>
      </w:r>
      <w:r>
        <w:rPr>
          <w:rFonts w:ascii="Times New Roman;sans-serif" w:hAnsi="Times New Roman;sans-serif"/>
          <w:b w:val="false"/>
          <w:color w:val="0000FF"/>
          <w:sz w:val="22"/>
          <w:u w:val="single"/>
        </w:rPr>
        <w:t>sixty-four</w:t>
      </w:r>
      <w:r>
        <w:rPr>
          <w:color w:val="000000"/>
        </w:rPr>
        <w:t> </w:t>
      </w:r>
      <w:r>
        <w:rPr>
          <w:rFonts w:ascii="Times New Roman;sans-serif" w:hAnsi="Times New Roman;sans-serif"/>
          <w:b w:val="false"/>
          <w:color w:val="000000"/>
          <w:sz w:val="22"/>
        </w:rPr>
        <w:t xml:space="preserve">(364) days from the date of creation thereof issued by commercial banks incorporated under the laws of the United States, each having combined capital, surplus and undivided profits of not less than $250,000,000 and having a rating of “A” or better by a nationally recognized rating agency;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unless otherwise approved by the Administrative Agent, the aggregate amount invested in such certificates of deposit shall not at any time exceed $</w:t>
      </w:r>
      <w:r>
        <w:rPr>
          <w:rFonts w:ascii="Times New Roman;sans-serif" w:hAnsi="Times New Roman;sans-serif"/>
          <w:b w:val="false"/>
          <w:strike/>
          <w:color w:val="FF0000"/>
          <w:sz w:val="22"/>
        </w:rPr>
        <w:t>5,000,000</w:t>
      </w:r>
      <w:r>
        <w:rPr>
          <w:rFonts w:ascii="Times New Roman;sans-serif" w:hAnsi="Times New Roman;sans-serif"/>
          <w:b w:val="false"/>
          <w:color w:val="0000FF"/>
          <w:sz w:val="22"/>
          <w:u w:val="single"/>
        </w:rPr>
        <w:t>7,500,000</w:t>
      </w:r>
      <w:r>
        <w:rPr>
          <w:color w:val="000000"/>
        </w:rPr>
        <w:t xml:space="preserve"> </w:t>
      </w:r>
      <w:r>
        <w:rPr>
          <w:rFonts w:ascii="Times New Roman;sans-serif" w:hAnsi="Times New Roman;sans-serif"/>
          <w:b w:val="false"/>
          <w:color w:val="000000"/>
          <w:sz w:val="22"/>
        </w:rPr>
        <w:t>for any one such certificate of deposit and $</w:t>
      </w:r>
      <w:r>
        <w:rPr>
          <w:rFonts w:ascii="Times New Roman;sans-serif" w:hAnsi="Times New Roman;sans-serif"/>
          <w:b w:val="false"/>
          <w:strike/>
          <w:color w:val="FF0000"/>
          <w:sz w:val="22"/>
        </w:rPr>
        <w:t>10,000,000</w:t>
      </w:r>
      <w:r>
        <w:rPr>
          <w:rFonts w:ascii="Times New Roman;sans-serif" w:hAnsi="Times New Roman;sans-serif"/>
          <w:b w:val="false"/>
          <w:color w:val="0000FF"/>
          <w:sz w:val="22"/>
          <w:u w:val="single"/>
        </w:rPr>
        <w:t>15,000,000</w:t>
      </w:r>
      <w:r>
        <w:rPr>
          <w:color w:val="000000"/>
        </w:rPr>
        <w:t xml:space="preserve"> </w:t>
      </w:r>
      <w:r>
        <w:rPr>
          <w:rFonts w:ascii="Times New Roman;sans-serif" w:hAnsi="Times New Roman;sans-serif"/>
          <w:b w:val="false"/>
          <w:color w:val="000000"/>
          <w:sz w:val="22"/>
        </w:rPr>
        <w:t>for any one such bank;</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(vii)    time deposits maturing no more than three hundred </w:t>
      </w:r>
      <w:r>
        <w:rPr>
          <w:rFonts w:ascii="Times New Roman;sans-serif" w:hAnsi="Times New Roman;sans-serif"/>
          <w:b w:val="false"/>
          <w:strike/>
          <w:color w:val="FF0000"/>
          <w:sz w:val="22"/>
        </w:rPr>
        <w:t>sixty-four</w:t>
      </w:r>
      <w:r>
        <w:rPr>
          <w:rFonts w:ascii="Times New Roman;sans-serif" w:hAnsi="Times New Roman;sans-serif"/>
          <w:b w:val="false"/>
          <w:color w:val="0000FF"/>
          <w:sz w:val="22"/>
          <w:u w:val="single"/>
        </w:rPr>
        <w:t>sixty-four</w:t>
      </w:r>
      <w:r>
        <w:rPr>
          <w:color w:val="000000"/>
        </w:rPr>
        <w:t> </w:t>
      </w:r>
      <w:r>
        <w:rPr>
          <w:rFonts w:ascii="Times New Roman;sans-serif" w:hAnsi="Times New Roman;sans-serif"/>
          <w:b w:val="false"/>
          <w:color w:val="000000"/>
          <w:sz w:val="22"/>
        </w:rPr>
        <w:t>(364) days from the date of creation 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(viii)    repurchase agreements with a term of not more than thirty (30) days with a bank or other trust company (including a Lender) or a recognized securities dealer having capital and surplus in excess of $500,000,000 for direct obligations issued by or fully and unconditionally guaranteed or insured by the United States;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(ix)    obligations of states, municipalities, counties, political subdivisions, agencies of the foregoing and other similar entities and paying interest which is exempt from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335"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tax,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maturity of such debt is three hundred </w:t>
      </w:r>
      <w:r>
        <w:rPr>
          <w:rFonts w:ascii="Times New Roman;sans-serif" w:hAnsi="Times New Roman;sans-serif"/>
          <w:b w:val="false"/>
          <w:strike/>
          <w:color w:val="FF0000"/>
          <w:sz w:val="22"/>
        </w:rPr>
        <w:t>sixty-four</w:t>
      </w:r>
      <w:r>
        <w:rPr>
          <w:rFonts w:ascii="Times New Roman;sans-serif" w:hAnsi="Times New Roman;sans-serif"/>
          <w:b w:val="false"/>
          <w:color w:val="0000FF"/>
          <w:sz w:val="22"/>
          <w:u w:val="single"/>
        </w:rPr>
        <w:t>sixty-four</w:t>
      </w:r>
      <w:r>
        <w:rPr>
          <w:color w:val="000000"/>
        </w:rPr>
        <w:t> </w:t>
      </w:r>
      <w:r>
        <w:rPr>
          <w:rFonts w:ascii="Times New Roman;sans-serif" w:hAnsi="Times New Roman;sans-serif"/>
          <w:b w:val="false"/>
          <w:color w:val="000000"/>
          <w:sz w:val="22"/>
        </w:rPr>
        <w:t>(364) days or less and such debt is rated at least A1 or MIG</w:t>
      </w:r>
      <w:r>
        <w:rPr>
          <w:rFonts w:ascii="Times New Roman;sans-serif" w:hAnsi="Times New Roman;sans-serif"/>
          <w:b w:val="false"/>
          <w:strike/>
          <w:color w:val="FF0000"/>
          <w:sz w:val="22"/>
        </w:rPr>
        <w:t>-1</w:t>
      </w:r>
      <w:r>
        <w:rPr>
          <w:rFonts w:ascii="Times New Roman;sans-serif" w:hAnsi="Times New Roman;sans-serif"/>
          <w:b w:val="false"/>
          <w:color w:val="0000FF"/>
          <w:sz w:val="22"/>
          <w:u w:val="single"/>
        </w:rPr>
        <w:t>-1</w:t>
      </w:r>
      <w:r>
        <w:rPr>
          <w:color w:val="000000"/>
        </w:rPr>
        <w:t xml:space="preserve"> </w:t>
      </w:r>
      <w:r>
        <w:rPr>
          <w:rFonts w:ascii="Times New Roman;sans-serif" w:hAnsi="Times New Roman;sans-serif"/>
          <w:b w:val="false"/>
          <w:color w:val="000000"/>
          <w:sz w:val="22"/>
        </w:rPr>
        <w:t>by Moody’s or at least A by S&amp;P;</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    variable rate demand notes (low floaters) to the extent such notes may be sold at no less than par upon not more than (7) days’ notice and so long as such obligations have been provided credit support by the issuance of a letter of credit from a commercial bank meeting the description in clause (iv) above;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(xi)    Investments, classified in accordance with GAAP as current assets of the Company and its Restricted Subsidiaries, in marketable short term money market mutual funds registered under the Investment Company Act of 1940, as amended, which are administered by institutions that have the highest rating obtainable from either Moody’s, S&amp;P or Morningstar and which invest substantially all of their assets in Investments of the types described in clauses (i) through (x) above; and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(xii)    other similar Investments approved by the Administrative Agent, including without limitation, Investments by Foreign Subsidiaries that are substantially similar to those described in the foregoing clauses (i) through (xi) in any country outside the United States in which such Person is organized;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(i) Investments in Subsidiaries as of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(ii) additional Investments in Domestic Subsidiaries that are Restricted Subsidiaries; (iii) Investments in Restricted Subsidiaries formed or acquired after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made in accordance with the terms and conditions of this Agreement; and (iv) the other loans, advances and Investments existing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which are described on </w:t>
      </w:r>
      <w:r>
        <w:rPr>
          <w:rFonts w:ascii="Times New Roman;sans-serif" w:hAnsi="Times New Roman;sans-serif"/>
          <w:b w:val="false"/>
          <w:color w:val="000000"/>
          <w:sz w:val="22"/>
          <w:u w:val="single"/>
        </w:rPr>
        <w:t>Schedule 10.3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(c)    Bank Products and Hedging Agreements permitted pursuant to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purchases of assets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Investments in the form of loans and advances to directors, officers and employees in the ordinary course of business, which, in the aggregate, do not exceed at any time $</w:t>
      </w:r>
      <w:r>
        <w:rPr>
          <w:rFonts w:ascii="Times New Roman;sans-serif" w:hAnsi="Times New Roman;sans-serif"/>
          <w:b w:val="false"/>
          <w:strike/>
          <w:color w:val="FF0000"/>
          <w:sz w:val="22"/>
        </w:rPr>
        <w:t>500,000</w:t>
      </w:r>
      <w:r>
        <w:rPr>
          <w:rFonts w:ascii="Times New Roman;sans-serif" w:hAnsi="Times New Roman;sans-serif"/>
          <w:b w:val="false"/>
          <w:color w:val="0000FF"/>
          <w:sz w:val="22"/>
          <w:u w:val="single"/>
        </w:rPr>
        <w:t>750,000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    Intercompany Debt permitted pursuant to </w:t>
      </w:r>
      <w:r>
        <w:rPr>
          <w:rFonts w:ascii="Times New Roman;sans-serif" w:hAnsi="Times New Roman;sans-serif"/>
          <w:b w:val="false"/>
          <w:color w:val="000000"/>
          <w:sz w:val="22"/>
          <w:u w:val="single"/>
        </w:rPr>
        <w:t>Section 10.1(e)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Investments by the Company or any Restricted Subsidiary thereof in the form of acquisitions of all or substantially all of the business or a line of business (whether by the acquisition of Capital Stock, assets or any combination thereof) of any other Person if each such acquisition meets all of the following requirements (any such Investment, a “</w:t>
      </w:r>
      <w:r>
        <w:rPr>
          <w:rFonts w:ascii="Times New Roman;sans-serif" w:hAnsi="Times New Roman;sans-serif"/>
          <w:b w:val="false"/>
          <w:color w:val="000000"/>
          <w:sz w:val="22"/>
          <w:u w:val="single"/>
        </w:rPr>
        <w:t>Permitted Acquisition</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the Person to be acquired shall be in a substantially similar or complementary line of business as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evidence of approval of the acquisition by the acquiree’s board of directors or equivalent governing body or a copy of the opinion of counsel delivered by legal counsel to the acquiree in connection with the acquisition which evidences such approval or opines that such approval is not required shall be delivered to the Administrative Agent at the time the documents referred to in clause (vii) of this </w:t>
      </w:r>
      <w:r>
        <w:rPr>
          <w:rFonts w:ascii="Times New Roman;sans-serif" w:hAnsi="Times New Roman;sans-serif"/>
          <w:b w:val="false"/>
          <w:color w:val="000000"/>
          <w:sz w:val="22"/>
          <w:u w:val="single"/>
        </w:rPr>
        <w:t>Section 10.3(g)</w:t>
      </w:r>
      <w:r>
        <w:rPr>
          <w:color w:val="000000"/>
        </w:rPr>
        <w:t xml:space="preserve"> </w:t>
      </w:r>
      <w:r>
        <w:rPr>
          <w:rFonts w:ascii="Times New Roman;sans-serif" w:hAnsi="Times New Roman;sans-serif"/>
          <w:b w:val="false"/>
          <w:color w:val="000000"/>
          <w:sz w:val="22"/>
        </w:rPr>
        <w:t>are required to be delivered;</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336"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if the Company is a party to such transaction, the Company shall be survivor of such transaction and no Change in Control shall have been effected thereby;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(iv)    if (A) the Person to be acquired will not become, or be merged into, a Domestic Credit Party in connection with such acquisition or (B) the acquisition of all of the business or a line of business of a Person will be made by a Restricted Subsidiary that is not a Domestic Credit Party, the aggregate amount of cash consideration and any assumed debt, earn-outs (valued at any amount reasonably determined in good faith by the Company to be payable in connection with such earn-outs) and deferred payments for any such acquisition shall not exceed $</w:t>
      </w:r>
      <w:r>
        <w:rPr>
          <w:rFonts w:ascii="Times New Roman;sans-serif" w:hAnsi="Times New Roman;sans-serif"/>
          <w:b w:val="false"/>
          <w:strike/>
          <w:color w:val="FF0000"/>
          <w:sz w:val="22"/>
        </w:rPr>
        <w:t>200,000,000</w:t>
      </w:r>
      <w:r>
        <w:rPr>
          <w:rFonts w:ascii="Times New Roman;sans-serif" w:hAnsi="Times New Roman;sans-serif"/>
          <w:b w:val="false"/>
          <w:color w:val="0000FF"/>
          <w:sz w:val="22"/>
          <w:u w:val="single"/>
        </w:rPr>
        <w:t>300,000,000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    (A) the Company shall be (as of the date of the proposed acquisition and after giving effect thereto and to any extensions of credit (including any Extension of Credit) made or to be made in connection therewith) in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 xml:space="preserve">compliance with the covenants contained in and in the manner set forth in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9.2,</w:t>
      </w:r>
      <w:r>
        <w:rPr>
          <w:color w:val="000000"/>
        </w:rPr>
        <w:t xml:space="preserve"> </w:t>
      </w:r>
      <w:r>
        <w:rPr>
          <w:rFonts w:ascii="Times New Roman;sans-serif" w:hAnsi="Times New Roman;sans-serif"/>
          <w:b w:val="false"/>
          <w:color w:val="000000"/>
          <w:sz w:val="22"/>
        </w:rPr>
        <w:t>and (B) no Default or Event of Default shall have occurred and be continuing both before and after giving effect to the acquisition;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(vi)    if the aggregate amount of cash consideration and any assumed debt, earn-outs (valued at an amount reasonably determined in good faith by the Company to be payable in connection with such earn-outs) and deferred payments for any such acquisition exceeds $</w:t>
      </w:r>
      <w:r>
        <w:rPr>
          <w:rFonts w:ascii="Times New Roman;sans-serif" w:hAnsi="Times New Roman;sans-serif"/>
          <w:b w:val="false"/>
          <w:strike/>
          <w:color w:val="FF0000"/>
          <w:sz w:val="22"/>
        </w:rPr>
        <w:t>75,000,000</w:t>
      </w:r>
      <w:r>
        <w:rPr>
          <w:rFonts w:ascii="Times New Roman;sans-serif" w:hAnsi="Times New Roman;sans-serif"/>
          <w:b w:val="false"/>
          <w:color w:val="0000FF"/>
          <w:sz w:val="22"/>
          <w:u w:val="single"/>
        </w:rPr>
        <w:t>112,500,000</w:t>
      </w:r>
      <w:r>
        <w:rPr>
          <w:rFonts w:ascii="Times New Roman;sans-serif" w:hAnsi="Times New Roman;sans-serif"/>
          <w:b w:val="false"/>
          <w:color w:val="000000"/>
          <w:sz w:val="22"/>
        </w:rPr>
        <w:t xml:space="preserve">, the Company shall have demonstrated to the Administrative Agent (as of the date of the proposed acquisition and after giving effect thereto and to any extensions of credit (including any Extension of Credit) made or to be made in connection therewith) (A)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forma</w:t>
      </w:r>
      <w:r>
        <w:rPr>
          <w:color w:val="000000"/>
        </w:rPr>
        <w:t xml:space="preserve"> </w:t>
      </w:r>
      <w:r>
        <w:rPr>
          <w:rFonts w:ascii="Times New Roman;sans-serif" w:hAnsi="Times New Roman;sans-serif"/>
          <w:b w:val="false"/>
          <w:color w:val="000000"/>
          <w:sz w:val="22"/>
        </w:rPr>
        <w:t xml:space="preserve">compliance with the covenants contained in and in the manner set forth in </w:t>
      </w:r>
      <w:r>
        <w:rPr>
          <w:rFonts w:ascii="Times New Roman;sans-serif" w:hAnsi="Times New Roman;sans-serif"/>
          <w:b w:val="false"/>
          <w:color w:val="000000"/>
          <w:sz w:val="22"/>
          <w:u w:val="single"/>
        </w:rPr>
        <w:t>Section 9.1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9.2,</w:t>
      </w:r>
      <w:r>
        <w:rPr>
          <w:color w:val="000000"/>
        </w:rPr>
        <w:t xml:space="preserve"> </w:t>
      </w:r>
      <w:r>
        <w:rPr>
          <w:rFonts w:ascii="Times New Roman;sans-serif" w:hAnsi="Times New Roman;sans-serif"/>
          <w:b w:val="false"/>
          <w:color w:val="000000"/>
          <w:sz w:val="22"/>
        </w:rPr>
        <w:t>and (B) no Default or Event of Default shall have occurred and be continuing both before and after giving effect to the acquisition;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(vii)    the Company shall have delivered to the Administrative Agent such documents reasonably requested by the Administrative Agent or the Required Lenders (through the Administrative Agent) pursuant to </w:t>
      </w:r>
      <w:r>
        <w:rPr>
          <w:rFonts w:ascii="Times New Roman;sans-serif" w:hAnsi="Times New Roman;sans-serif"/>
          <w:b w:val="false"/>
          <w:color w:val="000000"/>
          <w:sz w:val="22"/>
          <w:u w:val="single"/>
        </w:rPr>
        <w:t>Section 8.11</w:t>
      </w:r>
      <w:r>
        <w:rPr>
          <w:color w:val="000000"/>
        </w:rPr>
        <w:t xml:space="preserve"> </w:t>
      </w:r>
      <w:r>
        <w:rPr>
          <w:rFonts w:ascii="Times New Roman;sans-serif" w:hAnsi="Times New Roman;sans-serif"/>
          <w:b w:val="false"/>
          <w:color w:val="000000"/>
          <w:sz w:val="22"/>
        </w:rPr>
        <w:t xml:space="preserve">to be delivered at the time required pursuant to </w:t>
      </w:r>
      <w:r>
        <w:rPr>
          <w:rFonts w:ascii="Times New Roman;sans-serif" w:hAnsi="Times New Roman;sans-serif"/>
          <w:b w:val="false"/>
          <w:color w:val="000000"/>
          <w:sz w:val="22"/>
          <w:u w:val="single"/>
        </w:rPr>
        <w:t>Section 8.11</w:t>
      </w:r>
      <w:r>
        <w:rPr>
          <w:rFonts w:ascii="Times New Roman;sans-serif" w:hAnsi="Times New Roman;sans-serif"/>
          <w:b w:val="false"/>
          <w:color w:val="000000"/>
          <w:sz w:val="22"/>
        </w:rPr>
        <w:t>;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(viii)    the Company shall provide such other documents and other information as may be reasonably requested by the Administrative Agent or the Required Lenders (through the Administrative Agent) in connection with the proposed acquisition;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(h)    (i) Investments made by any Restricted Subsidiary that is not a Credit Party in any other Restricted Subsidiary that is not a Credit Party, (ii) Investments by the Company or any Restricted Subsidiary thereof in Foreign Subsidiaries or Unrestricted Subsidiaries not in the form of acquisitions covered by </w:t>
      </w:r>
      <w:r>
        <w:rPr>
          <w:rFonts w:ascii="Times New Roman;sans-serif" w:hAnsi="Times New Roman;sans-serif"/>
          <w:b w:val="false"/>
          <w:color w:val="000000"/>
          <w:sz w:val="22"/>
          <w:u w:val="single"/>
        </w:rPr>
        <w:t>Section 10.3(g)</w:t>
      </w:r>
      <w:r>
        <w:rPr>
          <w:color w:val="000000"/>
        </w:rPr>
        <w:t xml:space="preserve"> </w:t>
      </w:r>
      <w:r>
        <w:rPr>
          <w:rFonts w:ascii="Times New Roman;sans-serif" w:hAnsi="Times New Roman;sans-serif"/>
          <w:b w:val="false"/>
          <w:color w:val="000000"/>
          <w:sz w:val="22"/>
        </w:rPr>
        <w:t>in an aggregate amount not to exceed $</w:t>
      </w:r>
      <w:r>
        <w:rPr>
          <w:rFonts w:ascii="Times New Roman;sans-serif" w:hAnsi="Times New Roman;sans-serif"/>
          <w:b w:val="false"/>
          <w:strike/>
          <w:color w:val="FF0000"/>
          <w:sz w:val="22"/>
        </w:rPr>
        <w:t>50,000,000</w:t>
      </w:r>
      <w:r>
        <w:rPr>
          <w:rFonts w:ascii="Times New Roman;sans-serif" w:hAnsi="Times New Roman;sans-serif"/>
          <w:b w:val="false"/>
          <w:color w:val="0000FF"/>
          <w:sz w:val="22"/>
          <w:u w:val="single"/>
        </w:rPr>
        <w:t>75,000,000</w:t>
      </w:r>
      <w:r>
        <w:rPr>
          <w:color w:val="000000"/>
        </w:rPr>
        <w:t xml:space="preserve"> </w:t>
      </w:r>
      <w:r>
        <w:rPr>
          <w:rFonts w:ascii="Times New Roman;sans-serif" w:hAnsi="Times New Roman;sans-serif"/>
          <w:b w:val="false"/>
          <w:color w:val="000000"/>
          <w:sz w:val="22"/>
        </w:rPr>
        <w:t>at any time outstanding and (iii) Investments by the Company or any Restricted Subsidiary in any Restricted Subsidiary, the proceeds of which are used to consummate a Permitted Acquisition, in an aggregate amount not to exceed $</w:t>
      </w:r>
      <w:r>
        <w:rPr>
          <w:rFonts w:ascii="Times New Roman;sans-serif" w:hAnsi="Times New Roman;sans-serif"/>
          <w:b w:val="false"/>
          <w:strike/>
          <w:color w:val="FF0000"/>
          <w:sz w:val="22"/>
        </w:rPr>
        <w:t>140,000,000</w:t>
      </w:r>
      <w:r>
        <w:rPr>
          <w:rFonts w:ascii="Times New Roman;sans-serif" w:hAnsi="Times New Roman;sans-serif"/>
          <w:b w:val="false"/>
          <w:color w:val="0000FF"/>
          <w:sz w:val="22"/>
          <w:u w:val="single"/>
        </w:rPr>
        <w:t>210,000,000</w:t>
      </w:r>
      <w:r>
        <w:rPr>
          <w:color w:val="000000"/>
        </w:rPr>
        <w:t xml:space="preserve"> </w:t>
      </w:r>
      <w:r>
        <w:rPr>
          <w:rFonts w:ascii="Times New Roman;sans-serif" w:hAnsi="Times New Roman;sans-serif"/>
          <w:b w:val="false"/>
          <w:color w:val="000000"/>
          <w:sz w:val="22"/>
        </w:rPr>
        <w:t>at any time outstanding;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and Investments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337"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bankruptcy or reorganization of, or settlement of delinquent accounts and disputes with customers and suppliers;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(j)    Investments related to customer financings;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principal amount of all such Investments and all Indebtedness made pursuant to </w:t>
      </w:r>
      <w:r>
        <w:rPr>
          <w:rFonts w:ascii="Times New Roman;sans-serif" w:hAnsi="Times New Roman;sans-serif"/>
          <w:b w:val="false"/>
          <w:color w:val="000000"/>
          <w:sz w:val="22"/>
          <w:u w:val="single"/>
        </w:rPr>
        <w:t>Section 10.1(n)</w:t>
      </w:r>
      <w:r>
        <w:rPr>
          <w:color w:val="000000"/>
        </w:rPr>
        <w:t xml:space="preserve"> </w:t>
      </w:r>
      <w:r>
        <w:rPr>
          <w:rFonts w:ascii="Times New Roman;sans-serif" w:hAnsi="Times New Roman;sans-serif"/>
          <w:b w:val="false"/>
          <w:color w:val="000000"/>
          <w:sz w:val="22"/>
        </w:rPr>
        <w:t>shall not exceed $</w:t>
      </w:r>
      <w:r>
        <w:rPr>
          <w:rFonts w:ascii="Times New Roman;sans-serif" w:hAnsi="Times New Roman;sans-serif"/>
          <w:b w:val="false"/>
          <w:strike/>
          <w:color w:val="FF0000"/>
          <w:sz w:val="22"/>
        </w:rPr>
        <w:t>25,000,000</w:t>
      </w:r>
      <w:r>
        <w:rPr>
          <w:rFonts w:ascii="Times New Roman;sans-serif" w:hAnsi="Times New Roman;sans-serif"/>
          <w:b w:val="false"/>
          <w:color w:val="0000FF"/>
          <w:sz w:val="22"/>
          <w:u w:val="single"/>
        </w:rPr>
        <w:t>37,500,000</w:t>
      </w:r>
      <w:r>
        <w:rPr>
          <w:color w:val="000000"/>
        </w:rPr>
        <w:t xml:space="preserve"> </w:t>
      </w:r>
      <w:r>
        <w:rPr>
          <w:rFonts w:ascii="Times New Roman;sans-serif" w:hAnsi="Times New Roman;sans-serif"/>
          <w:b w:val="false"/>
          <w:color w:val="000000"/>
          <w:sz w:val="22"/>
        </w:rPr>
        <w:t>at any time outstanding;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(k)    in addition to the Investments permitted above, an unlimited amount of Investments (other than Permitted Acquisitions) so long as, (i) no Default or Event of Default shall have occurred and be continuing or would be caused by the making of such Investment and (ii) in the case of any Investment in an aggregate amount in excess of $</w:t>
      </w:r>
      <w:r>
        <w:rPr>
          <w:rFonts w:ascii="Times New Roman;sans-serif" w:hAnsi="Times New Roman;sans-serif"/>
          <w:b w:val="false"/>
          <w:strike/>
          <w:color w:val="FF0000"/>
          <w:sz w:val="22"/>
        </w:rPr>
        <w:t>5,000,000</w:t>
      </w:r>
      <w:r>
        <w:rPr>
          <w:rFonts w:ascii="Times New Roman;sans-serif" w:hAnsi="Times New Roman;sans-serif"/>
          <w:b w:val="false"/>
          <w:color w:val="0000FF"/>
          <w:sz w:val="22"/>
          <w:u w:val="single"/>
        </w:rPr>
        <w:t>7,500,000</w:t>
      </w:r>
      <w:r>
        <w:rPr>
          <w:rFonts w:ascii="Times New Roman;sans-serif" w:hAnsi="Times New Roman;sans-serif"/>
          <w:b w:val="false"/>
          <w:color w:val="000000"/>
          <w:sz w:val="22"/>
        </w:rPr>
        <w:t xml:space="preserve">, the Company shall be in compliance with </w:t>
      </w:r>
      <w:r>
        <w:rPr>
          <w:rFonts w:ascii="Times New Roman;sans-serif" w:hAnsi="Times New Roman;sans-serif"/>
          <w:b w:val="false"/>
          <w:color w:val="000000"/>
          <w:sz w:val="22"/>
          <w:u w:val="single"/>
        </w:rPr>
        <w:t>Sections 9.1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9.2</w:t>
      </w:r>
      <w:r>
        <w:rPr>
          <w:color w:val="000000"/>
        </w:rPr>
        <w:t xml:space="preserve"> </w:t>
      </w:r>
      <w:r>
        <w:rPr>
          <w:rFonts w:ascii="Times New Roman;sans-serif" w:hAnsi="Times New Roman;sans-serif"/>
          <w:b w:val="false"/>
          <w:color w:val="000000"/>
          <w:sz w:val="22"/>
        </w:rPr>
        <w:t xml:space="preserve">on a </w:t>
      </w:r>
      <w:r>
        <w:rPr>
          <w:rFonts w:ascii="Times New Roman;sans-serif" w:hAnsi="Times New Roman;sans-serif"/>
          <w:b w:val="false"/>
          <w:color w:val="000000"/>
          <w:sz w:val="22"/>
          <w:u w:val="single"/>
        </w:rPr>
        <w:t>pro forma</w:t>
      </w:r>
      <w:r>
        <w:rPr>
          <w:color w:val="000000"/>
        </w:rPr>
        <w:t xml:space="preserve"> </w:t>
      </w:r>
      <w:r>
        <w:rPr>
          <w:rFonts w:ascii="Times New Roman;sans-serif" w:hAnsi="Times New Roman;sans-serif"/>
          <w:b w:val="false"/>
          <w:color w:val="000000"/>
          <w:sz w:val="22"/>
        </w:rPr>
        <w:t>basis after giving effect to the making of such Investment.</w:t>
      </w:r>
    </w:p>
    <w:p>
      <w:pPr>
        <w:pStyle w:val="TextBody"/>
        <w:bidi w:val="0"/>
        <w:spacing w:lineRule="auto" w:line="288" w:before="0" w:after="24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provided, that, notwithstanding any to the contrary set forth in this Agreement or any other Loan Document, the Borrowers shall not, and shall not permit any of their Restricted Subsidiaries to consummate any transaction that results in the transfer (whether by way of any dividend, distribution, Investment, disposition, designation of any Restricted Subsidiary as an Unrestricted Subsidiary, or otherwise, and whether in a single transaction or a series of related transactions) of Material Intellectual Property from any Borrower or any of their Restricted Subsidiaries to any Unrestricted Subsidiary.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10.4    </w:t>
      </w:r>
      <w:r>
        <w:rPr>
          <w:rFonts w:ascii="Times New Roman;sans-serif" w:hAnsi="Times New Roman;sans-serif"/>
          <w:b/>
          <w:color w:val="000000"/>
          <w:sz w:val="22"/>
          <w:u w:val="single"/>
        </w:rPr>
        <w:t>Limitations on Mergers and Liquidation</w:t>
      </w:r>
      <w:r>
        <w:rPr>
          <w:rFonts w:ascii="Times New Roman;sans-serif" w:hAnsi="Times New Roman;sans-serif"/>
          <w:b w:val="false"/>
          <w:color w:val="000000"/>
          <w:sz w:val="22"/>
        </w:rPr>
        <w:t>. Merge, consolidate or enter into any similar combination with any other Person or liquidate, wind-up or dissolve itself (or suffer any liquidation or dissolution) except: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any Subsidiary of the Company may be merged or consolidated with or into (i)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be the continuing or surviving Person) or (ii) a Restricted Subsidiary of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(x) if a Subsidiary Borrower is a part of such transaction, such Subsidiary Borrower shall be the continuing or surviving Person, (y) if a Guarantor is a part of such transaction, a Guarantor shall be the continuing or surviving Person and (z) if a Wholly</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00"/>
          <w:sz w:val="22"/>
        </w:rPr>
        <w:t>Owned Subsidiary is a part of such transaction, a Wholly</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00"/>
          <w:sz w:val="22"/>
        </w:rPr>
        <w:t>Owned Subsidiary shall be the continuing or surviving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any Restricted Subsidiary may sell, lease, transfer or otherwise dispose of any or all of its assets (upon voluntary liquidation or otherwise) to the Company or any other Wholly</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00"/>
          <w:sz w:val="22"/>
        </w:rPr>
        <w:t xml:space="preserve">Owned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if the transferor in such a transaction is a Guarantor and the transferee is not a Credit Party, the fair market value of the assets subject to such transaction together with Investments permitted under </w:t>
      </w:r>
      <w:r>
        <w:rPr>
          <w:rFonts w:ascii="Times New Roman;sans-serif" w:hAnsi="Times New Roman;sans-serif"/>
          <w:b w:val="false"/>
          <w:color w:val="000000"/>
          <w:sz w:val="22"/>
          <w:u w:val="single"/>
        </w:rPr>
        <w:t>Section 10.3(h)(ii)</w:t>
      </w:r>
      <w:r>
        <w:rPr>
          <w:color w:val="000000"/>
        </w:rPr>
        <w:t xml:space="preserve"> </w:t>
      </w:r>
      <w:r>
        <w:rPr>
          <w:rFonts w:ascii="Times New Roman;sans-serif" w:hAnsi="Times New Roman;sans-serif"/>
          <w:b w:val="false"/>
          <w:color w:val="000000"/>
          <w:sz w:val="22"/>
        </w:rPr>
        <w:t>shall not exceed $</w:t>
      </w:r>
      <w:r>
        <w:rPr>
          <w:rFonts w:ascii="Times New Roman;sans-serif" w:hAnsi="Times New Roman;sans-serif"/>
          <w:b w:val="false"/>
          <w:strike/>
          <w:color w:val="FF0000"/>
          <w:sz w:val="22"/>
        </w:rPr>
        <w:t>50,000,000</w:t>
      </w:r>
      <w:r>
        <w:rPr>
          <w:rFonts w:ascii="Times New Roman;sans-serif" w:hAnsi="Times New Roman;sans-serif"/>
          <w:b w:val="false"/>
          <w:color w:val="0000FF"/>
          <w:sz w:val="22"/>
          <w:u w:val="single"/>
        </w:rPr>
        <w:t>75,000,000</w:t>
      </w:r>
      <w:r>
        <w:rPr>
          <w:rFonts w:ascii="Times New Roman;sans-serif" w:hAnsi="Times New Roman;sans-serif"/>
          <w:b w:val="false"/>
          <w:color w:val="000000"/>
          <w:sz w:val="22"/>
        </w:rPr>
        <w:t>, and (ii) if the transferor in such a transaction is not a Credit Party and the transferee in such a transaction is the Company or a Guarantor, then the sale, lease, transfer or other disposition shall not be for an amount greater than the fair market value of the assets subject to such transaction;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any Wholly</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00"/>
          <w:sz w:val="22"/>
        </w:rPr>
        <w:t>Owned Subsidiary of the Company may merge into the Person such Wholly</w:t>
      </w:r>
      <w:r>
        <w:rPr>
          <w:rFonts w:ascii="Times New Roman;sans-serif" w:hAnsi="Times New Roman;sans-serif"/>
          <w:b w:val="false"/>
          <w:strike/>
          <w:color w:val="FF0000"/>
          <w:sz w:val="22"/>
        </w:rPr>
        <w:t>-</w:t>
      </w:r>
      <w:r>
        <w:rPr>
          <w:color w:val="000000"/>
        </w:rPr>
        <w:t xml:space="preserve"> </w:t>
      </w:r>
      <w:r>
        <w:rPr>
          <w:rFonts w:ascii="Times New Roman;sans-serif" w:hAnsi="Times New Roman;sans-serif"/>
          <w:b w:val="false"/>
          <w:color w:val="000000"/>
          <w:sz w:val="22"/>
        </w:rPr>
        <w:t>Owned Subsidiary was formed to acquire in connection with a Permitted Acquisition;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(i) any Restricted Subsidiary of the Company may wind-up into the Company or any Guarantor and (ii) any Restricted Subsidiary that is not a Credit Party may </w:t>
      </w:r>
      <w:r>
        <w:rPr>
          <w:rFonts w:ascii="Times New Roman;sans-serif" w:hAnsi="Times New Roman;sans-serif"/>
          <w:b w:val="false"/>
          <w:strike/>
          <w:color w:val="FF0000"/>
          <w:sz w:val="22"/>
        </w:rPr>
        <w:t>wind-up</w:t>
      </w:r>
      <w:r>
        <w:rPr>
          <w:rFonts w:ascii="Times New Roman;sans-serif" w:hAnsi="Times New Roman;sans-serif"/>
          <w:b w:val="false"/>
          <w:color w:val="0000FF"/>
          <w:sz w:val="22"/>
          <w:u w:val="single"/>
        </w:rPr>
        <w:t>wind-up</w:t>
      </w:r>
      <w:r>
        <w:rPr>
          <w:color w:val="000000"/>
        </w:rPr>
        <w:t xml:space="preserve"> </w:t>
      </w:r>
      <w:r>
        <w:rPr>
          <w:rFonts w:ascii="Times New Roman;sans-serif" w:hAnsi="Times New Roman;sans-serif"/>
          <w:b w:val="false"/>
          <w:color w:val="000000"/>
          <w:sz w:val="22"/>
        </w:rPr>
        <w:t>into any other Restricted Subsidiary that is not a Credit Party.</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338"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10.5    </w:t>
      </w:r>
      <w:r>
        <w:rPr>
          <w:rFonts w:ascii="Times New Roman;sans-serif" w:hAnsi="Times New Roman;sans-serif"/>
          <w:b/>
          <w:color w:val="000000"/>
          <w:sz w:val="22"/>
          <w:u w:val="single"/>
        </w:rPr>
        <w:t>Limitations on Sale of Assets</w:t>
      </w:r>
      <w:r>
        <w:rPr>
          <w:rFonts w:ascii="Times New Roman;sans-serif" w:hAnsi="Times New Roman;sans-serif"/>
          <w:b w:val="false"/>
          <w:color w:val="000000"/>
          <w:sz w:val="22"/>
        </w:rPr>
        <w:t>. Convey, sell, lease, assign, transfer or otherwise dispose of any of its property, business or assets (including, without limitation, the sale of any receivables and leasehold interests and any sale-leaseback or similar transaction), whether now owned or hereafter acquired except: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sale of inventory in the ordinary course of business;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disposition of worn, damaged, surplus or obsolete assets or other assets no longer used or usable in the business of the Company or any of its Restricted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(c)    the transfer of assets to any Borrower or any Guarantor pursuant to </w:t>
      </w:r>
      <w:r>
        <w:rPr>
          <w:rFonts w:ascii="Times New Roman;sans-serif" w:hAnsi="Times New Roman;sans-serif"/>
          <w:b w:val="false"/>
          <w:color w:val="000000"/>
          <w:sz w:val="22"/>
          <w:u w:val="single"/>
        </w:rPr>
        <w:t>Section 10.4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the sale or discount without recourse of accounts receivable arising in the ordinary course of business in connection with the compromise or collection thereof;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the disposition of any Hedging Agreement;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the disposition of Investments in cash and Cash Equivalents;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non-exclusive licenses of intellectual property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(h)    (i) the transfer by any Credit Party of its assets to any other Credit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the transferor is the Company or a Domestic Subsidiary, the transferee shall be the Company or a Credit Party that is a Domestic Subsidiary, (ii) the transfer by any Restricted Subsidiary of the Company that is not a Credit Party of its assets to any Credit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connection with any new transfer, such Credit Party shall not pay more than an amount equal to the fair market value of such assets as determined in good faith at the time of such transfer) and (iii) the transfer by any Restricted Subsidiary of the Company that is not a Credit Party of its assets to any other Restricted Subsidiary of the Company that is not a Credit Party;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additional dispositions of assets not otherwise permitted pursuant to this Section in an aggregate amount not to exceed an amount equal to the greater of (x) $</w:t>
      </w:r>
      <w:r>
        <w:rPr>
          <w:rFonts w:ascii="Times New Roman;sans-serif" w:hAnsi="Times New Roman;sans-serif"/>
          <w:b w:val="false"/>
          <w:strike/>
          <w:color w:val="FF0000"/>
          <w:sz w:val="22"/>
        </w:rPr>
        <w:t>100,000,000</w:t>
      </w:r>
      <w:r>
        <w:rPr>
          <w:rFonts w:ascii="Times New Roman;sans-serif" w:hAnsi="Times New Roman;sans-serif"/>
          <w:b w:val="false"/>
          <w:color w:val="0000FF"/>
          <w:sz w:val="22"/>
          <w:u w:val="single"/>
        </w:rPr>
        <w:t>150,000,000</w:t>
      </w:r>
      <w:r>
        <w:rPr>
          <w:color w:val="000000"/>
        </w:rPr>
        <w:t xml:space="preserve"> </w:t>
      </w:r>
      <w:r>
        <w:rPr>
          <w:rFonts w:ascii="Times New Roman;sans-serif" w:hAnsi="Times New Roman;sans-serif"/>
          <w:b w:val="false"/>
          <w:color w:val="000000"/>
          <w:sz w:val="22"/>
        </w:rPr>
        <w:t>and (y) five percent (5%) of Total Assets, determined as of the most recently ended fiscal quarter of the Company, in each case, during any Fiscal Year.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10.6    </w:t>
      </w:r>
      <w:r>
        <w:rPr>
          <w:rFonts w:ascii="Times New Roman;sans-serif" w:hAnsi="Times New Roman;sans-serif"/>
          <w:b/>
          <w:color w:val="000000"/>
          <w:sz w:val="22"/>
          <w:u w:val="single"/>
        </w:rPr>
        <w:t>Limitations on Dividends and Distributions</w:t>
      </w:r>
      <w:r>
        <w:rPr>
          <w:rFonts w:ascii="Times New Roman;sans-serif" w:hAnsi="Times New Roman;sans-serif"/>
          <w:b w:val="false"/>
          <w:color w:val="000000"/>
          <w:sz w:val="22"/>
        </w:rPr>
        <w:t xml:space="preserve">. Declare or pay any dividends upon any of its Capital Stock; purchase, redeem, retire or otherwise acquire, directly or indirectly, any shares of its Capital Stock, or make any distribution of cash, property or assets among the holders of shares of its Capital Stock, or make any change in its capital structure which such change in its capital structure would reasonably be expected to have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Company or any Restricted Subsidiary may pay dividends in shares of its own Capital Stock;</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any Restricted Subsidiary may pay cash dividends or make cash distributions to a Credit Party and may repurchase shares of its Capital Stock from a Credit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the Company may purchase, redeem or otherwise acquire Capital Stock of the Company or warrants or options to acquire any such Capital Stock with the proceeds received from the substantially concurrent issue of new shares of Capital Stock of the Company;</w:t>
      </w:r>
      <w:r>
        <w:rPr>
          <w:strike/>
          <w:color w:val="FF0000"/>
        </w:rPr>
        <w:t xml:space="preserve"> </w:t>
      </w:r>
      <w:r>
        <w:rPr>
          <w:rFonts w:ascii="Times New Roman;sans-serif" w:hAnsi="Times New Roman;sans-serif"/>
          <w:b w:val="false"/>
          <w:strike/>
          <w:color w:val="FF0000"/>
          <w:sz w:val="22"/>
        </w:rPr>
        <w:t>and</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339"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the Company may </w:t>
      </w:r>
      <w:r>
        <w:rPr>
          <w:rFonts w:ascii="Times New Roman;sans-serif" w:hAnsi="Times New Roman;sans-serif"/>
          <w:b w:val="false"/>
          <w:color w:val="0000FF"/>
          <w:sz w:val="22"/>
          <w:u w:val="single"/>
        </w:rPr>
        <w:t xml:space="preserve">declare and </w:t>
      </w:r>
      <w:r>
        <w:rPr>
          <w:rFonts w:ascii="Times New Roman;sans-serif" w:hAnsi="Times New Roman;sans-serif"/>
          <w:b w:val="false"/>
          <w:color w:val="000000"/>
          <w:sz w:val="22"/>
        </w:rPr>
        <w:t xml:space="preserve">pay dividends </w:t>
      </w:r>
      <w:r>
        <w:rPr>
          <w:rFonts w:ascii="Times New Roman;sans-serif" w:hAnsi="Times New Roman;sans-serif"/>
          <w:b w:val="false"/>
          <w:strike/>
          <w:color w:val="FF0000"/>
          <w:sz w:val="22"/>
        </w:rPr>
        <w:t>to holders</w:t>
      </w:r>
      <w:r>
        <w:rPr>
          <w:rFonts w:ascii="Times New Roman;sans-serif" w:hAnsi="Times New Roman;sans-serif"/>
          <w:b w:val="false"/>
          <w:color w:val="0000FF"/>
          <w:sz w:val="22"/>
          <w:u w:val="single"/>
        </w:rPr>
        <w:t>upon any</w:t>
      </w:r>
      <w:r>
        <w:rPr>
          <w:color w:val="000000"/>
        </w:rPr>
        <w:t xml:space="preserve"> </w:t>
      </w:r>
      <w:r>
        <w:rPr>
          <w:rFonts w:ascii="Times New Roman;sans-serif" w:hAnsi="Times New Roman;sans-serif"/>
          <w:b w:val="false"/>
          <w:color w:val="000000"/>
          <w:sz w:val="22"/>
        </w:rPr>
        <w:t>of its Capital Stock</w:t>
      </w:r>
      <w:r>
        <w:rPr>
          <w:strike/>
          <w:color w:val="FF0000"/>
        </w:rPr>
        <w:t xml:space="preserve"> </w:t>
      </w:r>
      <w:r>
        <w:rPr>
          <w:rFonts w:ascii="Times New Roman;sans-serif" w:hAnsi="Times New Roman;sans-serif"/>
          <w:b w:val="false"/>
          <w:strike/>
          <w:color w:val="FF0000"/>
          <w:sz w:val="22"/>
        </w:rPr>
        <w:t>and/or repurchase</w:t>
      </w:r>
      <w:r>
        <w:rPr>
          <w:rFonts w:ascii="Times New Roman;sans-serif" w:hAnsi="Times New Roman;sans-serif"/>
          <w:b w:val="false"/>
          <w:color w:val="0000FF"/>
          <w:sz w:val="22"/>
          <w:u w:val="single"/>
        </w:rPr>
        <w:t>, purchase, redeem, retire or otherwise acquire, directly or indirectly, any shares of its Capital Stock, or make any distribution of cash, property or assets among the holders of</w:t>
      </w:r>
      <w:r>
        <w:rPr>
          <w:color w:val="000000"/>
        </w:rPr>
        <w:t xml:space="preserve"> </w:t>
      </w:r>
      <w:r>
        <w:rPr>
          <w:rFonts w:ascii="Times New Roman;sans-serif" w:hAnsi="Times New Roman;sans-serif"/>
          <w:b w:val="false"/>
          <w:color w:val="000000"/>
          <w:sz w:val="22"/>
        </w:rPr>
        <w:t xml:space="preserve">shares of its Capital Stock;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on the date such dividend is paid and/or shares of Capital Stock are repurchased and after giving effect thereto and to any extension of credit (including any Extension of Credit) made in connection therewith: (i) no Default or Event of Default shall have occurred and be continuing; and (ii) the pro forma Net Leverage Ratio at such time is 0.25 less than the Net Leverage Ratio currently required to be maintained under </w:t>
      </w:r>
      <w:r>
        <w:rPr>
          <w:rFonts w:ascii="Times New Roman;sans-serif" w:hAnsi="Times New Roman;sans-serif"/>
          <w:b w:val="false"/>
          <w:color w:val="000000"/>
          <w:sz w:val="22"/>
          <w:u w:val="single"/>
        </w:rPr>
        <w:t>Section 9.1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the foregoing shall not operate to prevent the making of dividends or repurchases previously declared by the Company so long as (i) at the declaration date, such dividend or repurchase was permitted by the foregoing and (ii) such dividend or repurchase is consummated within the earlier of 60 days and any date under Applicable Law on which such dividend or repurchase must be consummated</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 and</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(e)    </w:t>
      </w:r>
      <w:r>
        <w:rPr>
          <w:rFonts w:ascii="Times New Roman;sans-serif" w:hAnsi="Times New Roman;sans-serif"/>
          <w:b w:val="false"/>
          <w:color w:val="0000FF"/>
          <w:sz w:val="22"/>
          <w:u w:val="single"/>
        </w:rPr>
        <w:t>in addition to the dividends and distributions permitted above, each of the Company and its Restricted Subsidiaries may declare and pay dividends upon any of its Capital Stock, purchase, redeem, retire or otherwise acquire, directly or indirectly, any shares of its Capital Stock, or make any distribution of cash, property or assets among the holders of shares of its Capital Stock in an aggregate amount after the Third Amendment Effective Date not to exceed $50,000,000; so long as, (i) no Default or Event of Default shall have occurred and be continuing or would be caused by the making of such dividend or distribution and (ii) the Company shall be in compliance with Sections 9.1 and 9.2 on a pro forma basis after giving effect to the making of such dividend or distribution.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10.7    </w:t>
      </w:r>
      <w:r>
        <w:rPr>
          <w:rFonts w:ascii="Times New Roman;sans-serif" w:hAnsi="Times New Roman;sans-serif"/>
          <w:b/>
          <w:color w:val="000000"/>
          <w:sz w:val="22"/>
          <w:u w:val="single"/>
        </w:rPr>
        <w:t>Sanctions</w:t>
      </w:r>
      <w:r>
        <w:rPr>
          <w:rFonts w:ascii="Times New Roman;sans-serif" w:hAnsi="Times New Roman;sans-serif"/>
          <w:b w:val="false"/>
          <w:color w:val="000000"/>
          <w:sz w:val="22"/>
        </w:rPr>
        <w:t>. Directly or</w:t>
      </w:r>
      <w:r>
        <w:rPr>
          <w:rFonts w:ascii="Times New Roman;sans-serif" w:hAnsi="Times New Roman;sans-serif"/>
          <w:b w:val="false"/>
          <w:color w:val="0000FF"/>
          <w:sz w:val="22"/>
          <w:u w:val="single"/>
        </w:rPr>
        <w:t>, to the knowledge of the Borrowers,</w:t>
      </w:r>
      <w:r>
        <w:rPr>
          <w:color w:val="000000"/>
        </w:rPr>
        <w:t xml:space="preserve"> </w:t>
      </w:r>
      <w:r>
        <w:rPr>
          <w:rFonts w:ascii="Times New Roman;sans-serif" w:hAnsi="Times New Roman;sans-serif"/>
          <w:b w:val="false"/>
          <w:color w:val="000000"/>
          <w:sz w:val="22"/>
        </w:rPr>
        <w:t xml:space="preserve">indirectly, use any Extension of Credit or the proceeds of any Extension of Credit, or lend, contribute or otherwise make available such Extension of Credit or the proceeds of any Extension of Credit to any Person, to fund any activities of or business with any Person, or in any Designated Jurisdiction, that, at the time of such funding, is the subject of </w:t>
      </w:r>
      <w:r>
        <w:rPr>
          <w:rFonts w:ascii="Times New Roman;sans-serif" w:hAnsi="Times New Roman;sans-serif"/>
          <w:b w:val="false"/>
          <w:color w:val="0000FF"/>
          <w:sz w:val="22"/>
          <w:u w:val="single"/>
        </w:rPr>
        <w:t xml:space="preserve">applicable Sanctions, in each case, in violation of applicable </w:t>
      </w:r>
      <w:r>
        <w:rPr>
          <w:rFonts w:ascii="Times New Roman;sans-serif" w:hAnsi="Times New Roman;sans-serif"/>
          <w:b w:val="false"/>
          <w:color w:val="000000"/>
          <w:sz w:val="22"/>
        </w:rPr>
        <w:t xml:space="preserve">Sanctions, or in any other manner that will result in a violation by any Person (including any Person participating in the transaction, whether as Lender, Arranger, Administrative Agent, </w:t>
      </w:r>
      <w:r>
        <w:rPr>
          <w:rFonts w:ascii="Times New Roman;sans-serif" w:hAnsi="Times New Roman;sans-serif"/>
          <w:b w:val="false"/>
          <w:color w:val="0000FF"/>
          <w:sz w:val="22"/>
          <w:u w:val="single"/>
        </w:rPr>
        <w:t xml:space="preserve">Sustainability Coordinator, </w:t>
      </w:r>
      <w:r>
        <w:rPr>
          <w:rFonts w:ascii="Times New Roman;sans-serif" w:hAnsi="Times New Roman;sans-serif"/>
          <w:b w:val="false"/>
          <w:color w:val="000000"/>
          <w:sz w:val="22"/>
        </w:rPr>
        <w:t xml:space="preserve">Issuing Lender, Swingline Lender, or otherwise) of </w:t>
      </w:r>
      <w:r>
        <w:rPr>
          <w:rFonts w:ascii="Times New Roman;sans-serif" w:hAnsi="Times New Roman;sans-serif"/>
          <w:b w:val="false"/>
          <w:color w:val="0000FF"/>
          <w:sz w:val="22"/>
          <w:u w:val="single"/>
        </w:rPr>
        <w:t xml:space="preserve">applicable </w:t>
      </w:r>
      <w:r>
        <w:rPr>
          <w:rFonts w:ascii="Times New Roman;sans-serif" w:hAnsi="Times New Roman;sans-serif"/>
          <w:b w:val="false"/>
          <w:color w:val="000000"/>
          <w:sz w:val="22"/>
        </w:rPr>
        <w:t>Sanctions.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10.8    </w:t>
      </w:r>
      <w:r>
        <w:rPr>
          <w:rFonts w:ascii="Times New Roman;sans-serif" w:hAnsi="Times New Roman;sans-serif"/>
          <w:b/>
          <w:color w:val="000000"/>
          <w:sz w:val="22"/>
          <w:u w:val="single"/>
        </w:rPr>
        <w:t>Transactions with Affiliates</w:t>
      </w:r>
      <w:r>
        <w:rPr>
          <w:rFonts w:ascii="Times New Roman;sans-serif" w:hAnsi="Times New Roman;sans-serif"/>
          <w:b w:val="false"/>
          <w:color w:val="000000"/>
          <w:sz w:val="22"/>
        </w:rPr>
        <w:t xml:space="preserve">. Except for (a) transactions permitted by </w:t>
      </w:r>
      <w:r>
        <w:rPr>
          <w:rFonts w:ascii="Times New Roman;sans-serif" w:hAnsi="Times New Roman;sans-serif"/>
          <w:b w:val="false"/>
          <w:color w:val="000000"/>
          <w:sz w:val="22"/>
          <w:u w:val="single"/>
        </w:rPr>
        <w:t>Sections 10.1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10.6</w:t>
      </w:r>
      <w:r>
        <w:rPr>
          <w:rFonts w:ascii="Times New Roman;sans-serif" w:hAnsi="Times New Roman;sans-serif"/>
          <w:b w:val="false"/>
          <w:color w:val="000000"/>
          <w:sz w:val="22"/>
        </w:rPr>
        <w:t xml:space="preserve">, (b) those transactions existing on the </w:t>
      </w:r>
      <w:r>
        <w:rPr>
          <w:rFonts w:ascii="Times New Roman;sans-serif" w:hAnsi="Times New Roman;sans-serif"/>
          <w:b w:val="false"/>
          <w:strike/>
          <w:color w:val="FF0000"/>
          <w:sz w:val="22"/>
        </w:rPr>
        <w:t>Closing</w:t>
      </w:r>
      <w:r>
        <w:rPr>
          <w:rFonts w:ascii="Times New Roman;sans-serif" w:hAnsi="Times New Roman;sans-serif"/>
          <w:b w:val="false"/>
          <w:color w:val="0000FF"/>
          <w:sz w:val="22"/>
          <w:u w:val="single"/>
        </w:rPr>
        <w:t>Third Amendment Effective</w:t>
      </w:r>
      <w:r>
        <w:rPr>
          <w:color w:val="000000"/>
        </w:rPr>
        <w:t xml:space="preserve"> </w:t>
      </w:r>
      <w:r>
        <w:rPr>
          <w:rFonts w:ascii="Times New Roman;sans-serif" w:hAnsi="Times New Roman;sans-serif"/>
          <w:b w:val="false"/>
          <w:color w:val="000000"/>
          <w:sz w:val="22"/>
        </w:rPr>
        <w:t xml:space="preserve">Date and identified on </w:t>
      </w:r>
      <w:r>
        <w:rPr>
          <w:rFonts w:ascii="Times New Roman;sans-serif" w:hAnsi="Times New Roman;sans-serif"/>
          <w:b w:val="false"/>
          <w:color w:val="000000"/>
          <w:sz w:val="22"/>
          <w:u w:val="single"/>
        </w:rPr>
        <w:t>Schedule 10.8</w:t>
      </w:r>
      <w:r>
        <w:rPr>
          <w:rFonts w:ascii="Times New Roman;sans-serif" w:hAnsi="Times New Roman;sans-serif"/>
          <w:b w:val="false"/>
          <w:color w:val="000000"/>
          <w:sz w:val="22"/>
        </w:rPr>
        <w:t>, (c) transactions among Credit Parties, (d) normal compensation, indemnity and reimbursement of reasonable expenses of officers, directors and employees, (e) the issuance of Capital Stock in the Company to any officer, director, employee or consultant of the Company and its Restricted Subsidiary, or (f) any issuance of Capital Stock of the Company or other payments, awards or grants in cash, securities or otherwise pursuant to, or the funding of, employment agreements, stock options and stock ownership plans of the Company or any of its Restricted Subsidiaries, directly or indirectly (i) make any loan or advance to, or purchase or assume any note or other obligation to or from, any of its officers, directors or Affiliates, or to or from any member of the immediate family of any of its officers, directors or Affiliates, or (ii) enter into, or be a party to, any other transaction not described in clause (i) above with any of its Affiliates, except upon fair and reasonable terms, taken as a whole, and are no less favorable, taken as a whole, to it than it would obtain in a comparable arm’s length transaction with a Person not its Affiliate.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10.9    </w:t>
      </w:r>
      <w:r>
        <w:rPr>
          <w:rFonts w:ascii="Times New Roman;sans-serif" w:hAnsi="Times New Roman;sans-serif"/>
          <w:b/>
          <w:color w:val="000000"/>
          <w:sz w:val="22"/>
          <w:u w:val="single"/>
        </w:rPr>
        <w:t>Certain Accounting Changes; Organizational Documents</w:t>
      </w:r>
      <w:r>
        <w:rPr>
          <w:rFonts w:ascii="Times New Roman;sans-serif" w:hAnsi="Times New Roman;sans-serif"/>
          <w:b w:val="false"/>
          <w:color w:val="000000"/>
          <w:sz w:val="22"/>
        </w:rPr>
        <w:t xml:space="preserve">. (a) Change its Fiscal Year end (other than any change of a newly acquired Subsidiary’s Fiscal Year end to December 31), or make any change in its accounting treatment and reporting practices except, subject to </w:t>
      </w:r>
      <w:r>
        <w:rPr>
          <w:rFonts w:ascii="Times New Roman;sans-serif" w:hAnsi="Times New Roman;sans-serif"/>
          <w:b w:val="false"/>
          <w:color w:val="000000"/>
          <w:sz w:val="22"/>
          <w:u w:val="single"/>
        </w:rPr>
        <w:t>Section 1.3(b)</w:t>
      </w:r>
      <w:r>
        <w:rPr>
          <w:rFonts w:ascii="Times New Roman;sans-serif" w:hAnsi="Times New Roman;sans-serif"/>
          <w:b w:val="false"/>
          <w:color w:val="000000"/>
          <w:sz w:val="22"/>
        </w:rPr>
        <w:t xml:space="preserve">, as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340"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permitted by or in accordance with, GAAP or (b) amend, modify or change its articles of incorporation (or corporate charter or other similar organizational documents) or amend, modify or change its bylaws (or other similar documents), in each case of this clause (b) in any manner adverse in any material respect to the rights or interests of the Lenders (it being agreed that changing such Person’s name or jurisdiction of organization is not adverse to the Lenders if the Company provides written notice of such change at least ten (10) Business Days (or such shorter time as agreed to by the Administrative Agent) prior to such change).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10.10    </w:t>
      </w:r>
      <w:r>
        <w:rPr>
          <w:rFonts w:ascii="Times New Roman;sans-serif" w:hAnsi="Times New Roman;sans-serif"/>
          <w:b/>
          <w:color w:val="000000"/>
          <w:sz w:val="22"/>
          <w:u w:val="single"/>
        </w:rPr>
        <w:t>Amendments; Payments and Prepayments of Subordinated Indebtedness.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Amend or modify (or permit the modification or amendment of) any of the terms or provisions of any Subordinated Indebtedness in any respect which, when taken as a whole, would materially adversely affect the rights or interests of the Administrative Agent and Lenders hereunder, it being agreed that amendments or modifications expressly permitted under the terms of any applicable subordination agreement or provision shall not materially adversely affect the rights or interests of the Administrative Agent and the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Make any payment or prepayment on, or redeem or acquire for value (including, without limitation, (i) by way of depositing with any trustee with respect thereto money or securities before due for the purpose of paying when due and (ii) at the maturity thereof) any Subordinated Indebtedness, except (x) to the extent not prohibited by the terms of the applicable subordination agreement and (y) refinancings, refundings, renewals, extensions or exchange of any Subordinated Indebtedness permitted by </w:t>
      </w:r>
      <w:r>
        <w:rPr>
          <w:rFonts w:ascii="Times New Roman;sans-serif" w:hAnsi="Times New Roman;sans-serif"/>
          <w:b w:val="false"/>
          <w:color w:val="000000"/>
          <w:sz w:val="22"/>
          <w:u w:val="single"/>
        </w:rPr>
        <w:t>Section 10.1(f)</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10.11    </w:t>
      </w:r>
      <w:r>
        <w:rPr>
          <w:rFonts w:ascii="Times New Roman;sans-serif" w:hAnsi="Times New Roman;sans-serif"/>
          <w:b/>
          <w:color w:val="000000"/>
          <w:sz w:val="22"/>
          <w:u w:val="single"/>
        </w:rPr>
        <w:t>Restrictive Agreements</w:t>
      </w:r>
      <w:r>
        <w:rPr>
          <w:rFonts w:ascii="Times New Roman;sans-serif" w:hAnsi="Times New Roman;sans-serif"/>
          <w:b w:val="false"/>
          <w:color w:val="000000"/>
          <w:sz w:val="22"/>
        </w:rPr>
        <w:t xml:space="preserve">. The Company will not, and will not permit any of its Restricted Subsidiaries to, directly or indirectly, enter into, incur or permit to exist any agreement or other arrangement that prohibits, restricts or imposes any condition upon (a) the ability of the Company or any Restricted Subsidiary to create, incur or permit to exist any Lien upon any of its property or assets, or (b) the ability of any Restricted Subsidiary to pay dividends or other distributions with respect to holders of its Capital Stock or to make or repay loans or advances to the Company or any other Restricted Subsidiary or to guarantee the Obligations;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foregoing shall not apply to restrictions and conditions imposed by law or by any Loan Document, (ii) the foregoing shall not apply to customary restrictions and conditions contained in agreements relating to the sale of a Restricted Subsidiary pending such sale, provided such restrictions and conditions apply only to the Restricted Subsidiary that is to be sold and such sale is permitted hereunder, (iii) the foregoing shall not apply to restrictions imposed by any agreement relating to Indebtedness permitted by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to the extent (A) such restrictions are not more restrictive, taken as a whole, than the restrictions contained in this Agreement as determined in good faith by the Company and (B) such encumbrances will not, in the good faith judgment of the Company at the time such Indebtedness is incurred, affect the ability of the Credit Parties to service the Loans or other Obligations, (iv) the foregoing shall not apply to restrictions or Liens imposed by any agreement relating to secured Indebtedness permitted by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 xml:space="preserve">if such restrictions or Liens apply only to the property or assets securing such Indebtedness, (v) the foregoing shall not apply in the case of any Restricted Subsidiary that is not a </w:t>
      </w:r>
      <w:r>
        <w:rPr>
          <w:rFonts w:ascii="Times New Roman;sans-serif" w:hAnsi="Times New Roman;sans-serif"/>
          <w:b w:val="false"/>
          <w:strike/>
          <w:color w:val="FF0000"/>
          <w:sz w:val="22"/>
        </w:rPr>
        <w:t>Wholly-Owned</w:t>
      </w:r>
      <w:r>
        <w:rPr>
          <w:rFonts w:ascii="Times New Roman;sans-serif" w:hAnsi="Times New Roman;sans-serif"/>
          <w:b w:val="false"/>
          <w:color w:val="0000FF"/>
          <w:sz w:val="22"/>
          <w:u w:val="single"/>
        </w:rPr>
        <w:t>Wholly Owned</w:t>
      </w:r>
      <w:r>
        <w:rPr>
          <w:color w:val="000000"/>
        </w:rPr>
        <w:t xml:space="preserve"> </w:t>
      </w:r>
      <w:r>
        <w:rPr>
          <w:rFonts w:ascii="Times New Roman;sans-serif" w:hAnsi="Times New Roman;sans-serif"/>
          <w:b w:val="false"/>
          <w:color w:val="000000"/>
          <w:sz w:val="22"/>
        </w:rPr>
        <w:t xml:space="preserve">Subsidiary, to restrictions and conditions imposed by its organizational documents or any related joint venture or similar agreements;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restrictions and conditions only apply to such Restricted Subsidiary and to the Capital Stock of such Restricted Subsidiary, (vi) the foregoing shall not apply to restrictions affecting any Foreign Subsidiary (other than a Subsidiary Borrower) of the Company under any agreement or instrument governing any Indebtedness of such Foreign Subsidiary permitted pursuant to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xml:space="preserve">, and customary restrictions contained in “comfort” letters and guarantees of any such Indebtedness, (vii) the foregoing shall not apply to restrictions arising by reason of customary provisions restricting assignments, subletting or other transfers contained in contracts, leases, licenses and similar agreements entered into in the ordinary course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341"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of business (viii) the foregoing shall not apply to customary restrictions and conditions contained in any agreement relating to the sale or purchase of any asset permitted under </w:t>
      </w:r>
      <w:r>
        <w:rPr>
          <w:rFonts w:ascii="Times New Roman;sans-serif" w:hAnsi="Times New Roman;sans-serif"/>
          <w:b w:val="false"/>
          <w:color w:val="000000"/>
          <w:sz w:val="22"/>
          <w:u w:val="single"/>
        </w:rPr>
        <w:t>Section 10.5</w:t>
      </w:r>
      <w:r>
        <w:rPr>
          <w:color w:val="000000"/>
        </w:rPr>
        <w:t xml:space="preserve"> </w:t>
      </w:r>
      <w:r>
        <w:rPr>
          <w:rFonts w:ascii="Times New Roman;sans-serif" w:hAnsi="Times New Roman;sans-serif"/>
          <w:b w:val="false"/>
          <w:color w:val="000000"/>
          <w:sz w:val="22"/>
        </w:rPr>
        <w:t>pending the consummation of such sale or purchase and (ix) the foregoing shall not apply to any agreement to which a Restricted Subsidiary is a party that is in effect at the time such Subsidiary becomes a Restricted Subsidiary, so long as such agreement was not entered into in contemplation of such Person becoming a Restricted Subsidiary.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10.12    </w:t>
      </w:r>
      <w:r>
        <w:rPr>
          <w:rFonts w:ascii="Times New Roman;sans-serif" w:hAnsi="Times New Roman;sans-serif"/>
          <w:b/>
          <w:color w:val="000000"/>
          <w:sz w:val="22"/>
          <w:u w:val="single"/>
        </w:rPr>
        <w:t>Nature of Business</w:t>
      </w:r>
      <w:r>
        <w:rPr>
          <w:rFonts w:ascii="Times New Roman;sans-serif" w:hAnsi="Times New Roman;sans-serif"/>
          <w:b w:val="false"/>
          <w:color w:val="000000"/>
          <w:sz w:val="22"/>
        </w:rPr>
        <w:t>. Substantively alter in any material respect the character or conduct of the business conducted by the Company and its Restricted Subsidiaries, taken as a whole, as of the Closing Date.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10.13    </w:t>
      </w:r>
      <w:r>
        <w:rPr>
          <w:rFonts w:ascii="Times New Roman;sans-serif" w:hAnsi="Times New Roman;sans-serif"/>
          <w:b/>
          <w:color w:val="0000FF"/>
          <w:sz w:val="22"/>
          <w:u w:val="single"/>
        </w:rPr>
        <w:t>Anti-Corruption Laws</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Directly or</w:t>
      </w:r>
      <w:r>
        <w:rPr>
          <w:rFonts w:ascii="Times New Roman;sans-serif" w:hAnsi="Times New Roman;sans-serif"/>
          <w:b w:val="false"/>
          <w:color w:val="0000FF"/>
          <w:sz w:val="22"/>
          <w:u w:val="single"/>
        </w:rPr>
        <w:t>, to the knowledge of the Borrowers,</w:t>
      </w:r>
      <w:r>
        <w:rPr>
          <w:color w:val="000000"/>
        </w:rPr>
        <w:t xml:space="preserve"> </w:t>
      </w:r>
      <w:r>
        <w:rPr>
          <w:rFonts w:ascii="Times New Roman;sans-serif" w:hAnsi="Times New Roman;sans-serif"/>
          <w:b w:val="false"/>
          <w:color w:val="000000"/>
          <w:sz w:val="22"/>
        </w:rPr>
        <w:t xml:space="preserve">indirectly, use any Extension of Credit or the proceeds of any Extension of Credit for any purpose which would </w:t>
      </w:r>
      <w:r>
        <w:rPr>
          <w:rFonts w:ascii="Times New Roman;sans-serif" w:hAnsi="Times New Roman;sans-serif"/>
          <w:b w:val="false"/>
          <w:strike/>
          <w:color w:val="FF0000"/>
          <w:sz w:val="22"/>
        </w:rPr>
        <w:t>breach</w:t>
      </w:r>
      <w:r>
        <w:rPr>
          <w:rFonts w:ascii="Times New Roman;sans-serif" w:hAnsi="Times New Roman;sans-serif"/>
          <w:b w:val="false"/>
          <w:color w:val="0000FF"/>
          <w:sz w:val="22"/>
          <w:u w:val="single"/>
        </w:rPr>
        <w:t>result in a violation of</w:t>
      </w:r>
      <w:r>
        <w:rPr>
          <w:color w:val="000000"/>
        </w:rPr>
        <w:t xml:space="preserve"> </w:t>
      </w:r>
      <w:r>
        <w:rPr>
          <w:rFonts w:ascii="Times New Roman;sans-serif" w:hAnsi="Times New Roman;sans-serif"/>
          <w:b w:val="false"/>
          <w:color w:val="000000"/>
          <w:sz w:val="22"/>
        </w:rPr>
        <w:t xml:space="preserve">the United States Foreign Corrupt Practices Act of 1977, the UK Bribery Act 2010 and other similar </w:t>
      </w:r>
      <w:r>
        <w:rPr>
          <w:rFonts w:ascii="Times New Roman;sans-serif" w:hAnsi="Times New Roman;sans-serif"/>
          <w:b w:val="false"/>
          <w:strike/>
          <w:color w:val="FF0000"/>
          <w:sz w:val="22"/>
        </w:rPr>
        <w:t>anti-corruption</w:t>
      </w:r>
      <w:r>
        <w:rPr>
          <w:rFonts w:ascii="Times New Roman;sans-serif" w:hAnsi="Times New Roman;sans-serif"/>
          <w:b w:val="false"/>
          <w:color w:val="0000FF"/>
          <w:sz w:val="22"/>
          <w:u w:val="single"/>
        </w:rPr>
        <w:t>anti-corruption</w:t>
      </w:r>
      <w:r>
        <w:rPr>
          <w:color w:val="000000"/>
        </w:rPr>
        <w:t xml:space="preserve"> </w:t>
      </w:r>
      <w:r>
        <w:rPr>
          <w:rFonts w:ascii="Times New Roman;sans-serif" w:hAnsi="Times New Roman;sans-serif"/>
          <w:b w:val="false"/>
          <w:color w:val="000000"/>
          <w:sz w:val="22"/>
        </w:rPr>
        <w:t>legislation in other jurisdictions applicable to the Company and its Subsidiaries.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XI</w:t>
        <w:br/>
        <w:br/>
        <w:t>DEFAULT AND REMEDIES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11.1    </w:t>
      </w:r>
      <w:r>
        <w:rPr>
          <w:rFonts w:ascii="Times New Roman;sans-serif" w:hAnsi="Times New Roman;sans-serif"/>
          <w:b/>
          <w:color w:val="000000"/>
          <w:sz w:val="22"/>
          <w:u w:val="single"/>
        </w:rPr>
        <w:t>Events of Default</w:t>
      </w:r>
      <w:r>
        <w:rPr>
          <w:rFonts w:ascii="Times New Roman;sans-serif" w:hAnsi="Times New Roman;sans-serif"/>
          <w:b w:val="false"/>
          <w:color w:val="000000"/>
          <w:sz w:val="22"/>
        </w:rPr>
        <w:t>. Each of the following shall constitute an Event of Default, whatever the reason for such event and whether it shall be voluntary or involuntary or be effected by operation of law or pursuant to any judgment or order of any court or any order, rule or regulation of any Governmental Authority or otherwise: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Default in Payment of Principal of Loans and Reimbursement Obligations</w:t>
      </w:r>
      <w:r>
        <w:rPr>
          <w:rFonts w:ascii="Times New Roman;sans-serif" w:hAnsi="Times New Roman;sans-serif"/>
          <w:b w:val="false"/>
          <w:color w:val="000000"/>
          <w:sz w:val="22"/>
        </w:rPr>
        <w:t>. Any Borrower shall default in any payment of principal of any Loan or Reimbursement Obligation when and as due (whether at maturity, by reason of acceleration or otherwise).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Other Payment Default</w:t>
      </w:r>
      <w:r>
        <w:rPr>
          <w:rFonts w:ascii="Times New Roman;sans-serif" w:hAnsi="Times New Roman;sans-serif"/>
          <w:b w:val="false"/>
          <w:color w:val="000000"/>
          <w:sz w:val="22"/>
        </w:rPr>
        <w:t>. Any Borrower or any other Credit Party shall default in the payment when and as due (whether at maturity, by reason of acceleration or otherwise) of interest on any Loan or Reimbursement Obligation or the payment of any other Obligation, and such default shall continue for a period of three (3) Business Days.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Misrepresentation</w:t>
      </w:r>
      <w:r>
        <w:rPr>
          <w:rFonts w:ascii="Times New Roman;sans-serif" w:hAnsi="Times New Roman;sans-serif"/>
          <w:b w:val="false"/>
          <w:color w:val="000000"/>
          <w:sz w:val="22"/>
        </w:rPr>
        <w:t>. Any representation, warranty, certification or written statement of fact made or deemed made by or on behalf of the Company or any other Credit Party herein, in any other Loan Document, or in any document delivered in connection herewith or therewith that is subject to materiality or Material Adverse Effect qualifications, shall be incorrect or misleading in any respect when made or deemed made or any representation, warranty, certification or statement of fact made or deemed made by or on behalf of the Company or any other Credit Party herein, any other Loan Document, or in any document delivered in connection herewith or therewith that is not subject to materiality or Material Adverse Effect qualifications, shall be incorrect or misleading in any material respect when made or deemed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Default in Performance of Certain Covenants</w:t>
      </w:r>
      <w:r>
        <w:rPr>
          <w:rFonts w:ascii="Times New Roman;sans-serif" w:hAnsi="Times New Roman;sans-serif"/>
          <w:b w:val="false"/>
          <w:color w:val="000000"/>
          <w:sz w:val="22"/>
        </w:rPr>
        <w:t xml:space="preserve">. Any Borrower or any other Credit Party shall default in the performance or observance of any covenant or agreement contained in </w:t>
      </w:r>
      <w:r>
        <w:rPr>
          <w:rFonts w:ascii="Times New Roman;sans-serif" w:hAnsi="Times New Roman;sans-serif"/>
          <w:b w:val="false"/>
          <w:color w:val="000000"/>
          <w:sz w:val="22"/>
          <w:u w:val="single"/>
        </w:rPr>
        <w:t>Sections 7.1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7.5(d)</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Articles IX</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Default in Performance of Other Covenants and Conditions</w:t>
      </w:r>
      <w:r>
        <w:rPr>
          <w:rFonts w:ascii="Times New Roman;sans-serif" w:hAnsi="Times New Roman;sans-serif"/>
          <w:b w:val="false"/>
          <w:color w:val="000000"/>
          <w:sz w:val="22"/>
        </w:rPr>
        <w:t xml:space="preserve">. Any Borrower or any other Credit Party shall default in the performance or observance of any term, covenant, condition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342"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agreement contained in this Agreement (other than as specifically provided for otherwise in this Section) or any other Loan Document and such default shall continue for a period of thirty (30) days after written notice thereof has been given to the Company by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Hedging Agreement</w:t>
      </w:r>
      <w:r>
        <w:rPr>
          <w:rFonts w:ascii="Times New Roman;sans-serif" w:hAnsi="Times New Roman;sans-serif"/>
          <w:b w:val="false"/>
          <w:color w:val="000000"/>
          <w:sz w:val="22"/>
        </w:rPr>
        <w:t>. Any Borrower or any other Credit Party shall default in the performance or observance of any term, covenant, condition or agreement (after giving effect to any applicable grace or cure period) under any Hedging Agreement and such default causes the termination of such Hedging Agreement and the Termination Value owed by such Credit Party as a result thereof exceeds $</w:t>
      </w:r>
      <w:r>
        <w:rPr>
          <w:rFonts w:ascii="Times New Roman;sans-serif" w:hAnsi="Times New Roman;sans-serif"/>
          <w:b w:val="false"/>
          <w:strike/>
          <w:color w:val="FF0000"/>
          <w:sz w:val="22"/>
        </w:rPr>
        <w:t>40,000,000</w:t>
      </w:r>
      <w:r>
        <w:rPr>
          <w:rFonts w:ascii="Times New Roman;sans-serif" w:hAnsi="Times New Roman;sans-serif"/>
          <w:b w:val="false"/>
          <w:color w:val="0000FF"/>
          <w:sz w:val="22"/>
          <w:u w:val="single"/>
        </w:rPr>
        <w:t>60,000,000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Indebtedness Cross-Default</w:t>
      </w:r>
      <w:r>
        <w:rPr>
          <w:rFonts w:ascii="Times New Roman;sans-serif" w:hAnsi="Times New Roman;sans-serif"/>
          <w:b w:val="false"/>
          <w:color w:val="000000"/>
          <w:sz w:val="22"/>
        </w:rPr>
        <w:t>. Any Borrower or any other Credit Party shall (i) default in the payment of any Indebtedness (other than the Loans or any Reimbursement Obligations) the aggregate outstanding amount of which Indebtedness is in excess of $</w:t>
      </w:r>
      <w:r>
        <w:rPr>
          <w:rFonts w:ascii="Times New Roman;sans-serif" w:hAnsi="Times New Roman;sans-serif"/>
          <w:b w:val="false"/>
          <w:strike/>
          <w:color w:val="FF0000"/>
          <w:sz w:val="22"/>
        </w:rPr>
        <w:t>40,000,000</w:t>
      </w:r>
      <w:r>
        <w:rPr>
          <w:rFonts w:ascii="Times New Roman;sans-serif" w:hAnsi="Times New Roman;sans-serif"/>
          <w:b w:val="false"/>
          <w:color w:val="0000FF"/>
          <w:sz w:val="22"/>
          <w:u w:val="single"/>
        </w:rPr>
        <w:t>60,000,000</w:t>
      </w:r>
      <w:r>
        <w:rPr>
          <w:color w:val="000000"/>
        </w:rPr>
        <w:t xml:space="preserve"> </w:t>
      </w:r>
      <w:r>
        <w:rPr>
          <w:rFonts w:ascii="Times New Roman;sans-serif" w:hAnsi="Times New Roman;sans-serif"/>
          <w:b w:val="false"/>
          <w:color w:val="000000"/>
          <w:sz w:val="22"/>
        </w:rPr>
        <w:t>beyond the period of grace if any, provided in the instrument or agreement under which such Indebtedness was created, or (ii) default in the observance or performance of any other agreement or condition relating to any Indebtedness (other than the Loans or any Reimbursement Obligations) the aggregate outstanding amount of which Indebtedness is in excess of $</w:t>
      </w:r>
      <w:r>
        <w:rPr>
          <w:rFonts w:ascii="Times New Roman;sans-serif" w:hAnsi="Times New Roman;sans-serif"/>
          <w:b w:val="false"/>
          <w:strike/>
          <w:color w:val="FF0000"/>
          <w:sz w:val="22"/>
        </w:rPr>
        <w:t>40,000,000</w:t>
      </w:r>
      <w:r>
        <w:rPr>
          <w:rFonts w:ascii="Times New Roman;sans-serif" w:hAnsi="Times New Roman;sans-serif"/>
          <w:b w:val="false"/>
          <w:color w:val="0000FF"/>
          <w:sz w:val="22"/>
          <w:u w:val="single"/>
        </w:rPr>
        <w:t>60,000,000</w:t>
      </w:r>
      <w:r>
        <w:rPr>
          <w:color w:val="000000"/>
        </w:rPr>
        <w:t xml:space="preserve"> </w:t>
      </w:r>
      <w:r>
        <w:rPr>
          <w:rFonts w:ascii="Times New Roman;sans-serif" w:hAnsi="Times New Roman;sans-serif"/>
          <w:b w:val="false"/>
          <w:color w:val="000000"/>
          <w:sz w:val="22"/>
        </w:rPr>
        <w:t>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any such Indebtedness to become due prior to its stated maturity (any applicable grace period having expired).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Intentionally Omitted]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Change in Control</w:t>
      </w:r>
      <w:r>
        <w:rPr>
          <w:rFonts w:ascii="Times New Roman;sans-serif" w:hAnsi="Times New Roman;sans-serif"/>
          <w:b w:val="false"/>
          <w:color w:val="000000"/>
          <w:sz w:val="22"/>
        </w:rPr>
        <w:t>. A Change in Control shall occur.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Voluntary Bankruptcy Proceeding</w:t>
      </w:r>
      <w:r>
        <w:rPr>
          <w:rFonts w:ascii="Times New Roman;sans-serif" w:hAnsi="Times New Roman;sans-serif"/>
          <w:b w:val="false"/>
          <w:color w:val="000000"/>
          <w:sz w:val="22"/>
        </w:rPr>
        <w:t>. Any Credit Party or any Voluntary Proceeding Subsidiary shall (i) commence a voluntary case under the federal bankruptcy laws (as now or hereafter in effect), (ii) file a petition seeking to take advantage of any other laws, domestic or foreign, relating to bankruptcy, insolvency, reorganization, winding up or composition for adjustment of debts, (iii) consent to or fail to contest in a timely and appropriate manner any petition filed against it in an involuntary case under such bankruptcy laws or other laws,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or (vii) take any corporate or other organizational action for the purpose of authorizing any of the foregoing. For purposes of this clause (j), “</w:t>
      </w:r>
      <w:r>
        <w:rPr>
          <w:rFonts w:ascii="Times New Roman;sans-serif" w:hAnsi="Times New Roman;sans-serif"/>
          <w:b w:val="false"/>
          <w:color w:val="000000"/>
          <w:sz w:val="22"/>
          <w:u w:val="single"/>
        </w:rPr>
        <w:t>Voluntary Proceeding Subsidiary</w:t>
      </w:r>
      <w:r>
        <w:rPr>
          <w:color w:val="000000"/>
        </w:rPr>
        <w:t xml:space="preserve">” </w:t>
      </w:r>
      <w:r>
        <w:rPr>
          <w:rFonts w:ascii="Times New Roman;sans-serif" w:hAnsi="Times New Roman;sans-serif"/>
          <w:b w:val="false"/>
          <w:color w:val="000000"/>
          <w:sz w:val="22"/>
        </w:rPr>
        <w:t xml:space="preserve">means any Restricted Subsidiary of the Company that individually (i) owns assets with a fair market value in excess of five percent (5%) of the Consolidated assets of the Company and its Restricted Subsidiaries as of the most recent Fiscal Year end or (ii) accounted for more than five percent (5%) of EBITDA of the Company and its Restricted Subsidiaries for the most recently ended Fiscal Year;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if Restricted Subsidiaries (x) that are not Credit Parties or Voluntary Proceeding Subsidiaries and (y) in the aggregate own assets with a fair market value in excess of ten percent (10%) of the Consolidated assets of the Company and its Restricted Subsidiaries as of the most recent Fiscal Year end or account for more than ten percent (10%) of EBITDA of the Company and its Restricted Subsidiaries for the most recently ended Fiscal Year, are subject to actions or proceedings under this clause (j), then all Restricted Subsidiaries of the Company shall be subject to this clause (j),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343"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irrespective of whether they otherwise qualify as Credit Parties or Voluntary Proceeding Subsidiaries.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Involuntary Bankruptcy Proceeding</w:t>
      </w:r>
      <w:r>
        <w:rPr>
          <w:rFonts w:ascii="Times New Roman;sans-serif" w:hAnsi="Times New Roman;sans-serif"/>
          <w:b w:val="false"/>
          <w:color w:val="000000"/>
          <w:sz w:val="22"/>
        </w:rPr>
        <w:t>. A case or other proceeding shall be commenced against any Borrower or any Credit Party in any court of competent jurisdiction seeking (i) relief under any Debtor Relief Laws, or (ii) the appointment of a trustee, receiver, custodian, liquidator or the like for any Borrower or any Credit Party thereof or for all or any substantial part of their respective assets, domestic or foreign, and such case or proceeding shall continue without dismissal or stay for a period of sixty (60) consecutive days, or an order granting the relief requested in such case or proceeding (including, but not limited to, an order for relief under such federal bankruptcy laws) shall be entered.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Failure of Agreements</w:t>
      </w:r>
      <w:r>
        <w:rPr>
          <w:rFonts w:ascii="Times New Roman;sans-serif" w:hAnsi="Times New Roman;sans-serif"/>
          <w:b w:val="false"/>
          <w:color w:val="000000"/>
          <w:sz w:val="22"/>
        </w:rPr>
        <w:t>. Any provision of this Agreement or any provision of any other Loan Document shall for any reason cease to be valid and binding on any Borrower or any other Credit Party party thereto (except in the event this Agreement or other Loan Document is, by its terms, terminated and no longer in force) or any such Person shall so state in writing.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Termination Event</w:t>
      </w:r>
      <w:r>
        <w:rPr>
          <w:rFonts w:ascii="Times New Roman;sans-serif" w:hAnsi="Times New Roman;sans-serif"/>
          <w:b w:val="false"/>
          <w:color w:val="000000"/>
          <w:sz w:val="22"/>
        </w:rPr>
        <w:t xml:space="preserve">. The occurrence of any of the following events, if any such event would reasonably be expected to have a Material Adverse Effect: (i) the Company or any ERISA Affiliate fails to make full payment when due of all amounts which, under the provisions of any Pension Plan, Multiemployer Plan, ERISA or the Code, the Company or any ERISA Affiliate is required to pay as contributions to such Pension Plan or Multiemployer Plan, (ii) </w:t>
      </w:r>
      <w:r>
        <w:rPr>
          <w:rFonts w:ascii="Times New Roman;sans-serif" w:hAnsi="Times New Roman;sans-serif"/>
          <w:b w:val="false"/>
          <w:strike/>
          <w:color w:val="FF0000"/>
          <w:sz w:val="22"/>
        </w:rPr>
        <w:t>the value of the accumulated plan benefits under any Pension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 by $1,000,000 or more</w:t>
      </w:r>
      <w:r>
        <w:rPr>
          <w:rFonts w:ascii="Times New Roman;sans-serif" w:hAnsi="Times New Roman;sans-serif"/>
          <w:b w:val="false"/>
          <w:color w:val="0000FF"/>
          <w:sz w:val="22"/>
          <w:u w:val="single"/>
        </w:rPr>
        <w:t>[reserved]</w:t>
      </w:r>
      <w:r>
        <w:rPr>
          <w:rFonts w:ascii="Times New Roman;sans-serif" w:hAnsi="Times New Roman;sans-serif"/>
          <w:b w:val="false"/>
          <w:color w:val="000000"/>
          <w:sz w:val="22"/>
        </w:rPr>
        <w:t>, (iii) a Termination Event or (iv) the Company or any ERISA Affiliate as employers under one or more Multiemployer Plans makes a complete or partial withdrawal from any such Multiemployer Plan</w:t>
      </w:r>
      <w:r>
        <w:rPr>
          <w:strike/>
          <w:color w:val="FF0000"/>
        </w:rPr>
        <w:t xml:space="preserve"> </w:t>
      </w:r>
      <w:r>
        <w:rPr>
          <w:rFonts w:ascii="Times New Roman;sans-serif" w:hAnsi="Times New Roman;sans-serif"/>
          <w:b w:val="false"/>
          <w:strike/>
          <w:color w:val="FF0000"/>
          <w:sz w:val="22"/>
        </w:rPr>
        <w:t>and the plan sponsor of such Multiemployer Plans notifies such withdrawing employer that such employer has incurred a withdrawal liability requiring payments in an amount exceeding $1,000,000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(n)    </w:t>
      </w:r>
      <w:r>
        <w:rPr>
          <w:rFonts w:ascii="Times New Roman;sans-serif" w:hAnsi="Times New Roman;sans-serif"/>
          <w:b w:val="false"/>
          <w:color w:val="000000"/>
          <w:sz w:val="22"/>
          <w:u w:val="single"/>
        </w:rPr>
        <w:t>Judgment</w:t>
      </w:r>
      <w:r>
        <w:rPr>
          <w:rFonts w:ascii="Times New Roman;sans-serif" w:hAnsi="Times New Roman;sans-serif"/>
          <w:b w:val="false"/>
          <w:color w:val="000000"/>
          <w:sz w:val="22"/>
        </w:rPr>
        <w:t>. A judgment or order for the payment of money which causes the aggregate amount of all such judgments to exceed $</w:t>
      </w:r>
      <w:r>
        <w:rPr>
          <w:rFonts w:ascii="Times New Roman;sans-serif" w:hAnsi="Times New Roman;sans-serif"/>
          <w:b w:val="false"/>
          <w:strike/>
          <w:color w:val="FF0000"/>
          <w:sz w:val="22"/>
        </w:rPr>
        <w:t>40,000,000</w:t>
      </w:r>
      <w:r>
        <w:rPr>
          <w:rFonts w:ascii="Times New Roman;sans-serif" w:hAnsi="Times New Roman;sans-serif"/>
          <w:b w:val="false"/>
          <w:color w:val="0000FF"/>
          <w:sz w:val="22"/>
          <w:u w:val="single"/>
        </w:rPr>
        <w:t>60,000,000</w:t>
      </w:r>
      <w:r>
        <w:rPr>
          <w:color w:val="000000"/>
        </w:rPr>
        <w:t xml:space="preserve"> </w:t>
      </w:r>
      <w:r>
        <w:rPr>
          <w:rFonts w:ascii="Times New Roman;sans-serif" w:hAnsi="Times New Roman;sans-serif"/>
          <w:b w:val="false"/>
          <w:color w:val="000000"/>
          <w:sz w:val="22"/>
        </w:rPr>
        <w:t>in any Fiscal Year (to the extent not covered by independent third-party insurance as to which the insurer does not dispute coverage), shall be entered against any Borrower or any Credit Party by any court and such judgment or order shall continue without having been discharged, vacated, stayed or bonded pending appeal for a period of sixty (60) days after the entry thereof (or such longer period as permitted by the court to file such appeal).</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11.2    </w:t>
      </w:r>
      <w:r>
        <w:rPr>
          <w:rFonts w:ascii="Times New Roman;sans-serif" w:hAnsi="Times New Roman;sans-serif"/>
          <w:b/>
          <w:color w:val="000000"/>
          <w:sz w:val="22"/>
          <w:u w:val="single"/>
        </w:rPr>
        <w:t>Remedies</w:t>
      </w:r>
      <w:r>
        <w:rPr>
          <w:rFonts w:ascii="Times New Roman;sans-serif" w:hAnsi="Times New Roman;sans-serif"/>
          <w:b w:val="false"/>
          <w:color w:val="000000"/>
          <w:sz w:val="22"/>
        </w:rPr>
        <w:t>. Upon the occurrence of an Event of Default, with the consent of the Required Lenders, the Administrative Agent may, or upon the request of the Required Lenders, the Administrative Agent shall, by notice to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Acceleration; Termination of Facilities</w:t>
      </w:r>
      <w:r>
        <w:rPr>
          <w:rFonts w:ascii="Times New Roman;sans-serif" w:hAnsi="Times New Roman;sans-serif"/>
          <w:b w:val="false"/>
          <w:color w:val="000000"/>
          <w:sz w:val="22"/>
        </w:rPr>
        <w:t xml:space="preserve">. Terminate the Commitments and declare the principal of and interest on the Loans and the Reimbursement Obligations at the time outstanding, and all other amounts owed to the Lenders and to the Administrative Agent under this Agreement or any of the other Loan Documents (including, without limitation, all L/C Obligations, whether or not the beneficiaries of the then outstanding Letters of Credit shall have presented or shall be entitled to present the documents required thereunder) and all other Obligations (other than Hedging Obligations and Bank Product Debt), to be forthwith due and payable, whereupon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344"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same shall immediately become due and payable without presentment, demand, protest or other notice of any kind, all of which are expressly waived by each Credit Party, anything in this Agreement or the other Loan Documents to the contrary notwithstanding, and terminate the Credit Facility and any right of the Borrowers to request borrowings or Letters of Credit thereunder;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upon the occurrence of a Bankruptcy Event of Default, the Credit Facility shall be automatically terminated and all Obligations (other than Hedging Obligations and Bank Product Debt) shall automatically become due and payable without presentment, demand, protest or other notice of any kind, all of which are expressly waived by each Credit Party, anything in this Agreement or in any other Loan Document to the contrary notwithstanding.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Letters of Credit</w:t>
      </w:r>
      <w:r>
        <w:rPr>
          <w:rFonts w:ascii="Times New Roman;sans-serif" w:hAnsi="Times New Roman;sans-serif"/>
          <w:b w:val="false"/>
          <w:color w:val="000000"/>
          <w:sz w:val="22"/>
        </w:rPr>
        <w:t xml:space="preserve">. With respect to all Letters of Credit with respect to which presentment for honor shall not have occurred at the time of an acceleration pursuant to the preceding paragraph, the Company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Obligations on a pro rata basis. After all such Letters of Credit shall have expired or been fully drawn upon, the Reimbursement Obligations shall have been satisfied and all other Obligations (other than contingent </w:t>
      </w:r>
      <w:r>
        <w:rPr>
          <w:rFonts w:ascii="Times New Roman;sans-serif" w:hAnsi="Times New Roman;sans-serif"/>
          <w:b w:val="false"/>
          <w:strike/>
          <w:color w:val="FF0000"/>
          <w:sz w:val="22"/>
        </w:rPr>
        <w:t xml:space="preserve">indemnification </w:t>
      </w:r>
      <w:r>
        <w:rPr>
          <w:rFonts w:ascii="Times New Roman;sans-serif" w:hAnsi="Times New Roman;sans-serif"/>
          <w:b w:val="false"/>
          <w:color w:val="000000"/>
          <w:sz w:val="22"/>
        </w:rPr>
        <w:t xml:space="preserve">obligations not yet due </w:t>
      </w:r>
      <w:r>
        <w:rPr>
          <w:rFonts w:ascii="Times New Roman;sans-serif" w:hAnsi="Times New Roman;sans-serif"/>
          <w:b w:val="false"/>
          <w:color w:val="0000FF"/>
          <w:sz w:val="22"/>
          <w:u w:val="single"/>
        </w:rPr>
        <w:t xml:space="preserve">for which no claim has been asserted </w:t>
      </w:r>
      <w:r>
        <w:rPr>
          <w:rFonts w:ascii="Times New Roman;sans-serif" w:hAnsi="Times New Roman;sans-serif"/>
          <w:b w:val="false"/>
          <w:color w:val="000000"/>
          <w:sz w:val="22"/>
        </w:rPr>
        <w:t>and Bank Product Debt) shall have been paid in full, the balance, if any, in such cash collateral account shall be returned to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Rights of Collection</w:t>
      </w:r>
      <w:r>
        <w:rPr>
          <w:rFonts w:ascii="Times New Roman;sans-serif" w:hAnsi="Times New Roman;sans-serif"/>
          <w:b w:val="false"/>
          <w:color w:val="000000"/>
          <w:sz w:val="22"/>
        </w:rPr>
        <w:t>. Exercise on behalf of the Lenders all of its other rights and remedies under this Agreement, the other Loan Documents and Applicable Law, in order to satisfy all of the Borrowers’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11.3    </w:t>
      </w:r>
      <w:r>
        <w:rPr>
          <w:rFonts w:ascii="Times New Roman;sans-serif" w:hAnsi="Times New Roman;sans-serif"/>
          <w:b/>
          <w:color w:val="000000"/>
          <w:sz w:val="22"/>
          <w:u w:val="single"/>
        </w:rPr>
        <w:t>[Intentionally Omitted]</w:t>
      </w:r>
      <w:r>
        <w:rPr>
          <w:rFonts w:ascii="Times New Roman;sans-serif" w:hAnsi="Times New Roman;sans-serif"/>
          <w:b w:val="false"/>
          <w:color w:val="000000"/>
          <w:sz w:val="22"/>
        </w:rPr>
        <w:t>.</w:t>
      </w:r>
      <w:r>
        <w:rPr>
          <w:strike/>
          <w:color w:val="FF0000"/>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11.4    </w:t>
      </w:r>
      <w:r>
        <w:rPr>
          <w:rFonts w:ascii="Times New Roman;sans-serif" w:hAnsi="Times New Roman;sans-serif"/>
          <w:b/>
          <w:color w:val="000000"/>
          <w:sz w:val="22"/>
          <w:u w:val="single"/>
        </w:rPr>
        <w:t>Crediting of Payments and Proceeds</w:t>
      </w:r>
      <w:r>
        <w:rPr>
          <w:rFonts w:ascii="Times New Roman;sans-serif" w:hAnsi="Times New Roman;sans-serif"/>
          <w:b w:val="false"/>
          <w:color w:val="000000"/>
          <w:sz w:val="22"/>
        </w:rPr>
        <w:t xml:space="preserve">. In the event that any Borrower shall fail to pay any of the Obligations when due and the Obligations have been accelerated pursuant to </w:t>
      </w:r>
      <w:r>
        <w:rPr>
          <w:rFonts w:ascii="Times New Roman;sans-serif" w:hAnsi="Times New Roman;sans-serif"/>
          <w:b w:val="false"/>
          <w:color w:val="000000"/>
          <w:sz w:val="22"/>
          <w:u w:val="single"/>
        </w:rPr>
        <w:t>Section 11.2,</w:t>
      </w:r>
      <w:r>
        <w:rPr>
          <w:color w:val="000000"/>
        </w:rPr>
        <w:t xml:space="preserve"> </w:t>
      </w:r>
      <w:r>
        <w:rPr>
          <w:rFonts w:ascii="Times New Roman;sans-serif" w:hAnsi="Times New Roman;sans-serif"/>
          <w:b w:val="false"/>
          <w:color w:val="000000"/>
          <w:sz w:val="22"/>
        </w:rPr>
        <w:t>all payments received by the Lenders upon the Obligations and all net proceeds from the enforcement of the Obligations shall be applied: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u w:val="single"/>
        </w:rPr>
        <w:t>First,</w:t>
      </w:r>
      <w:r>
        <w:rPr>
          <w:color w:val="000000"/>
        </w:rPr>
        <w:t xml:space="preserve"> </w:t>
      </w:r>
      <w:r>
        <w:rPr>
          <w:rFonts w:ascii="Times New Roman;sans-serif" w:hAnsi="Times New Roman;sans-serif"/>
          <w:b w:val="false"/>
          <w:color w:val="000000"/>
          <w:sz w:val="24"/>
        </w:rPr>
        <w:t xml:space="preserve">to payment of that portion of the Obligations constituting fees, indemnities, expenses and other amounts, including attorney fees, payable to the Administrative Agent in its capacity as such and each Issuing Lender in its capacity as such (ratably among the Administrative Agent and the Issuing Lenders in proportion to the respective amounts described in this clause </w:t>
      </w:r>
      <w:r>
        <w:rPr>
          <w:rFonts w:ascii="Times New Roman;sans-serif" w:hAnsi="Times New Roman;sans-serif"/>
          <w:b w:val="false"/>
          <w:color w:val="000000"/>
          <w:sz w:val="24"/>
          <w:u w:val="single"/>
        </w:rPr>
        <w:t>First</w:t>
      </w:r>
      <w:r>
        <w:rPr>
          <w:color w:val="000000"/>
        </w:rPr>
        <w:t xml:space="preserve"> </w:t>
      </w:r>
      <w:r>
        <w:rPr>
          <w:rFonts w:ascii="Times New Roman;sans-serif" w:hAnsi="Times New Roman;sans-serif"/>
          <w:b w:val="false"/>
          <w:color w:val="000000"/>
          <w:sz w:val="24"/>
        </w:rPr>
        <w:t>payable to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u w:val="single"/>
        </w:rPr>
        <w:t>Second,</w:t>
      </w:r>
      <w:r>
        <w:rPr>
          <w:color w:val="000000"/>
        </w:rPr>
        <w:t xml:space="preserve"> </w:t>
      </w:r>
      <w:r>
        <w:rPr>
          <w:rFonts w:ascii="Times New Roman;sans-serif" w:hAnsi="Times New Roman;sans-serif"/>
          <w:b w:val="false"/>
          <w:color w:val="000000"/>
          <w:sz w:val="24"/>
        </w:rPr>
        <w:t xml:space="preserve">to payment of that portion of the Obligations constituting fees, indemnities and other amounts (other than principal and interest) payable to the Lenders under the Loan Documents, including attorney fees (ratably among the Lenders in proportion to the respective amounts described in this clause </w:t>
      </w:r>
      <w:r>
        <w:rPr>
          <w:rFonts w:ascii="Times New Roman;sans-serif" w:hAnsi="Times New Roman;sans-serif"/>
          <w:b w:val="false"/>
          <w:color w:val="000000"/>
          <w:sz w:val="24"/>
          <w:u w:val="single"/>
        </w:rPr>
        <w:t>Second</w:t>
      </w:r>
      <w:r>
        <w:rPr>
          <w:color w:val="000000"/>
        </w:rPr>
        <w:t xml:space="preserve"> </w:t>
      </w:r>
      <w:r>
        <w:rPr>
          <w:rFonts w:ascii="Times New Roman;sans-serif" w:hAnsi="Times New Roman;sans-serif"/>
          <w:b w:val="false"/>
          <w:color w:val="000000"/>
          <w:sz w:val="24"/>
        </w:rPr>
        <w:t>payable to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u w:val="single"/>
        </w:rPr>
        <w:t>Third,</w:t>
      </w:r>
      <w:r>
        <w:rPr>
          <w:color w:val="000000"/>
        </w:rPr>
        <w:t xml:space="preserve"> </w:t>
      </w:r>
      <w:r>
        <w:rPr>
          <w:rFonts w:ascii="Times New Roman;sans-serif" w:hAnsi="Times New Roman;sans-serif"/>
          <w:b w:val="false"/>
          <w:color w:val="000000"/>
          <w:sz w:val="24"/>
        </w:rPr>
        <w:t xml:space="preserve">to payment of that portion of the Obligations constituting accrued and unpaid interest on the Loans and Reimbursement Obligations and any Bank Product Debt (ratably among the Lenders in proportion to the respective amounts described in this clause </w:t>
      </w:r>
      <w:r>
        <w:rPr>
          <w:rFonts w:ascii="Times New Roman;sans-serif" w:hAnsi="Times New Roman;sans-serif"/>
          <w:b w:val="false"/>
          <w:color w:val="000000"/>
          <w:sz w:val="24"/>
          <w:u w:val="single"/>
        </w:rPr>
        <w:t>Third</w:t>
      </w:r>
      <w:r>
        <w:rPr>
          <w:color w:val="000000"/>
        </w:rPr>
        <w:t xml:space="preserve"> </w:t>
      </w:r>
      <w:r>
        <w:rPr>
          <w:rFonts w:ascii="Times New Roman;sans-serif" w:hAnsi="Times New Roman;sans-serif"/>
          <w:b w:val="false"/>
          <w:color w:val="000000"/>
          <w:sz w:val="24"/>
        </w:rPr>
        <w:t>payable to them);</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345"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u w:val="single"/>
        </w:rPr>
        <w:t>Fourth,</w:t>
      </w:r>
      <w:r>
        <w:rPr>
          <w:color w:val="000000"/>
        </w:rPr>
        <w:t xml:space="preserve"> </w:t>
      </w:r>
      <w:r>
        <w:rPr>
          <w:rFonts w:ascii="Times New Roman;sans-serif" w:hAnsi="Times New Roman;sans-serif"/>
          <w:b w:val="false"/>
          <w:color w:val="000000"/>
          <w:sz w:val="24"/>
        </w:rPr>
        <w:t xml:space="preserve">to payment of that portion of the Obligations constituting unpaid principal of the Loans, Reimbursement Obligations and any Bank Product Debt (including any termination payments thereon) (ratably among the Lenders and Bank Product Providers in proportion to the respective amounts described in this clause </w:t>
      </w:r>
      <w:r>
        <w:rPr>
          <w:rFonts w:ascii="Times New Roman;sans-serif" w:hAnsi="Times New Roman;sans-serif"/>
          <w:b w:val="false"/>
          <w:color w:val="000000"/>
          <w:sz w:val="24"/>
          <w:u w:val="single"/>
        </w:rPr>
        <w:t>Fourth</w:t>
      </w:r>
      <w:r>
        <w:rPr>
          <w:color w:val="000000"/>
        </w:rPr>
        <w:t xml:space="preserve"> </w:t>
      </w:r>
      <w:r>
        <w:rPr>
          <w:rFonts w:ascii="Times New Roman;sans-serif" w:hAnsi="Times New Roman;sans-serif"/>
          <w:b w:val="false"/>
          <w:color w:val="000000"/>
          <w:sz w:val="24"/>
        </w:rPr>
        <w:t>held by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4"/>
          <w:u w:val="single"/>
        </w:rPr>
        <w:t>Fifth,</w:t>
      </w:r>
      <w:r>
        <w:rPr>
          <w:color w:val="000000"/>
        </w:rPr>
        <w:t xml:space="preserve"> </w:t>
      </w:r>
      <w:r>
        <w:rPr>
          <w:rFonts w:ascii="Times New Roman;sans-serif" w:hAnsi="Times New Roman;sans-serif"/>
          <w:b w:val="false"/>
          <w:color w:val="000000"/>
          <w:sz w:val="24"/>
        </w:rPr>
        <w:t>to the Administrative Agent for the account of each Issuing Lender, to cash collateralize any L/C Obligations then outstanding;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u w:val="single"/>
        </w:rPr>
        <w:t>Last,</w:t>
      </w:r>
      <w:r>
        <w:rPr>
          <w:color w:val="000000"/>
        </w:rPr>
        <w:t xml:space="preserve"> </w:t>
      </w:r>
      <w:r>
        <w:rPr>
          <w:rFonts w:ascii="Times New Roman;sans-serif" w:hAnsi="Times New Roman;sans-serif"/>
          <w:b w:val="false"/>
          <w:color w:val="000000"/>
          <w:sz w:val="24"/>
        </w:rPr>
        <w:t xml:space="preserve">the balance, if any, after all of the Obligations (other than contingent </w:t>
      </w:r>
      <w:r>
        <w:rPr>
          <w:rFonts w:ascii="Times New Roman;sans-serif" w:hAnsi="Times New Roman;sans-serif"/>
          <w:b w:val="false"/>
          <w:strike/>
          <w:color w:val="FF0000"/>
          <w:sz w:val="24"/>
        </w:rPr>
        <w:t xml:space="preserve">indemnification </w:t>
      </w:r>
      <w:r>
        <w:rPr>
          <w:rFonts w:ascii="Times New Roman;sans-serif" w:hAnsi="Times New Roman;sans-serif"/>
          <w:b w:val="false"/>
          <w:color w:val="000000"/>
          <w:sz w:val="24"/>
        </w:rPr>
        <w:t>obligations not yet due</w:t>
      </w:r>
      <w:r>
        <w:rPr>
          <w:color w:val="0000FF"/>
          <w:u w:val="single"/>
        </w:rPr>
        <w:t xml:space="preserve"> </w:t>
      </w:r>
      <w:r>
        <w:rPr>
          <w:rFonts w:ascii="Times New Roman;sans-serif" w:hAnsi="Times New Roman;sans-serif"/>
          <w:b w:val="false"/>
          <w:color w:val="0000FF"/>
          <w:sz w:val="24"/>
          <w:u w:val="single"/>
        </w:rPr>
        <w:t>for which no claim has been asserted</w:t>
      </w:r>
      <w:r>
        <w:rPr>
          <w:rFonts w:ascii="Times New Roman;sans-serif" w:hAnsi="Times New Roman;sans-serif"/>
          <w:b w:val="false"/>
          <w:color w:val="000000"/>
          <w:sz w:val="24"/>
        </w:rPr>
        <w:t>) have been indefeasibly paid in full, to the Borrowers or as otherwise required by Applicable Law.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Excluded Hedging Obligations with respect to any Credit Party shall not be paid with amounts received from such Credit Party or its assets, but appropriate adjustments shall be made with respect to payments from other Credit Parties to preserve the allocation to Obligations otherwise set forth above in this Section.</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XII</w:t>
        <w:br/>
        <w:br/>
        <w:t>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12.1    </w:t>
      </w:r>
      <w:r>
        <w:rPr>
          <w:rFonts w:ascii="Times New Roman;sans-serif" w:hAnsi="Times New Roman;sans-serif"/>
          <w:b/>
          <w:color w:val="000000"/>
          <w:sz w:val="22"/>
          <w:u w:val="single"/>
        </w:rPr>
        <w:t>Appointment and Authority.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Appointment</w:t>
      </w:r>
      <w:r>
        <w:rPr>
          <w:rFonts w:ascii="Times New Roman;sans-serif" w:hAnsi="Times New Roman;sans-serif"/>
          <w:b w:val="false"/>
          <w:color w:val="000000"/>
          <w:sz w:val="22"/>
        </w:rPr>
        <w:t>. Each of the Lenders and the Issuing Lenders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neither the Company nor any other Credit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 required under the laws of any jurisdiction other than the United States of America, each of the Lenders and the holders of the Obligations hereby grants to the Administrative Agent any required powers of attorney to execute any Security Document or other Loan Document governed by the laws of such jurisdiction on such Lender’s or holder of the Obligation’s behalf.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Collateral Agent</w:t>
      </w:r>
      <w:r>
        <w:rPr>
          <w:rFonts w:ascii="Times New Roman;sans-serif" w:hAnsi="Times New Roman;sans-serif"/>
          <w:b w:val="false"/>
          <w:color w:val="000000"/>
          <w:sz w:val="22"/>
        </w:rPr>
        <w:t xml:space="preserve">. The Administrative Agent shall also act as the “collateral agent” under the Loan Documents, and each of the Lenders (including in its capacities as a potential Bank Product Provider) and the Issuing Lenders hereby irrevocably appoints and authorizes the Administrative Agent to act as the agent of such Lender and such Issuing Lender for purposes of acquiring, holding and enforcing any and all Liens on Collateral granted by any of the Credit Parties to secure any of the Obligations, together with such powers and discretion as are reasonably incidental thereto. In this connection, the Administrative Agent, as “collateral agent” and any </w:t>
      </w:r>
      <w:r>
        <w:rPr>
          <w:rFonts w:ascii="Times New Roman;sans-serif" w:hAnsi="Times New Roman;sans-serif"/>
          <w:b w:val="false"/>
          <w:strike/>
          <w:color w:val="FF0000"/>
          <w:sz w:val="22"/>
        </w:rPr>
        <w:t>co-agents, sub-agents and attorneys-in-fact</w:t>
      </w:r>
      <w:r>
        <w:rPr>
          <w:rFonts w:ascii="Times New Roman;sans-serif" w:hAnsi="Times New Roman;sans-serif"/>
          <w:b w:val="false"/>
          <w:color w:val="0000FF"/>
          <w:sz w:val="22"/>
          <w:u w:val="single"/>
        </w:rPr>
        <w:t>co-agents, sub-agents and attorneys-in-fact</w:t>
      </w:r>
      <w:r>
        <w:rPr>
          <w:color w:val="000000"/>
        </w:rPr>
        <w:t xml:space="preserve"> </w:t>
      </w:r>
      <w:r>
        <w:rPr>
          <w:rFonts w:ascii="Times New Roman;sans-serif" w:hAnsi="Times New Roman;sans-serif"/>
          <w:b w:val="false"/>
          <w:color w:val="000000"/>
          <w:sz w:val="22"/>
        </w:rPr>
        <w:t xml:space="preserve">appointed by the Administrative Agent pursuant to </w:t>
      </w:r>
      <w:r>
        <w:rPr>
          <w:rFonts w:ascii="Times New Roman;sans-serif" w:hAnsi="Times New Roman;sans-serif"/>
          <w:b w:val="false"/>
          <w:color w:val="000000"/>
          <w:sz w:val="22"/>
          <w:u w:val="single"/>
        </w:rPr>
        <w:t>Section 12.5</w:t>
      </w:r>
      <w:r>
        <w:rPr>
          <w:color w:val="000000"/>
        </w:rPr>
        <w:t xml:space="preserve"> </w:t>
      </w:r>
      <w:r>
        <w:rPr>
          <w:rFonts w:ascii="Times New Roman;sans-serif" w:hAnsi="Times New Roman;sans-serif"/>
          <w:b w:val="false"/>
          <w:color w:val="000000"/>
          <w:sz w:val="22"/>
        </w:rPr>
        <w:t xml:space="preserve">for purposes of holding or enforcing any Lien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346"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on the Collateral (or any portion thereof) granted under the Security Documents, or for exercising any rights and remedies thereunder at the direction of the Administrative Agent, shall be entitled to the benefits of all provisions of this </w:t>
      </w:r>
      <w:r>
        <w:rPr>
          <w:rFonts w:ascii="Times New Roman;sans-serif" w:hAnsi="Times New Roman;sans-serif"/>
          <w:b w:val="false"/>
          <w:color w:val="000000"/>
          <w:sz w:val="22"/>
          <w:u w:val="single"/>
        </w:rPr>
        <w:t>Article XII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XIII</w:t>
      </w:r>
      <w:r>
        <w:rPr>
          <w:color w:val="000000"/>
        </w:rPr>
        <w:t xml:space="preserve"> </w:t>
      </w:r>
      <w:r>
        <w:rPr>
          <w:rFonts w:ascii="Times New Roman;sans-serif" w:hAnsi="Times New Roman;sans-serif"/>
          <w:b w:val="false"/>
          <w:color w:val="000000"/>
          <w:sz w:val="22"/>
        </w:rPr>
        <w:t xml:space="preserve">(including </w:t>
      </w:r>
      <w:r>
        <w:rPr>
          <w:rFonts w:ascii="Times New Roman;sans-serif" w:hAnsi="Times New Roman;sans-serif"/>
          <w:b w:val="false"/>
          <w:color w:val="000000"/>
          <w:sz w:val="22"/>
          <w:u w:val="single"/>
        </w:rPr>
        <w:t>Section 13.4(c)</w:t>
      </w:r>
      <w:r>
        <w:rPr>
          <w:rFonts w:ascii="Times New Roman;sans-serif" w:hAnsi="Times New Roman;sans-serif"/>
          <w:b w:val="false"/>
          <w:color w:val="000000"/>
          <w:sz w:val="22"/>
        </w:rPr>
        <w:t xml:space="preserve">, as though such </w:t>
      </w:r>
      <w:r>
        <w:rPr>
          <w:rFonts w:ascii="Times New Roman;sans-serif" w:hAnsi="Times New Roman;sans-serif"/>
          <w:b w:val="false"/>
          <w:strike/>
          <w:color w:val="FF0000"/>
          <w:sz w:val="22"/>
        </w:rPr>
        <w:t>co-agents, sub-agents and attorneys-in-fact</w:t>
      </w:r>
      <w:r>
        <w:rPr>
          <w:rFonts w:ascii="Times New Roman;sans-serif" w:hAnsi="Times New Roman;sans-serif"/>
          <w:b w:val="false"/>
          <w:color w:val="0000FF"/>
          <w:sz w:val="22"/>
          <w:u w:val="single"/>
        </w:rPr>
        <w:t>co-agents, sub-agents and attorneys-in-fact</w:t>
      </w:r>
      <w:r>
        <w:rPr>
          <w:color w:val="000000"/>
        </w:rPr>
        <w:t xml:space="preserve"> </w:t>
      </w:r>
      <w:r>
        <w:rPr>
          <w:rFonts w:ascii="Times New Roman;sans-serif" w:hAnsi="Times New Roman;sans-serif"/>
          <w:b w:val="false"/>
          <w:color w:val="000000"/>
          <w:sz w:val="22"/>
        </w:rPr>
        <w:t>were the “collateral agent” under the Loan Documents) as if set forth in full herein with respect thereto.</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12.2    </w:t>
      </w:r>
      <w:r>
        <w:rPr>
          <w:rFonts w:ascii="Times New Roman;sans-serif" w:hAnsi="Times New Roman;sans-serif"/>
          <w:b/>
          <w:color w:val="000000"/>
          <w:sz w:val="22"/>
          <w:u w:val="single"/>
        </w:rPr>
        <w:t>Rights as a Lender</w:t>
      </w:r>
      <w:r>
        <w:rPr>
          <w:rFonts w:ascii="Times New Roman;sans-serif" w:hAnsi="Times New Roman;sans-serif"/>
          <w:b w:val="false"/>
          <w:color w:val="000000"/>
          <w:sz w:val="22"/>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Credit Party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12.3    </w:t>
      </w:r>
      <w:r>
        <w:rPr>
          <w:rFonts w:ascii="Times New Roman;sans-serif" w:hAnsi="Times New Roman;sans-serif"/>
          <w:b/>
          <w:color w:val="000000"/>
          <w:sz w:val="22"/>
          <w:u w:val="single"/>
        </w:rPr>
        <w:t>Exculpatory Provisions</w:t>
      </w:r>
      <w:r>
        <w:rPr>
          <w:rFonts w:ascii="Times New Roman;sans-serif" w:hAnsi="Times New Roman;sans-serif"/>
          <w:b w:val="false"/>
          <w:color w:val="000000"/>
          <w:sz w:val="22"/>
        </w:rPr>
        <w:t>.</w:t>
      </w:r>
      <w:r>
        <w:rPr>
          <w:strike/>
          <w:color w:val="FF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BAS, as applicable, shall not have any duties or obligations except those expressly set forth herein and in the other Loan Documents, and its duties hereunder shall be administrative in nature. Without limiting the generality of the foregoing,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BAS, as applicable, and its Related Parties: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shall not be subject to any fiduciary or other implied duties, regardless of whether a Default has occurred and is continuing;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Administrative Agent shall not be required to take any action that, in its opinion or the opinion of its counsel, may expose the Administrative Agent to liability or that is contrary to any Loan Document or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 xml:space="preserve">Law, including for the avoidance of doubt any action that may be in violation of the automatic stay under any Debtor Relief Law or that may </w:t>
      </w:r>
      <w:r>
        <w:rPr>
          <w:rFonts w:ascii="Times New Roman;sans-serif" w:hAnsi="Times New Roman;sans-serif"/>
          <w:b w:val="false"/>
          <w:strike/>
          <w:color w:val="FF0000"/>
          <w:sz w:val="22"/>
        </w:rPr>
        <w:t>effect</w:t>
      </w:r>
      <w:r>
        <w:rPr>
          <w:rFonts w:ascii="Times New Roman;sans-serif" w:hAnsi="Times New Roman;sans-serif"/>
          <w:b w:val="false"/>
          <w:color w:val="0000FF"/>
          <w:sz w:val="22"/>
          <w:u w:val="single"/>
        </w:rPr>
        <w:t>affect</w:t>
      </w:r>
      <w:r>
        <w:rPr>
          <w:color w:val="000000"/>
        </w:rPr>
        <w:t xml:space="preserve"> </w:t>
      </w:r>
      <w:r>
        <w:rPr>
          <w:rFonts w:ascii="Times New Roman;sans-serif" w:hAnsi="Times New Roman;sans-serif"/>
          <w:b w:val="false"/>
          <w:color w:val="000000"/>
          <w:sz w:val="22"/>
        </w:rPr>
        <w:t>a forfeiture, modification or termination of property of a Defaulting Lender in violation of any Debtor Relief Law;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shall not have any duty or responsibility to disclose, and shall not be liable for the failure to disclose, to any Lender or any Issuing Lender any credit or other information concerning the business, prospects, operations, property, financial and other condition or creditworthiness of any of the Credit Parties or any of their Affiliates that is communicated to, or in the possession of, the Administrative Agent,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BAS or any of their Related Parties in any capacity, except for notices, reports and other documents expressly required to be furnished to the Lenders by the Administrative Agent herein.</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347"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ans-serif" w:hAnsi="Times New Roman;sans-serif"/>
          <w:b w:val="false"/>
          <w:color w:val="000000"/>
          <w:sz w:val="22"/>
          <w:u w:val="single"/>
        </w:rPr>
        <w:t>Sections 13.2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11.2</w:t>
      </w:r>
      <w:r>
        <w:rPr>
          <w:rFonts w:ascii="Times New Roman;sans-serif" w:hAnsi="Times New Roman;sans-serif"/>
          <w:b w:val="false"/>
          <w:color w:val="000000"/>
          <w:sz w:val="22"/>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Issuing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(c)    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or elsewhere herein, other than to confirm receipt of items expressly required to be delivered to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of Loans, or disclosure of confidential information, to any Disqualified Institution.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12.4    </w:t>
      </w:r>
      <w:r>
        <w:rPr>
          <w:rFonts w:ascii="Times New Roman;sans-serif" w:hAnsi="Times New Roman;sans-serif"/>
          <w:b/>
          <w:color w:val="000000"/>
          <w:sz w:val="22"/>
          <w:u w:val="single"/>
        </w:rPr>
        <w:t>Reliance by Administrative Agent</w:t>
      </w:r>
      <w:r>
        <w:rPr>
          <w:rFonts w:ascii="Times New Roman;sans-serif" w:hAnsi="Times New Roman;sans-serif"/>
          <w:b w:val="false"/>
          <w:color w:val="000000"/>
          <w:sz w:val="22"/>
        </w:rPr>
        <w:t xml:space="preserve">.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Credit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xml:space="preserve">, each Lender that has signed this Agreement shall be deemed to have consented to, approved or accepted or to be satisfied with, each document or other matter required thereunder to be consented to or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348"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approved by or acceptable or satisfactory to a Lender unless the Administrative Agent shall have received notice from such Lender prior to the proposed Closing Date specifying its objections.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12.5    </w:t>
      </w:r>
      <w:r>
        <w:rPr>
          <w:rFonts w:ascii="Times New Roman;sans-serif" w:hAnsi="Times New Roman;sans-serif"/>
          <w:b/>
          <w:color w:val="000000"/>
          <w:sz w:val="22"/>
          <w:u w:val="single"/>
        </w:rPr>
        <w:t>Delegation of Duties</w:t>
      </w:r>
      <w:r>
        <w:rPr>
          <w:rFonts w:ascii="Times New Roman;sans-serif" w:hAnsi="Times New Roman;sans-serif"/>
          <w:b w:val="false"/>
          <w:color w:val="000000"/>
          <w:sz w:val="22"/>
        </w:rPr>
        <w:t xml:space="preserve">. The Administrative Agent may perform any and all of its duties and exercise its rights and powers hereunder or under any other Loan Document by or through any one or more </w:t>
      </w:r>
      <w:r>
        <w:rPr>
          <w:rFonts w:ascii="Times New Roman;sans-serif" w:hAnsi="Times New Roman;sans-serif"/>
          <w:b w:val="false"/>
          <w:strike/>
          <w:color w:val="FF0000"/>
          <w:sz w:val="22"/>
        </w:rPr>
        <w:t>sub-agents</w:t>
      </w:r>
      <w:r>
        <w:rPr>
          <w:rFonts w:ascii="Times New Roman;sans-serif" w:hAnsi="Times New Roman;sans-serif"/>
          <w:b w:val="false"/>
          <w:color w:val="0000FF"/>
          <w:sz w:val="22"/>
          <w:u w:val="single"/>
        </w:rPr>
        <w:t>sub-agents</w:t>
      </w:r>
      <w:r>
        <w:rPr>
          <w:color w:val="000000"/>
        </w:rPr>
        <w:t xml:space="preserve"> </w:t>
      </w:r>
      <w:r>
        <w:rPr>
          <w:rFonts w:ascii="Times New Roman;sans-serif" w:hAnsi="Times New Roman;sans-serif"/>
          <w:b w:val="false"/>
          <w:color w:val="000000"/>
          <w:sz w:val="22"/>
        </w:rPr>
        <w:t xml:space="preserve">appointed by the Administrative Agent. The Administrative Agent and any such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color w:val="000000"/>
        </w:rPr>
        <w:t xml:space="preserve"> </w:t>
      </w:r>
      <w:r>
        <w:rPr>
          <w:rFonts w:ascii="Times New Roman;sans-serif" w:hAnsi="Times New Roman;sans-serif"/>
          <w:b w:val="false"/>
          <w:color w:val="000000"/>
          <w:sz w:val="22"/>
        </w:rPr>
        <w:t xml:space="preserve">may perform any and all of its duties and exercise its rights and powers by or through their respective Related Parties. The exculpatory provisions of this Article shall apply to any such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color w:val="000000"/>
        </w:rPr>
        <w:t xml:space="preserve"> </w:t>
      </w:r>
      <w:r>
        <w:rPr>
          <w:rFonts w:ascii="Times New Roman;sans-serif" w:hAnsi="Times New Roman;sans-serif"/>
          <w:b w:val="false"/>
          <w:color w:val="000000"/>
          <w:sz w:val="22"/>
        </w:rPr>
        <w:t xml:space="preserve">and to the Related Parties of the Administrative Agent and any such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rFonts w:ascii="Times New Roman;sans-serif" w:hAnsi="Times New Roman;sans-serif"/>
          <w:b w:val="false"/>
          <w:color w:val="000000"/>
          <w:sz w:val="22"/>
        </w:rPr>
        <w:t xml:space="preserve">, and shall apply to their respective activities in connection with the syndication of the Facilities as well as activities as Administrative Agent. The Administrative Agent shall not be responsible for the negligence or misconduct of any </w:t>
      </w:r>
      <w:r>
        <w:rPr>
          <w:rFonts w:ascii="Times New Roman;sans-serif" w:hAnsi="Times New Roman;sans-serif"/>
          <w:b w:val="false"/>
          <w:strike/>
          <w:color w:val="FF0000"/>
          <w:sz w:val="22"/>
        </w:rPr>
        <w:t>sub-agents</w:t>
      </w:r>
      <w:r>
        <w:rPr>
          <w:rFonts w:ascii="Times New Roman;sans-serif" w:hAnsi="Times New Roman;sans-serif"/>
          <w:b w:val="false"/>
          <w:color w:val="0000FF"/>
          <w:sz w:val="22"/>
          <w:u w:val="single"/>
        </w:rPr>
        <w:t>sub-agents</w:t>
      </w:r>
      <w:r>
        <w:rPr>
          <w:color w:val="000000"/>
        </w:rPr>
        <w:t xml:space="preserve"> </w:t>
      </w:r>
      <w:r>
        <w:rPr>
          <w:rFonts w:ascii="Times New Roman;sans-serif" w:hAnsi="Times New Roman;sans-serif"/>
          <w:b w:val="false"/>
          <w:color w:val="000000"/>
          <w:sz w:val="22"/>
        </w:rPr>
        <w:t xml:space="preserve">except to the extent that a court of competent jurisdiction determines in a final and nonappealable judgment that the Administrative Agent acted with bad faith, gross negligence or willful misconduct in the selection of such </w:t>
      </w:r>
      <w:r>
        <w:rPr>
          <w:rFonts w:ascii="Times New Roman;sans-serif" w:hAnsi="Times New Roman;sans-serif"/>
          <w:b w:val="false"/>
          <w:strike/>
          <w:color w:val="FF0000"/>
          <w:sz w:val="22"/>
        </w:rPr>
        <w:t>sub-agents</w:t>
      </w:r>
      <w:r>
        <w:rPr>
          <w:rFonts w:ascii="Times New Roman;sans-serif" w:hAnsi="Times New Roman;sans-serif"/>
          <w:b w:val="false"/>
          <w:color w:val="0000FF"/>
          <w:sz w:val="22"/>
          <w:u w:val="single"/>
        </w:rPr>
        <w:t>sub-agents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12.6    </w:t>
      </w:r>
      <w:r>
        <w:rPr>
          <w:rFonts w:ascii="Times New Roman;sans-serif" w:hAnsi="Times New Roman;sans-serif"/>
          <w:b/>
          <w:color w:val="000000"/>
          <w:sz w:val="22"/>
          <w:u w:val="single"/>
        </w:rPr>
        <w:t>Resignation and Removal of Administrative Agent</w:t>
      </w:r>
      <w:r>
        <w:rPr>
          <w:rFonts w:ascii="Times New Roman;sans-serif" w:hAnsi="Times New Roman;sans-serif"/>
          <w:b w:val="false"/>
          <w:color w:val="000000"/>
          <w:sz w:val="22"/>
        </w:rPr>
        <w:t>.</w:t>
      </w:r>
      <w:r>
        <w:rPr>
          <w:strike/>
          <w:color w:val="FF000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Notice of Resignation</w:t>
      </w:r>
      <w:r>
        <w:rPr>
          <w:rFonts w:ascii="Times New Roman;sans-serif" w:hAnsi="Times New Roman;sans-serif"/>
          <w:b w:val="false"/>
          <w:color w:val="000000"/>
          <w:sz w:val="22"/>
        </w:rPr>
        <w:t>. The Administrative Agent may at any time give notice of its resignation to the Lenders, the Issuing Lenders and the Company. Upon receipt of any such notice of resignation, the Required Lenders shall have the right, with the consent of the Company so long as no Event of Default has occurred and is outstanding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and the Company) (the “</w:t>
      </w:r>
      <w:r>
        <w:rPr>
          <w:rFonts w:ascii="Times New Roman;sans-serif" w:hAnsi="Times New Roman;sans-serif"/>
          <w:b w:val="false"/>
          <w:color w:val="000000"/>
          <w:sz w:val="22"/>
          <w:u w:val="single"/>
        </w:rPr>
        <w:t>Resignation Effective Date</w:t>
      </w:r>
      <w:r>
        <w:rPr>
          <w:color w:val="000000"/>
        </w:rPr>
        <w:t>”</w:t>
      </w:r>
      <w:r>
        <w:rPr>
          <w:rFonts w:ascii="Times New Roman;sans-serif" w:hAnsi="Times New Roman;sans-serif"/>
          <w:b w:val="false"/>
          <w:color w:val="000000"/>
          <w:sz w:val="22"/>
        </w:rPr>
        <w:t xml:space="preserve">), then the retiring Administrative Agent may (but shall not be obligated to) on behalf of the Lenders and the Issuing Lenders, appoint a successor Administrative Agent meeting the qualifications set forth above;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no event shall any successor Administrative Agent be a Defaulting Lender or a Disqualified Institution. Whether or not a successor has been appointed, such resignation shall become effective in accordance with such notice on the Resignation Effective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Notice of Removal</w:t>
      </w:r>
      <w:r>
        <w:rPr>
          <w:rFonts w:ascii="Times New Roman;sans-serif" w:hAnsi="Times New Roman;sans-serif"/>
          <w:b w:val="false"/>
          <w:color w:val="000000"/>
          <w:sz w:val="22"/>
        </w:rPr>
        <w:t>. If the Person serving as Administrative Agent is a Defaulting Lender pursuant to clause (d) of the definition thereof, the Company or the Required Lenders may, to the extent permitted by Applicable Law, by notice in writing to the Company (or, if such removal is initiated by the Company, to the Required Lenders) and such Person remove such Person as Administrative Agent and, subject, so long as no Event of Default then exists or is continuing, to the prior written consent of the Company (such consent not to be unreasonably withheld or delayed), appoint a successor. If no such successor shall have been so appointed by the Required Lenders and shall have accepted such appointment within thirty days (or such earlier day as shall be agreed by the Required Lenders and the Company) (the “</w:t>
      </w:r>
      <w:r>
        <w:rPr>
          <w:rFonts w:ascii="Times New Roman;sans-serif" w:hAnsi="Times New Roman;sans-serif"/>
          <w:b w:val="false"/>
          <w:color w:val="000000"/>
          <w:sz w:val="22"/>
          <w:u w:val="single"/>
        </w:rPr>
        <w:t>Removal Effective Date</w:t>
      </w:r>
      <w:r>
        <w:rPr>
          <w:color w:val="000000"/>
        </w:rPr>
        <w:t>”</w:t>
      </w:r>
      <w:r>
        <w:rPr>
          <w:rFonts w:ascii="Times New Roman;sans-serif" w:hAnsi="Times New Roman;sans-serif"/>
          <w:b w:val="false"/>
          <w:color w:val="000000"/>
          <w:sz w:val="22"/>
        </w:rPr>
        <w:t>), then such removal shall nonetheless become effective in accordance with such notice on the Removal Effective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Effect of Resignation and Removal</w:t>
      </w:r>
      <w:r>
        <w:rPr>
          <w:rFonts w:ascii="Times New Roman;sans-serif" w:hAnsi="Times New Roman;sans-serif"/>
          <w:b w:val="false"/>
          <w:color w:val="000000"/>
          <w:sz w:val="22"/>
        </w:rPr>
        <w:t xml:space="preserve">. With effect from the Resignation Effective Date or the Removal Effective Date (i)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349"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ans-serif" w:hAnsi="Times New Roman;sans-serif"/>
          <w:b w:val="false"/>
          <w:color w:val="000000"/>
          <w:sz w:val="22"/>
          <w:u w:val="single"/>
        </w:rPr>
        <w:t>Section 4.11(g)</w:t>
      </w:r>
      <w:r>
        <w:rPr>
          <w:color w:val="000000"/>
        </w:rPr>
        <w:t xml:space="preserve"> </w:t>
      </w:r>
      <w:r>
        <w:rPr>
          <w:rFonts w:ascii="Times New Roman;sans-serif" w:hAnsi="Times New Roman;sans-serif"/>
          <w:b w:val="false"/>
          <w:color w:val="000000"/>
          <w:sz w:val="22"/>
        </w:rPr>
        <w:t xml:space="preserve">and other than any rights to indemnity payments or other amounts owed to the retiring or removed Administrative Agent as of the Resignation Effective Date),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as applicable, hereunder and under the other Loan Documents, the provisions of this Article and </w:t>
      </w:r>
      <w:r>
        <w:rPr>
          <w:rFonts w:ascii="Times New Roman;sans-serif" w:hAnsi="Times New Roman;sans-serif"/>
          <w:b w:val="false"/>
          <w:color w:val="000000"/>
          <w:sz w:val="22"/>
          <w:u w:val="single"/>
        </w:rPr>
        <w:t>Section 13.4</w:t>
      </w:r>
      <w:r>
        <w:rPr>
          <w:color w:val="000000"/>
        </w:rPr>
        <w:t xml:space="preserve"> </w:t>
      </w:r>
      <w:r>
        <w:rPr>
          <w:rFonts w:ascii="Times New Roman;sans-serif" w:hAnsi="Times New Roman;sans-serif"/>
          <w:b w:val="false"/>
          <w:color w:val="000000"/>
          <w:sz w:val="22"/>
        </w:rPr>
        <w:t>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without limitation, (A) acting as collateral agent or otherwise holding any collateral security on behalf of any of the holders of the Obligations and (B) in respect of any actions taken in connection with transferring the agency to any successor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Issuing Lender and Swingline Lender</w:t>
      </w:r>
      <w:r>
        <w:rPr>
          <w:rFonts w:ascii="Times New Roman;sans-serif" w:hAnsi="Times New Roman;sans-serif"/>
          <w:b w:val="false"/>
          <w:color w:val="000000"/>
          <w:sz w:val="22"/>
        </w:rPr>
        <w:t xml:space="preserve">. Any resignation or removal by Bank of America as Administrative Agent pursuant to this Section shall also constitute its resignation as Issuing Lender and Swingline Lender. If Bank of America resigns as an Issuing Lender, it shall retain all the rights, powers, privileges and duties of an Issuing Lender hereunder with respect to all Letters of Credit outstanding as of the effective date of its resignation as Issuing Lender and all L/C Obligations with respect thereto, including the right to require the Lenders to make Base Rate Loans or fund risk participations in Unreimbursed Amounts pursuant to </w:t>
      </w:r>
      <w:r>
        <w:rPr>
          <w:rFonts w:ascii="Times New Roman;sans-serif" w:hAnsi="Times New Roman;sans-serif"/>
          <w:b w:val="false"/>
          <w:color w:val="000000"/>
          <w:sz w:val="22"/>
          <w:u w:val="single"/>
        </w:rPr>
        <w:t>Section 2.3(c)</w:t>
      </w:r>
      <w:r>
        <w:rPr>
          <w:rFonts w:ascii="Times New Roman;sans-serif" w:hAnsi="Times New Roman;sans-serif"/>
          <w:b w:val="false"/>
          <w:color w:val="000000"/>
          <w:sz w:val="22"/>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sans-serif" w:hAnsi="Times New Roman;sans-serif"/>
          <w:b w:val="false"/>
          <w:color w:val="000000"/>
          <w:sz w:val="22"/>
          <w:u w:val="single"/>
        </w:rPr>
        <w:t>Section 2.4(c)</w:t>
      </w:r>
      <w:r>
        <w:rPr>
          <w:rFonts w:ascii="Times New Roman;sans-serif" w:hAnsi="Times New Roman;sans-serif"/>
          <w:b w:val="false"/>
          <w:color w:val="000000"/>
          <w:sz w:val="22"/>
        </w:rPr>
        <w:t>. Upon the appointment by the Company of a successor Issuing Lender or Swingline Lender hereunder (which successor shall in all cases be a Lender other than a Defaulting Lender), (i) such successor shall succeed to and become vested with all of the rights, powers, privileges and duties of the retiring Issuing Lender or Swingline Lender, as applicable, (ii) the retiring Issuing Lender and Swingline Lender shall be discharged from all of their respective duties and obligations hereunder or under the other Loan Documents, and (iii) the successor Issuing Lender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12.7    </w:t>
      </w:r>
      <w:r>
        <w:rPr>
          <w:rFonts w:ascii="Times New Roman;sans-serif" w:hAnsi="Times New Roman;sans-serif"/>
          <w:b/>
          <w:strike/>
          <w:color w:val="FF0000"/>
          <w:sz w:val="22"/>
        </w:rPr>
        <w:t>Non-Reliance</w:t>
      </w:r>
      <w:r>
        <w:rPr>
          <w:rFonts w:ascii="Times New Roman;sans-serif" w:hAnsi="Times New Roman;sans-serif"/>
          <w:b/>
          <w:color w:val="0000FF"/>
          <w:sz w:val="22"/>
          <w:u w:val="single"/>
        </w:rPr>
        <w:t>Non-Reliance</w:t>
      </w:r>
      <w:r>
        <w:rPr>
          <w:color w:val="000000"/>
          <w:u w:val="single"/>
        </w:rPr>
        <w:t xml:space="preserve"> </w:t>
      </w:r>
      <w:r>
        <w:rPr>
          <w:rFonts w:ascii="Times New Roman;sans-serif" w:hAnsi="Times New Roman;sans-serif"/>
          <w:b/>
          <w:color w:val="000000"/>
          <w:sz w:val="22"/>
          <w:u w:val="single"/>
        </w:rPr>
        <w:t>on Administrative Agent</w:t>
      </w:r>
      <w:r>
        <w:rPr>
          <w:rFonts w:ascii="Times New Roman;sans-serif" w:hAnsi="Times New Roman;sans-serif"/>
          <w:b/>
          <w:color w:val="0000FF"/>
          <w:sz w:val="22"/>
          <w:u w:val="single"/>
        </w:rPr>
        <w:t>, Sustainability Coordinator</w:t>
      </w:r>
      <w:r>
        <w:rPr>
          <w:color w:val="000000"/>
          <w:u w:val="single"/>
        </w:rPr>
        <w:t xml:space="preserve"> </w:t>
      </w:r>
      <w:r>
        <w:rPr>
          <w:rFonts w:ascii="Times New Roman;sans-serif" w:hAnsi="Times New Roman;sans-serif"/>
          <w:b/>
          <w:color w:val="000000"/>
          <w:sz w:val="22"/>
          <w:u w:val="single"/>
        </w:rPr>
        <w:t>and Other Lenders</w:t>
      </w:r>
      <w:r>
        <w:rPr>
          <w:rFonts w:ascii="Times New Roman;sans-serif" w:hAnsi="Times New Roman;sans-serif"/>
          <w:b w:val="false"/>
          <w:color w:val="000000"/>
          <w:sz w:val="22"/>
        </w:rPr>
        <w:t>.</w:t>
      </w:r>
      <w:r>
        <w:rPr>
          <w:strike/>
          <w:color w:val="FF0000"/>
        </w:rPr>
        <w:t xml:space="preserve"> </w:t>
      </w:r>
      <w:r>
        <w:rPr>
          <w:rFonts w:ascii="Times New Roman;sans-serif" w:hAnsi="Times New Roman;sans-serif"/>
          <w:b w:val="false"/>
          <w:color w:val="000000"/>
          <w:sz w:val="22"/>
        </w:rPr>
        <w:t>Each Lender and each Issuing Lender expressly acknowledges that none of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nor BAS has made any representation or warranty to it, and that no act by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 xml:space="preserve">or BAS hereafter taken, including any consent to, and acceptance of any assignment or review of the affairs of any Credit Party or any Affiliate thereof, shall be deemed to constitute any representation or warranty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350"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BAS to any Lender or each Issuing Lender as to any matter, including whether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BAS have disclosed material information in their (or their Related Parties’) possession. Each Lender and each Issuing Lender represents to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and BAS that it has, independently and without reliance upon the Administrative Agent</w:t>
      </w:r>
      <w:r>
        <w:rPr>
          <w:rFonts w:ascii="Times New Roman;sans-serif" w:hAnsi="Times New Roman;sans-serif"/>
          <w:b w:val="false"/>
          <w:color w:val="0000FF"/>
          <w:sz w:val="22"/>
          <w:u w:val="single"/>
        </w:rPr>
        <w:t>, the Sustainability Coordinator</w:t>
      </w:r>
      <w:r>
        <w:rPr>
          <w:rFonts w:ascii="Times New Roman;sans-serif" w:hAnsi="Times New Roman;sans-serif"/>
          <w:b w:val="false"/>
          <w:color w:val="000000"/>
          <w:sz w:val="22"/>
        </w:rPr>
        <w:t xml:space="preserve">, BAS,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Credit Parties and their Subsidiaries, and all applicable bank or other regulatory laws relating to the transactions contemplated hereby, and made its own decision to enter into this Agreement and to extend credit to the Borrowers hereunder. Each Lender and each Issuing Lender also acknowledges that it will, independently and without reliance upon the Administrative Agent,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BAS,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Credit Parties. Each Lender and each Issuing Lender represents and warrants that (i) the Loan Documents set forth the terms of a commercial lending facility and (ii) it is engaged in making, acquiring or holding commercial loans in the ordinary course and is entering into this Agreement as a Lender or Issuing Lender for the purpose of making, acquiring or holding commercial loans and providing other facilities set forth herein as may be applicable to such Lender or Issuing Lender,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12.8    </w:t>
      </w:r>
      <w:r>
        <w:rPr>
          <w:rFonts w:ascii="Times New Roman;sans-serif" w:hAnsi="Times New Roman;sans-serif"/>
          <w:b/>
          <w:color w:val="000000"/>
          <w:sz w:val="22"/>
          <w:u w:val="single"/>
        </w:rPr>
        <w:t>No Other Duties, Etc</w:t>
      </w:r>
      <w:r>
        <w:rPr>
          <w:rFonts w:ascii="Times New Roman;sans-serif" w:hAnsi="Times New Roman;sans-serif"/>
          <w:b w:val="false"/>
          <w:color w:val="000000"/>
          <w:sz w:val="22"/>
        </w:rPr>
        <w:t>. Anything herein to the contrary notwithstanding, none of the titles listed on the cover page hereof</w:t>
      </w:r>
      <w:r>
        <w:rPr>
          <w:rFonts w:ascii="Times New Roman;sans-serif" w:hAnsi="Times New Roman;sans-serif"/>
          <w:b w:val="false"/>
          <w:color w:val="0000FF"/>
          <w:sz w:val="22"/>
          <w:u w:val="single"/>
        </w:rPr>
        <w:t>, nor any sustainability coordinator,</w:t>
      </w:r>
      <w:r>
        <w:rPr>
          <w:color w:val="000000"/>
        </w:rPr>
        <w:t xml:space="preserve"> </w:t>
      </w:r>
      <w:r>
        <w:rPr>
          <w:rFonts w:ascii="Times New Roman;sans-serif" w:hAnsi="Times New Roman;sans-serif"/>
          <w:b w:val="false"/>
          <w:color w:val="000000"/>
          <w:sz w:val="22"/>
        </w:rPr>
        <w:t xml:space="preserve">shall have any powers, duties or responsibilities under this Agreement or any of the other Loan Documents, except in its capacity, as applicable, as the Administrative Agent, an Arranger, a </w:t>
      </w:r>
      <w:r>
        <w:rPr>
          <w:rFonts w:ascii="Times New Roman;sans-serif" w:hAnsi="Times New Roman;sans-serif"/>
          <w:b w:val="false"/>
          <w:color w:val="0000FF"/>
          <w:sz w:val="22"/>
          <w:u w:val="single"/>
        </w:rPr>
        <w:t xml:space="preserve">Sustainability Coordinator, a </w:t>
      </w:r>
      <w:r>
        <w:rPr>
          <w:rFonts w:ascii="Times New Roman;sans-serif" w:hAnsi="Times New Roman;sans-serif"/>
          <w:b w:val="false"/>
          <w:color w:val="000000"/>
          <w:sz w:val="22"/>
        </w:rPr>
        <w:t>Lender or an Issuing Lender hereunder.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12.9    </w:t>
      </w:r>
      <w:r>
        <w:rPr>
          <w:rFonts w:ascii="Times New Roman;sans-serif" w:hAnsi="Times New Roman;sans-serif"/>
          <w:b/>
          <w:color w:val="000000"/>
          <w:sz w:val="22"/>
          <w:u w:val="single"/>
        </w:rPr>
        <w:t>Administrative Agent May File Proofs of Claim; Credit Bidding</w:t>
      </w:r>
      <w:r>
        <w:rPr>
          <w:rFonts w:ascii="Times New Roman;sans-serif" w:hAnsi="Times New Roman;sans-serif"/>
          <w:b w:val="false"/>
          <w:color w:val="000000"/>
          <w:sz w:val="22"/>
        </w:rPr>
        <w:t>.</w:t>
      </w:r>
      <w:r>
        <w:rPr>
          <w:strike/>
          <w:color w:val="FF0000"/>
        </w:rPr>
        <w:t xml:space="preserve"> </w:t>
      </w:r>
      <w:r>
        <w:rPr>
          <w:rFonts w:ascii="Times New Roman;sans-serif" w:hAnsi="Times New Roman;sans-serif"/>
          <w:b w:val="false"/>
          <w:color w:val="000000"/>
          <w:sz w:val="22"/>
        </w:rPr>
        <w:t>In case of the pendency of any proceeding under any Debtor Relief Law or any other judicial proceeding relative to any Credit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sans-serif" w:hAnsi="Times New Roman;sans-serif"/>
          <w:b w:val="false"/>
          <w:color w:val="000000"/>
          <w:sz w:val="22"/>
          <w:u w:val="single"/>
        </w:rPr>
        <w:t>Sections 2.3(h)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4.2(b)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4.3</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13.4</w:t>
      </w:r>
      <w:r>
        <w:rPr>
          <w:rFonts w:ascii="Times New Roman;sans-serif" w:hAnsi="Times New Roman;sans-serif"/>
          <w:b w:val="false"/>
          <w:color w:val="000000"/>
          <w:sz w:val="22"/>
        </w:rPr>
        <w:t>) allowed in such judicial proceeding; and</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351"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352"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to collect and receive any monies or other property payable or deliverable on any such claims and to distribute the same;</w:t>
      </w:r>
    </w:p>
    <w:p>
      <w:pPr>
        <w:pStyle w:val="TextBody"/>
        <w:bidi w:val="0"/>
        <w:spacing w:lineRule="auto" w:line="288" w:before="0" w:after="240"/>
        <w:jc w:val="both"/>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sans-serif" w:hAnsi="Times New Roman;sans-serif"/>
          <w:b w:val="false"/>
          <w:color w:val="000000"/>
          <w:sz w:val="22"/>
          <w:u w:val="single"/>
        </w:rPr>
        <w:t>Sections 2.9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4.2(b)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13.4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or in any such proceeding.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Applicable Laws in any other jurisdictions to which a Credit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of the Obligations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Capital Stock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actions by the Administrative Agent with respect to such acquisition vehicle or vehicles, including any disposition of the assets or Capital Stock thereof shall be governed, directly or indirectly, by the vote of the Required Lenders, irrespective of the termination of this Agreement and without giving effect to the limitations on actions by the Required Lenders contained in clauses (a) through (j) of </w:t>
      </w:r>
      <w:r>
        <w:rPr>
          <w:rFonts w:ascii="Times New Roman;sans-serif" w:hAnsi="Times New Roman;sans-serif"/>
          <w:b w:val="false"/>
          <w:color w:val="000000"/>
          <w:sz w:val="24"/>
          <w:u w:val="single"/>
        </w:rPr>
        <w:t>Section 13.2</w:t>
      </w:r>
      <w:r>
        <w:rPr>
          <w:color w:val="000000"/>
        </w:rPr>
        <w:t xml:space="preserve"> </w:t>
      </w:r>
      <w:r>
        <w:rPr>
          <w:rFonts w:ascii="Times New Roman;sans-serif" w:hAnsi="Times New Roman;sans-serif"/>
          <w:b w:val="false"/>
          <w:color w:val="000000"/>
          <w:sz w:val="24"/>
        </w:rPr>
        <w:t xml:space="preserve">of this Agreement),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Capital Stock and/or debt instruments issued by any acquisition vehicle on account of the Obligations that had been assigned to the acquisition vehicle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353"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automatically be cancelled, without the need for any holders of the Obligations or any acquisition vehicle to take any further action.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12.10    </w:t>
      </w:r>
      <w:r>
        <w:rPr>
          <w:rFonts w:ascii="Times New Roman;sans-serif" w:hAnsi="Times New Roman;sans-serif"/>
          <w:b/>
          <w:color w:val="000000"/>
          <w:sz w:val="22"/>
          <w:u w:val="single"/>
        </w:rPr>
        <w:t>Collateral and Guaranty Matters</w:t>
      </w:r>
      <w:r>
        <w:rPr>
          <w:rFonts w:ascii="Times New Roman;sans-serif" w:hAnsi="Times New Roman;sans-serif"/>
          <w:b w:val="false"/>
          <w:color w:val="000000"/>
          <w:sz w:val="22"/>
        </w:rPr>
        <w:t>.</w:t>
      </w:r>
      <w:r>
        <w:rPr>
          <w:strike/>
          <w:color w:val="FF0000"/>
        </w:rPr>
        <w:t xml:space="preserve"> </w:t>
      </w:r>
      <w:r>
        <w:rPr>
          <w:rFonts w:ascii="Times New Roman;sans-serif" w:hAnsi="Times New Roman;sans-serif"/>
          <w:b w:val="false"/>
          <w:color w:val="000000"/>
          <w:sz w:val="22"/>
        </w:rPr>
        <w:t>Each of the Lenders (including in its capacities as a potential Bank Product Provider) and each of the Issuing Lenders irrevocably authorize the Administrative Agent, at its option and in its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(iii) to the extent a Subsidiary is no longer required by the Loan Documents to grant a Lien on the Capital Stock owned directly by such Subsidiary or (iv) if approved, authorized or ratified in writing by the Required Lenders in accordance with </w:t>
      </w:r>
      <w:r>
        <w:rPr>
          <w:rFonts w:ascii="Times New Roman;sans-serif" w:hAnsi="Times New Roman;sans-serif"/>
          <w:b w:val="false"/>
          <w:color w:val="000000"/>
          <w:sz w:val="22"/>
          <w:u w:val="single"/>
        </w:rPr>
        <w:t>Section 13.2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to subordinate any Lien on any property granted to or held by the Administrative Agent under any Loan Document to the holder of any Lien on such property that is permitted by </w:t>
      </w:r>
      <w:r>
        <w:rPr>
          <w:rFonts w:ascii="Times New Roman;sans-serif" w:hAnsi="Times New Roman;sans-serif"/>
          <w:b w:val="false"/>
          <w:color w:val="000000"/>
          <w:sz w:val="22"/>
          <w:u w:val="single"/>
        </w:rPr>
        <w:t>Section 10.1(c)</w:t>
      </w:r>
      <w:r>
        <w:rPr>
          <w:rFonts w:ascii="Times New Roman;sans-serif" w:hAnsi="Times New Roman;sans-serif"/>
          <w:b w:val="false"/>
          <w:color w:val="000000"/>
          <w:sz w:val="22"/>
        </w:rPr>
        <w:t>;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to release any Guarantor from its obligations under the Guaranty Agreement if such Person ceases to be a Material Domestic Subsidiary as a result of a transaction permitted under the Loan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In connection with a termination or release pursuant to this Section, the Administrative Agent shall promptly execute and deliver to the applicable Credit Party, at the Company’s expense, all documents that the applicable Credit Party shall reasonably request to evidence such termination or release. 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Agreement pursuant to this </w:t>
      </w:r>
      <w:r>
        <w:rPr>
          <w:rFonts w:ascii="Times New Roman;sans-serif" w:hAnsi="Times New Roman;sans-serif"/>
          <w:b w:val="false"/>
          <w:color w:val="000000"/>
          <w:sz w:val="24"/>
          <w:u w:val="single"/>
        </w:rPr>
        <w:t>Section 12.10</w:t>
      </w:r>
      <w:r>
        <w:rPr>
          <w:rFonts w:ascii="Times New Roman;sans-serif" w:hAnsi="Times New Roman;sans-serif"/>
          <w:b w:val="false"/>
          <w:color w:val="000000"/>
          <w:sz w:val="24"/>
        </w:rPr>
        <w:t xml:space="preserve">. In each case as specified in this </w:t>
      </w:r>
      <w:r>
        <w:rPr>
          <w:rFonts w:ascii="Times New Roman;sans-serif" w:hAnsi="Times New Roman;sans-serif"/>
          <w:b w:val="false"/>
          <w:color w:val="000000"/>
          <w:sz w:val="24"/>
          <w:u w:val="single"/>
        </w:rPr>
        <w:t>Section 12.10</w:t>
      </w:r>
      <w:r>
        <w:rPr>
          <w:rFonts w:ascii="Times New Roman;sans-serif" w:hAnsi="Times New Roman;sans-serif"/>
          <w:b w:val="false"/>
          <w:color w:val="000000"/>
          <w:sz w:val="24"/>
        </w:rPr>
        <w:t xml:space="preserve">, the Administrative Agent will, at the Company’s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release such Guarantor from its obligations under the Guaranty Agreement, in each case in accordance with the terms of the Loan Documents and this </w:t>
      </w:r>
      <w:r>
        <w:rPr>
          <w:rFonts w:ascii="Times New Roman;sans-serif" w:hAnsi="Times New Roman;sans-serif"/>
          <w:b w:val="false"/>
          <w:color w:val="000000"/>
          <w:sz w:val="24"/>
          <w:u w:val="single"/>
        </w:rPr>
        <w:t>Section 12.10</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Credit Party in connection therewith, nor shall the Administrative Agent be responsible or liable to the Lenders for any failure to monitor or maintain any portion of the Collateral.</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12.11    </w:t>
      </w:r>
      <w:r>
        <w:rPr>
          <w:rFonts w:ascii="Times New Roman;sans-serif" w:hAnsi="Times New Roman;sans-serif"/>
          <w:b/>
          <w:color w:val="000000"/>
          <w:sz w:val="22"/>
          <w:u w:val="single"/>
        </w:rPr>
        <w:t>Bank Products</w:t>
      </w:r>
      <w:r>
        <w:rPr>
          <w:rFonts w:ascii="Times New Roman;sans-serif" w:hAnsi="Times New Roman;sans-serif"/>
          <w:b w:val="false"/>
          <w:color w:val="000000"/>
          <w:sz w:val="22"/>
        </w:rPr>
        <w:t xml:space="preserve">. Except as otherwise expressly set forth herein, no Bank Product Provider that obtains the benefit of the provisions of </w:t>
      </w:r>
      <w:r>
        <w:rPr>
          <w:rFonts w:ascii="Times New Roman;sans-serif" w:hAnsi="Times New Roman;sans-serif"/>
          <w:b w:val="false"/>
          <w:color w:val="000000"/>
          <w:sz w:val="22"/>
          <w:u w:val="single"/>
        </w:rPr>
        <w:t>Section 11.2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11.4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13.3</w:t>
      </w:r>
      <w:r>
        <w:rPr>
          <w:rFonts w:ascii="Times New Roman;sans-serif" w:hAnsi="Times New Roman;sans-serif"/>
          <w:b w:val="false"/>
          <w:color w:val="000000"/>
          <w:sz w:val="22"/>
        </w:rPr>
        <w:t xml:space="preserve">, the Guaranty Agreement or any Collateral by virtue of the provisions hereof or any Security Document shall have any right to notice of any action or to consent to, direct or object to any action hereunder or under any other Loan Document or otherwise in respect of the Collateral (including the release or impairment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54"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Collateral) (or to notice of or to consent to any amendment, waiver or modification of the provisions hereof or of the Guaranty Agreement or any Security Document) other than in its capacity as a Lender and, in such case, only to the extent expressly provided in the Loan Documents. Notwithstanding any other provision of this </w:t>
      </w:r>
      <w:r>
        <w:rPr>
          <w:rFonts w:ascii="Times New Roman;sans-serif" w:hAnsi="Times New Roman;sans-serif"/>
          <w:b w:val="false"/>
          <w:color w:val="000000"/>
          <w:sz w:val="22"/>
          <w:u w:val="single"/>
        </w:rPr>
        <w:t>Article XII</w:t>
      </w:r>
      <w:r>
        <w:rPr>
          <w:color w:val="000000"/>
        </w:rPr>
        <w:t xml:space="preserve"> </w:t>
      </w:r>
      <w:r>
        <w:rPr>
          <w:rFonts w:ascii="Times New Roman;sans-serif" w:hAnsi="Times New Roman;sans-serif"/>
          <w:b w:val="false"/>
          <w:color w:val="000000"/>
          <w:sz w:val="22"/>
        </w:rPr>
        <w:t>to the contrary, the Administrative Agent shall not be required to verify the payment of, or that other satisfactory arrangements have been made with respect to, Obligations arising under Bank Product Debt except to the extent expressly provided herein and unless the Administrative Agent has received a Bank Product Provider Notice of such Obligations, together with such supporting documentation as the Administrative Agent may request, from the applicable Bank Product Provider, as the case may be. The Administrative Agent shall not be required to verify the payment of, or that other satisfactory arrangements have been made with respect to, Obligations arising under Bank Product Debt in the case of a Facility Termination Date.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12.12    </w:t>
      </w:r>
      <w:r>
        <w:rPr>
          <w:rFonts w:ascii="Times New Roman;sans-serif" w:hAnsi="Times New Roman;sans-serif"/>
          <w:b/>
          <w:color w:val="000000"/>
          <w:sz w:val="22"/>
          <w:u w:val="single"/>
        </w:rPr>
        <w:t>Certain ERISA Matters</w:t>
      </w:r>
      <w:r>
        <w:rPr>
          <w:rFonts w:ascii="Times New Roman;sans-serif" w:hAnsi="Times New Roman;sans-serif"/>
          <w:b w:val="false"/>
          <w:color w:val="000000"/>
          <w:sz w:val="22"/>
        </w:rPr>
        <w:t>.</w:t>
      </w:r>
      <w:r>
        <w:rPr>
          <w:strike/>
          <w:color w:val="FF000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Credit Party, that at least one of the following is and will be true: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w:t>
      </w:r>
      <w:r>
        <w:rPr>
          <w:rFonts w:ascii="Times New Roman;sans-serif" w:hAnsi="Times New Roman;sans-serif"/>
          <w:b w:val="false"/>
          <w:strike/>
          <w:color w:val="FF0000"/>
          <w:sz w:val="22"/>
        </w:rPr>
        <w:t>in-house</w:t>
      </w:r>
      <w:r>
        <w:rPr>
          <w:rFonts w:ascii="Times New Roman;sans-serif" w:hAnsi="Times New Roman;sans-serif"/>
          <w:b w:val="false"/>
          <w:color w:val="0000FF"/>
          <w:sz w:val="22"/>
          <w:u w:val="single"/>
        </w:rPr>
        <w:t>in-house</w:t>
      </w:r>
      <w:r>
        <w:rPr>
          <w:color w:val="000000"/>
        </w:rPr>
        <w:t xml:space="preserve"> </w:t>
      </w:r>
      <w:r>
        <w:rPr>
          <w:rFonts w:ascii="Times New Roman;sans-serif" w:hAnsi="Times New Roman;sans-serif"/>
          <w:b w:val="false"/>
          <w:color w:val="000000"/>
          <w:sz w:val="22"/>
        </w:rPr>
        <w:t>asset managers), is applicable with respect to such Lender’s entrance into, participation in, administration of and performance of the Loans, the Letters of Credit, the Commitments and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w:t>
      </w:r>
      <w:r>
        <w:rPr>
          <w:rFonts w:ascii="Times New Roman;sans-serif" w:hAnsi="Times New Roman;sans-serif"/>
          <w:b w:val="false"/>
          <w:strike/>
          <w:color w:val="FF0000"/>
          <w:sz w:val="22"/>
        </w:rPr>
        <w:t>sub-sections</w:t>
      </w:r>
      <w:r>
        <w:rPr>
          <w:rFonts w:ascii="Times New Roman;sans-serif" w:hAnsi="Times New Roman;sans-serif"/>
          <w:b w:val="false"/>
          <w:color w:val="0000FF"/>
          <w:sz w:val="22"/>
          <w:u w:val="single"/>
        </w:rPr>
        <w:t>sub-sections</w:t>
      </w:r>
      <w:r>
        <w:rPr>
          <w:color w:val="000000"/>
        </w:rPr>
        <w:t xml:space="preserve"> </w:t>
      </w:r>
      <w:r>
        <w:rPr>
          <w:rFonts w:ascii="Times New Roman;sans-serif" w:hAnsi="Times New Roman;sans-serif"/>
          <w:b w:val="false"/>
          <w:color w:val="000000"/>
          <w:sz w:val="22"/>
        </w:rPr>
        <w:t>(b)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such other representation, warranty and covenant as may be agreed in writing between the Administrative Agent, in its sole discretion, and such Lender.</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55"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Credit Party, that the Administrative Agent</w:t>
      </w:r>
      <w:r>
        <w:rPr>
          <w:color w:val="000000"/>
        </w:rPr>
        <w:t xml:space="preserve"> </w:t>
      </w:r>
      <w:r>
        <w:rPr>
          <w:rFonts w:ascii="Times New Roman;sans-serif" w:hAnsi="Times New Roman;sans-serif"/>
          <w:b w:val="false"/>
          <w:color w:val="000000"/>
          <w:sz w:val="22"/>
        </w:rPr>
        <w:t>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12.13    </w:t>
      </w:r>
      <w:r>
        <w:rPr>
          <w:rFonts w:ascii="Times New Roman;sans-serif" w:hAnsi="Times New Roman;sans-serif"/>
          <w:b/>
          <w:color w:val="000000"/>
          <w:sz w:val="22"/>
          <w:u w:val="single"/>
        </w:rPr>
        <w:t>Recovery of Erroneous Payments</w:t>
      </w:r>
      <w:r>
        <w:rPr>
          <w:rFonts w:ascii="Times New Roman;sans-serif" w:hAnsi="Times New Roman;sans-serif"/>
          <w:b w:val="false"/>
          <w:color w:val="000000"/>
          <w:sz w:val="22"/>
        </w:rPr>
        <w:t>.</w:t>
      </w:r>
      <w:r>
        <w:rPr>
          <w:strike/>
          <w:color w:val="FF0000"/>
        </w:rPr>
        <w:t xml:space="preserve"> </w:t>
      </w:r>
      <w:r>
        <w:rPr>
          <w:rFonts w:ascii="Times New Roman;sans-serif" w:hAnsi="Times New Roman;sans-serif"/>
          <w:b w:val="false"/>
          <w:color w:val="000000"/>
          <w:sz w:val="22"/>
        </w:rPr>
        <w:t>Without limitation of any other provision in this Agreement, if at any time the Administrative Agent makes a payment hereunder in error to any Lender Party, whether or not in respect of an Obligation due and owing by the Borrowers at such time, where such payment is a Rescindable Amount, then in any such event, each Lender Party receiving a Rescindable Amount severally agrees to repay to the Administrative Agent forthwith on demand the Rescindable Amount received by such Lender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Party promptly upon determining that any payment made to such Lender Party comprised, in whole or in part, a Rescindable Amount.</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ARTICLE XIII</w:t>
        <w:br/>
        <w:br/>
        <w:t>MISCELLANEOUS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    </w:t>
      </w:r>
      <w:r>
        <w:rPr>
          <w:rFonts w:ascii="Times New Roman;sans-serif" w:hAnsi="Times New Roman;sans-serif"/>
          <w:b/>
          <w:color w:val="000000"/>
          <w:sz w:val="22"/>
          <w:u w:val="single"/>
        </w:rPr>
        <w:t>Notices; Effectiveness; Electronic Communications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Notices Generally</w:t>
      </w:r>
      <w:r>
        <w:rPr>
          <w:rFonts w:ascii="Times New Roman;sans-serif" w:hAnsi="Times New Roman;sans-serif"/>
          <w:b w:val="false"/>
          <w:color w:val="000000"/>
          <w:sz w:val="22"/>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transmission as follows, and all notices and other communications expressly permitted hereunder to be given by telephone shall be made to the applicable telephone number,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if to the Company or any other Credit Party, the Administrative Agent, Bank of America, as Issuing Lender, or the Swingline Lender, to the address, fax number,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 xml:space="preserve">address or telephone number specified for such Person on </w:t>
      </w:r>
      <w:r>
        <w:rPr>
          <w:rFonts w:ascii="Times New Roman;sans-serif" w:hAnsi="Times New Roman;sans-serif"/>
          <w:b w:val="false"/>
          <w:color w:val="000000"/>
          <w:sz w:val="22"/>
          <w:u w:val="single"/>
        </w:rPr>
        <w:t>Schedule 1.1(a)</w:t>
      </w:r>
      <w:r>
        <w:rPr>
          <w:rFonts w:ascii="Times New Roman;sans-serif" w:hAnsi="Times New Roman;sans-serif"/>
          <w:b w:val="false"/>
          <w:color w:val="000000"/>
          <w:sz w:val="22"/>
        </w:rPr>
        <w: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if to any other Lender or Issuing Lender, to the address, fax number,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 xml:space="preserve">address or telephone number specified in its Administrative Questionnaire (including, as appropriate, notices delivered solely to the Person designated by a Lender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56"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on its Administrative Questionnaire then in effect for the delivery of notices that may contain material </w:t>
      </w:r>
      <w:r>
        <w:rPr>
          <w:rFonts w:ascii="Times New Roman;sans-serif" w:hAnsi="Times New Roman;sans-serif"/>
          <w:b w:val="false"/>
          <w:strike/>
          <w:color w:val="FF0000"/>
          <w:sz w:val="22"/>
        </w:rPr>
        <w:t>non-public</w:t>
      </w:r>
      <w:r>
        <w:rPr>
          <w:rFonts w:ascii="Times New Roman;sans-serif" w:hAnsi="Times New Roman;sans-serif"/>
          <w:b w:val="false"/>
          <w:color w:val="0000FF"/>
          <w:sz w:val="22"/>
          <w:u w:val="single"/>
        </w:rPr>
        <w:t>non-public</w:t>
      </w:r>
      <w:r>
        <w:rPr>
          <w:color w:val="000000"/>
        </w:rPr>
        <w:t xml:space="preserve"> </w:t>
      </w:r>
      <w:r>
        <w:rPr>
          <w:rFonts w:ascii="Times New Roman;sans-serif" w:hAnsi="Times New Roman;sans-serif"/>
          <w:b w:val="false"/>
          <w:color w:val="000000"/>
          <w:sz w:val="22"/>
        </w:rPr>
        <w:t>information relating to the Company).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Electronic Communications</w:t>
      </w:r>
      <w:r>
        <w:rPr>
          <w:rFonts w:ascii="Times New Roman;sans-serif" w:hAnsi="Times New Roman;sans-serif"/>
          <w:b w:val="false"/>
          <w:color w:val="000000"/>
          <w:sz w:val="22"/>
        </w:rPr>
        <w:t xml:space="preserve">. Notices and other communications to the Administrative Agent, the Lenders, the Swingline Lender and the Issuing Lenders hereunder may be delivered or furnished by electronic communication (including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rFonts w:ascii="Times New Roman;sans-serif" w:hAnsi="Times New Roman;sans-serif"/>
          <w:b w:val="false"/>
          <w:color w:val="000000"/>
          <w:sz w:val="22"/>
        </w:rPr>
        <w:t xml:space="preserve">, FPML messaging and Internet or intranet websites)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the Swingline Lender or any Issuing Lender pursuant to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if such Lender, Swingline Lender or such Issuing Lender, as applicable, has notified the Administrative Agent that it is incapable of receiving notices under such Article by electronic communication. The Administrative Agent, the Swingline Lender, the Issuing Lenders or the Company may each,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approval of such procedures may be limited to particular notices or communications.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Unless the Administrative Agent otherwise prescribes, (i) notices and other communications sent to an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 xml:space="preserve">address shall be deemed received upon the sender’s receipt of an acknowledgment from the intended recipient (such as by the “return receipt requested” function, as available, return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 xml:space="preserve">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 xml:space="preserve">address or other written acknowledgement) indicating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both clauses (i) and (ii),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The Platform</w:t>
      </w:r>
      <w:r>
        <w:rPr>
          <w:rFonts w:ascii="Times New Roman;sans-serif" w:hAnsi="Times New Roman;sans-serif"/>
          <w:b w:val="false"/>
          <w:color w:val="000000"/>
          <w:sz w:val="22"/>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w:t>
      </w:r>
      <w:r>
        <w:rPr>
          <w:rFonts w:ascii="Times New Roman;sans-serif" w:hAnsi="Times New Roman;sans-serif"/>
          <w:b w:val="false"/>
          <w:strike/>
          <w:color w:val="FF0000"/>
          <w:sz w:val="22"/>
        </w:rPr>
        <w:t>NON-INFRINGEMENT</w:t>
      </w:r>
      <w:r>
        <w:rPr>
          <w:rFonts w:ascii="Times New Roman;sans-serif" w:hAnsi="Times New Roman;sans-serif"/>
          <w:b w:val="false"/>
          <w:color w:val="0000FF"/>
          <w:sz w:val="22"/>
          <w:u w:val="single"/>
        </w:rPr>
        <w:t>NON-INFRINGEMENT</w:t>
      </w:r>
      <w:r>
        <w:rPr>
          <w:color w:val="000000"/>
        </w:rPr>
        <w:t xml:space="preserve"> </w:t>
      </w:r>
      <w:r>
        <w:rPr>
          <w:rFonts w:ascii="Times New Roman;sans-serif" w:hAnsi="Times New Roman;sans-serif"/>
          <w:b w:val="false"/>
          <w:color w:val="000000"/>
          <w:sz w:val="22"/>
        </w:rPr>
        <w:t>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ans-serif" w:hAnsi="Times New Roman;sans-serif"/>
          <w:b w:val="false"/>
          <w:color w:val="000000"/>
          <w:sz w:val="22"/>
          <w:u w:val="single"/>
        </w:rPr>
        <w:t>Agent Parties</w:t>
      </w:r>
      <w:r>
        <w:rPr>
          <w:color w:val="000000"/>
        </w:rPr>
        <w:t>”</w:t>
      </w:r>
      <w:r>
        <w:rPr>
          <w:rFonts w:ascii="Times New Roman;sans-serif" w:hAnsi="Times New Roman;sans-serif"/>
          <w:b w:val="false"/>
          <w:color w:val="000000"/>
          <w:sz w:val="22"/>
        </w:rPr>
        <w:t xml:space="preserve">) have any liability to the Company, any Lender, any Issuing Lender or any other Person for losses, claims, damages, liabilities or expenses of any kind (whether in tort, contract or otherwise) arising out of the Company’s, any Credit Party’s or the Administrative Agent’s transmission of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57"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Materials or notices through the Platform, any other electronic platform or electronic messaging service, or through the Internet.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Change of Address, Etc</w:t>
      </w:r>
      <w:r>
        <w:rPr>
          <w:rFonts w:ascii="Times New Roman;sans-serif" w:hAnsi="Times New Roman;sans-serif"/>
          <w:b w:val="false"/>
          <w:color w:val="000000"/>
          <w:sz w:val="22"/>
        </w:rPr>
        <w:t xml:space="preserve">. Each of the Company, the Administrative Agent, each Issuing Lender and the Swingline Lender may change its address, fax number or telephone number or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 xml:space="preserve">address for notices and other communications hereunder by notice to the other parties hereto. Each other Lender may change its address, fax number or telephone number or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 xml:space="preserve">address for notices and other communications hereunder by notice to the Company, the Administrative Agent, such Issuing Lender and the Swingline Lender. In addition, each Lender agrees to notify the Administrative Agent from time to time to ensure that the Administrative Agent has on record (i) an effective address, contact name, telephone number, fax number and </w:t>
      </w:r>
      <w:r>
        <w:rPr>
          <w:rFonts w:ascii="Times New Roman;sans-serif" w:hAnsi="Times New Roman;sans-serif"/>
          <w:b w:val="false"/>
          <w:strike/>
          <w:color w:val="FF0000"/>
          <w:sz w:val="22"/>
        </w:rPr>
        <w:t>e-mail</w:t>
      </w:r>
      <w:r>
        <w:rPr>
          <w:rFonts w:ascii="Times New Roman;sans-serif" w:hAnsi="Times New Roman;sans-serif"/>
          <w:b w:val="false"/>
          <w:color w:val="0000FF"/>
          <w:sz w:val="22"/>
          <w:u w:val="single"/>
        </w:rPr>
        <w:t>e-mail</w:t>
      </w:r>
      <w:r>
        <w:rPr>
          <w:color w:val="000000"/>
        </w:rPr>
        <w:t xml:space="preserve"> </w:t>
      </w:r>
      <w:r>
        <w:rPr>
          <w:rFonts w:ascii="Times New Roman;sans-serif" w:hAnsi="Times New Roman;sans-serif"/>
          <w:b w:val="false"/>
          <w:color w:val="000000"/>
          <w:sz w:val="22"/>
        </w:rPr>
        <w:t xml:space="preserve">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w:t>
      </w:r>
      <w:r>
        <w:rPr>
          <w:rFonts w:ascii="Times New Roman;sans-serif" w:hAnsi="Times New Roman;sans-serif"/>
          <w:b w:val="false"/>
          <w:strike/>
          <w:color w:val="FF0000"/>
          <w:sz w:val="22"/>
        </w:rPr>
        <w:t>non-public</w:t>
      </w:r>
      <w:r>
        <w:rPr>
          <w:rFonts w:ascii="Times New Roman;sans-serif" w:hAnsi="Times New Roman;sans-serif"/>
          <w:b w:val="false"/>
          <w:color w:val="0000FF"/>
          <w:sz w:val="22"/>
          <w:u w:val="single"/>
        </w:rPr>
        <w:t>non-public</w:t>
      </w:r>
      <w:r>
        <w:rPr>
          <w:color w:val="000000"/>
        </w:rPr>
        <w:t xml:space="preserve"> </w:t>
      </w:r>
      <w:r>
        <w:rPr>
          <w:rFonts w:ascii="Times New Roman;sans-serif" w:hAnsi="Times New Roman;sans-serif"/>
          <w:b w:val="false"/>
          <w:color w:val="000000"/>
          <w:sz w:val="22"/>
        </w:rPr>
        <w:t>information with respect to the Company or its securities for purposes of United States federal or state securities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Reliance by Administrative Agent, Issuing Lender and Lenders</w:t>
      </w:r>
      <w:r>
        <w:rPr>
          <w:rFonts w:ascii="Times New Roman;sans-serif" w:hAnsi="Times New Roman;sans-serif"/>
          <w:b w:val="false"/>
          <w:color w:val="000000"/>
          <w:sz w:val="22"/>
        </w:rPr>
        <w:t>. The Administrative Agent, the Issuing Lenders and the Lenders shall be entitled to rely and act upon any notices (including, without limitation, telephonic or electronic notices, Loan Notices, Letter of Credit Applications, Notice of Prepayment and Swingline Loan Notices) purportedly given by or on behalf of any Credit Party even if (i) such notices were not made in a manner specified herein, were incomplete or were not preceded or followed by any other form of notice specified herein, or (ii) the terms thereof, as understood by the recipient, varied from any confirmation thereof. The Credit Parties shall indemnify the Administrative Agent, each Issuing Lender, each Lender and the Related Parties of each of them from all losses, costs, expenses and liabilities resulting from the reliance by such Person on each notice purportedly given by or on behalf of a Credit Party. All telephonic notices to and other telephonic communications with the Administrative Agent may be recorded by the Administrative Agent, and each of the parties hereto hereby consents to such recording.</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    </w:t>
      </w:r>
      <w:r>
        <w:rPr>
          <w:rFonts w:ascii="Times New Roman;sans-serif" w:hAnsi="Times New Roman;sans-serif"/>
          <w:b/>
          <w:color w:val="000000"/>
          <w:sz w:val="22"/>
          <w:u w:val="single"/>
        </w:rPr>
        <w:t>Amendments, Etc</w:t>
      </w:r>
      <w:r>
        <w:rPr>
          <w:rFonts w:ascii="Times New Roman;sans-serif" w:hAnsi="Times New Roman;sans-serif"/>
          <w:b w:val="false"/>
          <w:color w:val="000000"/>
          <w:sz w:val="22"/>
        </w:rPr>
        <w:t xml:space="preserve">. Except as set forth below or as specifically provided in any Loan Document (including </w:t>
      </w:r>
      <w:r>
        <w:rPr>
          <w:rFonts w:ascii="Times New Roman;sans-serif" w:hAnsi="Times New Roman;sans-serif"/>
          <w:b w:val="false"/>
          <w:color w:val="000000"/>
          <w:sz w:val="22"/>
          <w:u w:val="single"/>
        </w:rPr>
        <w:t>Section 4.8(c)</w:t>
      </w:r>
      <w:r>
        <w:rPr>
          <w:rFonts w:ascii="Times New Roman;sans-serif" w:hAnsi="Times New Roman;sans-serif"/>
          <w:b w:val="false"/>
          <w:color w:val="000000"/>
          <w:sz w:val="22"/>
        </w:rPr>
        <w:t xml:space="preserve">), any term, covenant, agreement or condition of this Agreement or any of the other Loan Documents may be amended or waived by the Lenders, and any consent given by the Lenders, if, but only if, such amendment, waiver or consent is in writing signed by the Required Lenders (or by the Administrative Agent with the consent of the Required Lenders) and delivered to the Administrative Agent and, in the case of an amendment, signed by the Borrowers;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amendment, waiver or consent shall:</w:t>
      </w:r>
    </w:p>
    <w:p>
      <w:pPr>
        <w:pStyle w:val="TextBody"/>
        <w:bidi w:val="0"/>
        <w:spacing w:lineRule="auto" w:line="288" w:before="0" w:after="240"/>
        <w:ind w:left="0" w:right="0" w:firstLine="720"/>
        <w:jc w:val="both"/>
        <w:rPr>
          <w:rFonts w:ascii="Times New Roman;sans-serif" w:hAnsi="Times New Roman;sans-serif"/>
          <w:b w:val="false"/>
          <w:strike/>
          <w:color w:val="FF0000"/>
          <w:sz w:val="22"/>
        </w:rPr>
      </w:pPr>
      <w:r>
        <w:rPr>
          <w:rFonts w:ascii="Times New Roman;sans-serif" w:hAnsi="Times New Roman;sans-serif"/>
          <w:b w:val="false"/>
          <w:strike/>
          <w:color w:val="FF0000"/>
          <w:sz w:val="22"/>
        </w:rPr>
        <w:t>(a) [Intentionally Omitted];</w:t>
      </w:r>
    </w:p>
    <w:p>
      <w:pPr>
        <w:pStyle w:val="TextBody"/>
        <w:bidi w:val="0"/>
        <w:spacing w:lineRule="auto" w:line="288" w:before="0" w:after="240"/>
        <w:ind w:left="0" w:right="0" w:firstLine="720"/>
        <w:jc w:val="both"/>
        <w:rPr/>
      </w:pPr>
      <w:r>
        <w:rPr>
          <w:rFonts w:ascii="Times New Roman;sans-serif" w:hAnsi="Times New Roman;sans-serif"/>
          <w:b w:val="false"/>
          <w:color w:val="0000FF"/>
          <w:sz w:val="22"/>
        </w:rPr>
        <w:t>(a)    </w:t>
      </w:r>
      <w:r>
        <w:rPr>
          <w:rFonts w:ascii="Times New Roman;sans-serif" w:hAnsi="Times New Roman;sans-serif"/>
          <w:b w:val="false"/>
          <w:color w:val="0000FF"/>
          <w:sz w:val="22"/>
          <w:u w:val="single"/>
        </w:rPr>
        <w:t>subordinate, or have the effect of subordinating, the Obligations or Liens securing the Obligations hereunder to any other Indebtedness, Liens securing the Obligations or other obligation without the written consent of each Lender directly affected thereby;</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58"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extend or increase the Commitment of any Lender (or reinstate any Commitment terminated pursuant to </w:t>
      </w:r>
      <w:r>
        <w:rPr>
          <w:rFonts w:ascii="Times New Roman;sans-serif" w:hAnsi="Times New Roman;sans-serif"/>
          <w:b w:val="false"/>
          <w:color w:val="000000"/>
          <w:sz w:val="22"/>
          <w:u w:val="single"/>
        </w:rPr>
        <w:t>Section 11.2)</w:t>
      </w:r>
      <w:r>
        <w:rPr>
          <w:color w:val="000000"/>
        </w:rPr>
        <w:t xml:space="preserve"> </w:t>
      </w:r>
      <w:r>
        <w:rPr>
          <w:rFonts w:ascii="Times New Roman;sans-serif" w:hAnsi="Times New Roman;sans-serif"/>
          <w:b w:val="false"/>
          <w:color w:val="000000"/>
          <w:sz w:val="22"/>
        </w:rPr>
        <w:t>or the amount of Loans of any Lender without the written consent of such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(c)    postpone any date fixed by this Agreement or any other Loan Document for any payment of principal, interest, fees or other amounts due to the Lenders (or any of them) hereunder or under any other Loan Document (other than any payments due under </w:t>
      </w:r>
      <w:r>
        <w:rPr>
          <w:rFonts w:ascii="Times New Roman;sans-serif" w:hAnsi="Times New Roman;sans-serif"/>
          <w:b w:val="false"/>
          <w:color w:val="000000"/>
          <w:sz w:val="22"/>
          <w:u w:val="single"/>
        </w:rPr>
        <w:t>Section 2.5(b)(ii)</w:t>
      </w:r>
      <w:r>
        <w:rPr>
          <w:rFonts w:ascii="Times New Roman;sans-serif" w:hAnsi="Times New Roman;sans-serif"/>
          <w:b w:val="false"/>
          <w:color w:val="000000"/>
          <w:sz w:val="22"/>
        </w:rPr>
        <w:t>) without the written consent of each Lender directly affected thereby;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    reduce the principal of, or the rate of interest specified herein on, any Loan or Reimbursement Obligation, or (subject to clause (iv) of the second proviso to this Section) any fees or other amounts payable hereunder or under any other Loan Document without the written consent of each Lender directly affected thereby;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only the consent of the Required Lenders shall be necessary (i) to waive any obligation of the Borrowers to pay interest at the rate set forth in </w:t>
      </w:r>
      <w:r>
        <w:rPr>
          <w:rFonts w:ascii="Times New Roman;sans-serif" w:hAnsi="Times New Roman;sans-serif"/>
          <w:b w:val="false"/>
          <w:color w:val="000000"/>
          <w:sz w:val="22"/>
          <w:u w:val="single"/>
        </w:rPr>
        <w:t>Section 4.1(b)</w:t>
      </w:r>
      <w:r>
        <w:rPr>
          <w:color w:val="000000"/>
        </w:rPr>
        <w:t xml:space="preserve"> </w:t>
      </w:r>
      <w:r>
        <w:rPr>
          <w:rFonts w:ascii="Times New Roman;sans-serif" w:hAnsi="Times New Roman;sans-serif"/>
          <w:b w:val="false"/>
          <w:color w:val="000000"/>
          <w:sz w:val="22"/>
        </w:rPr>
        <w:t>during the continuance of an Event of Default, or (ii) to amend any financial covenant hereunder (or any defined term used therein) if the effect of such amendment would be to reduce the rate of interest on any Loan or L/C Obligations or to reduce any fee payable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    change </w:t>
      </w:r>
      <w:r>
        <w:rPr>
          <w:rFonts w:ascii="Times New Roman;sans-serif" w:hAnsi="Times New Roman;sans-serif"/>
          <w:b w:val="false"/>
          <w:color w:val="000000"/>
          <w:sz w:val="22"/>
          <w:u w:val="single"/>
        </w:rPr>
        <w:t>Section 4.4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w:t>
      </w:r>
      <w:r>
        <w:rPr>
          <w:rFonts w:ascii="Times New Roman;sans-serif" w:hAnsi="Times New Roman;sans-serif"/>
          <w:b w:val="false"/>
          <w:strike/>
          <w:color w:val="FF0000"/>
          <w:sz w:val="22"/>
          <w:u w:val="single"/>
        </w:rPr>
        <w:t>11.4</w:t>
      </w:r>
      <w:r>
        <w:rPr>
          <w:rFonts w:ascii="Times New Roman;sans-serif" w:hAnsi="Times New Roman;sans-serif"/>
          <w:b w:val="false"/>
          <w:color w:val="0000FF"/>
          <w:sz w:val="22"/>
          <w:u w:val="single"/>
        </w:rPr>
        <w:t>4.6</w:t>
      </w:r>
      <w:r>
        <w:rPr>
          <w:color w:val="000000"/>
        </w:rPr>
        <w:t xml:space="preserve"> </w:t>
      </w:r>
      <w:r>
        <w:rPr>
          <w:rFonts w:ascii="Times New Roman;sans-serif" w:hAnsi="Times New Roman;sans-serif"/>
          <w:b w:val="false"/>
          <w:color w:val="000000"/>
          <w:sz w:val="22"/>
        </w:rPr>
        <w:t xml:space="preserve">in a manner that would alter the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 xml:space="preserve">rata </w:t>
      </w:r>
      <w:r>
        <w:rPr>
          <w:rFonts w:ascii="Times New Roman;sans-serif" w:hAnsi="Times New Roman;sans-serif"/>
          <w:b w:val="false"/>
          <w:color w:val="000000"/>
          <w:sz w:val="22"/>
        </w:rPr>
        <w:t xml:space="preserve">sharing of payments required thereby </w:t>
      </w:r>
      <w:r>
        <w:rPr>
          <w:rFonts w:ascii="Times New Roman;sans-serif" w:hAnsi="Times New Roman;sans-serif"/>
          <w:b w:val="false"/>
          <w:color w:val="0000FF"/>
          <w:sz w:val="22"/>
          <w:u w:val="single"/>
        </w:rPr>
        <w:t xml:space="preserve">or change Section 11.4, in each case, </w:t>
      </w:r>
      <w:r>
        <w:rPr>
          <w:rFonts w:ascii="Times New Roman;sans-serif" w:hAnsi="Times New Roman;sans-serif"/>
          <w:b w:val="false"/>
          <w:color w:val="000000"/>
          <w:sz w:val="22"/>
        </w:rPr>
        <w:t>without the written consent of each Lender directly affected thereby;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change any provisions of any Loan Document in a manner that by its terms adversely affects the rights in respect of payments due to Lenders holding Loans of any Tranche differently than those of Lenders holding Loans of any other Tranche without the written consent of Lenders holding a majority in interest of the outstanding Loans and unused Commitments of each adversely affected Tranche;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(h)    release all of the Guarantors or release Guarantors comprising substantially all of the credit support for the Obligations, in either case, from the Guaranty Agreement (other than as authorized in </w:t>
      </w:r>
      <w:r>
        <w:rPr>
          <w:rFonts w:ascii="Times New Roman;sans-serif" w:hAnsi="Times New Roman;sans-serif"/>
          <w:b w:val="false"/>
          <w:color w:val="000000"/>
          <w:sz w:val="22"/>
          <w:u w:val="single"/>
        </w:rPr>
        <w:t>Section 12.10)</w:t>
      </w:r>
      <w:r>
        <w:rPr>
          <w:rFonts w:ascii="Times New Roman;sans-serif" w:hAnsi="Times New Roman;sans-serif"/>
          <w:b w:val="false"/>
          <w:color w:val="000000"/>
          <w:sz w:val="22"/>
        </w:rPr>
        <w:t>, without the written consent of each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    release all or substantially all of the Collateral or release any Security Document (other than as authorized in </w:t>
      </w:r>
      <w:r>
        <w:rPr>
          <w:rFonts w:ascii="Times New Roman;sans-serif" w:hAnsi="Times New Roman;sans-serif"/>
          <w:b w:val="false"/>
          <w:color w:val="000000"/>
          <w:sz w:val="22"/>
          <w:u w:val="single"/>
        </w:rPr>
        <w:t>Section 12.10</w:t>
      </w:r>
      <w:r>
        <w:rPr>
          <w:color w:val="000000"/>
        </w:rPr>
        <w:t xml:space="preserve"> </w:t>
      </w:r>
      <w:r>
        <w:rPr>
          <w:rFonts w:ascii="Times New Roman;sans-serif" w:hAnsi="Times New Roman;sans-serif"/>
          <w:b w:val="false"/>
          <w:color w:val="000000"/>
          <w:sz w:val="22"/>
        </w:rPr>
        <w:t>or as otherwise specifically permitted or contemplated in this Agreement or the applicable Security Document) without the written consent of each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(j)    amend, waive or modify the definition of “</w:t>
      </w:r>
      <w:r>
        <w:rPr>
          <w:rFonts w:ascii="Times New Roman;sans-serif" w:hAnsi="Times New Roman;sans-serif"/>
          <w:b w:val="false"/>
          <w:strike/>
          <w:color w:val="FF0000"/>
          <w:sz w:val="22"/>
        </w:rPr>
        <w:t>Foreign</w:t>
      </w:r>
      <w:r>
        <w:rPr>
          <w:rFonts w:ascii="Times New Roman;sans-serif" w:hAnsi="Times New Roman;sans-serif"/>
          <w:b w:val="false"/>
          <w:color w:val="0000FF"/>
          <w:sz w:val="22"/>
          <w:u w:val="single"/>
        </w:rPr>
        <w:t>Designated</w:t>
      </w:r>
      <w:r>
        <w:rPr>
          <w:color w:val="000000"/>
        </w:rPr>
        <w:t xml:space="preserve"> </w:t>
      </w:r>
      <w:r>
        <w:rPr>
          <w:rFonts w:ascii="Times New Roman;sans-serif" w:hAnsi="Times New Roman;sans-serif"/>
          <w:b w:val="false"/>
          <w:color w:val="000000"/>
          <w:sz w:val="22"/>
        </w:rPr>
        <w:t>Currencies” without the written consent of each Designated Currency Tranche Revolving Credit Lender;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(k)    amend, waive or modify </w:t>
      </w:r>
      <w:r>
        <w:rPr>
          <w:rFonts w:ascii="Times New Roman;sans-serif" w:hAnsi="Times New Roman;sans-serif"/>
          <w:b w:val="false"/>
          <w:color w:val="000000"/>
          <w:sz w:val="22"/>
          <w:u w:val="single"/>
        </w:rPr>
        <w:t>Section 1.9</w:t>
      </w:r>
      <w:r>
        <w:rPr>
          <w:color w:val="000000"/>
        </w:rPr>
        <w:t xml:space="preserve"> </w:t>
      </w:r>
      <w:r>
        <w:rPr>
          <w:rFonts w:ascii="Times New Roman;sans-serif" w:hAnsi="Times New Roman;sans-serif"/>
          <w:b w:val="false"/>
          <w:color w:val="000000"/>
          <w:sz w:val="22"/>
        </w:rPr>
        <w:t>without the written consent of each Designated Currency Tranche Revolving Credit Lender;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(l)    amend, waive or modify </w:t>
      </w:r>
      <w:r>
        <w:rPr>
          <w:rFonts w:ascii="Times New Roman;sans-serif" w:hAnsi="Times New Roman;sans-serif"/>
          <w:b w:val="false"/>
          <w:color w:val="000000"/>
          <w:sz w:val="22"/>
          <w:u w:val="single"/>
        </w:rPr>
        <w:t>Section 2.10</w:t>
      </w:r>
      <w:r>
        <w:rPr>
          <w:color w:val="000000"/>
        </w:rPr>
        <w:t xml:space="preserve"> </w:t>
      </w:r>
      <w:r>
        <w:rPr>
          <w:rFonts w:ascii="Times New Roman;sans-serif" w:hAnsi="Times New Roman;sans-serif"/>
          <w:b w:val="false"/>
          <w:color w:val="000000"/>
          <w:sz w:val="22"/>
        </w:rPr>
        <w:t>without the written consent of each Lender;</w:t>
      </w:r>
    </w:p>
    <w:p>
      <w:pPr>
        <w:pStyle w:val="TextBody"/>
        <w:bidi w:val="0"/>
        <w:spacing w:lineRule="auto" w:line="288" w:before="0" w:after="240"/>
        <w:jc w:val="both"/>
        <w:rPr/>
      </w:pPr>
      <w:r>
        <w:rPr>
          <w:rFonts w:ascii="Times New Roman;sans-serif" w:hAnsi="Times New Roman;sans-serif"/>
          <w:b w:val="false"/>
          <w:color w:val="000000"/>
          <w:sz w:val="22"/>
          <w:u w:val="single"/>
        </w:rPr>
        <w:t>provided further,</w:t>
      </w:r>
      <w:r>
        <w:rPr>
          <w:color w:val="000000"/>
        </w:rPr>
        <w:t xml:space="preserve"> </w:t>
      </w:r>
      <w:r>
        <w:rPr>
          <w:rFonts w:ascii="Times New Roman;sans-serif" w:hAnsi="Times New Roman;sans-serif"/>
          <w:b w:val="false"/>
          <w:color w:val="000000"/>
          <w:sz w:val="22"/>
        </w:rPr>
        <w:t xml:space="preserve">that (i) no amendment, waiver or consent shall, unless in writing and signed by each Issuing Lender in addition to the Lenders required above, affect the rights or duties of such Issuing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59"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under this Agreement or any Letter of Credit Application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applicable Fee Letter </w:t>
      </w:r>
      <w:r>
        <w:rPr>
          <w:rFonts w:ascii="Times New Roman;sans-serif" w:hAnsi="Times New Roman;sans-serif"/>
          <w:b w:val="false"/>
          <w:color w:val="0000FF"/>
          <w:sz w:val="22"/>
          <w:u w:val="single"/>
        </w:rPr>
        <w:t xml:space="preserve">or other fee letters </w:t>
      </w:r>
      <w:r>
        <w:rPr>
          <w:rFonts w:ascii="Times New Roman;sans-serif" w:hAnsi="Times New Roman;sans-serif"/>
          <w:b w:val="false"/>
          <w:color w:val="000000"/>
          <w:sz w:val="22"/>
        </w:rPr>
        <w:t xml:space="preserve">may be amended, or rights or privileges thereunder waived, in a writing executed only by the parties thereto; (v) solely for the purposes of </w:t>
      </w:r>
      <w:r>
        <w:rPr>
          <w:rFonts w:ascii="Times New Roman;sans-serif" w:hAnsi="Times New Roman;sans-serif"/>
          <w:b w:val="false"/>
          <w:color w:val="000000"/>
          <w:sz w:val="22"/>
          <w:u w:val="single"/>
        </w:rPr>
        <w:t>Section 5.2(b)</w:t>
      </w:r>
      <w:r>
        <w:rPr>
          <w:rFonts w:ascii="Times New Roman;sans-serif" w:hAnsi="Times New Roman;sans-serif"/>
          <w:b w:val="false"/>
          <w:color w:val="000000"/>
          <w:sz w:val="22"/>
        </w:rPr>
        <w:t>, no waiver of a Default or Event of Default shall be effective without the consent of Revolving Credit Lenders holding more than fifty percent (50%) of the Revolving Credit Commitments (or if the Revolving Credit Facility has been terminated, Lenders holding more than fifty percent (50%) of the aggregate Extensions of Credit thereunder); (vi) the Administrative Agent and the Company shall be permitted to amend any provision of the Loan Documents (and such amendment shall become effective without any further action or consent of any other party to any Loan Document) if the Administrative Agent and the Company shall have jointly identified an obvious error or any error or omission of a technical or immaterial nature in any such provision; and (vii) any waiver, amendment or modification of this Agreement that by its terms affects the rights or duties under this Agreement of Lenders under one Tranche but not the other Tranche may be effected by an agreement or agreements in writing entered into by the Borrowers and requisite percentage in interest of the affected Tranche of Lenders. Notwithstanding anything to the contrary herein, no Defaulting Lender shall have any right to approve or disapprove any amendment, waiver or consent hereunder, except that the Commitment of such Lender may not be increased or extended without the consent of such Lender.</w:t>
      </w:r>
    </w:p>
    <w:p>
      <w:pPr>
        <w:pStyle w:val="TextBody"/>
        <w:bidi w:val="0"/>
        <w:spacing w:lineRule="auto" w:line="288" w:before="0" w:after="240"/>
        <w:jc w:val="both"/>
        <w:rPr/>
      </w:pPr>
      <w:r>
        <w:rPr>
          <w:rFonts w:ascii="Times New Roman;sans-serif" w:hAnsi="Times New Roman;sans-serif"/>
          <w:b w:val="false"/>
          <w:color w:val="000000"/>
          <w:sz w:val="22"/>
        </w:rPr>
        <w:t>In addition, the Company may, by written notice to the Administrative Agent from time to time (and with the consent of the Administrative Agent, not to be unreasonably withheld), make one or more offers (each, a “</w:t>
      </w:r>
      <w:r>
        <w:rPr>
          <w:rFonts w:ascii="Times New Roman;sans-serif" w:hAnsi="Times New Roman;sans-serif"/>
          <w:b w:val="false"/>
          <w:color w:val="000000"/>
          <w:sz w:val="22"/>
          <w:u w:val="single"/>
        </w:rPr>
        <w:t>Loan Modification Offer</w:t>
      </w:r>
      <w:r>
        <w:rPr>
          <w:color w:val="000000"/>
        </w:rPr>
        <w:t>”</w:t>
      </w:r>
      <w:r>
        <w:rPr>
          <w:rFonts w:ascii="Times New Roman;sans-serif" w:hAnsi="Times New Roman;sans-serif"/>
          <w:b w:val="false"/>
          <w:color w:val="000000"/>
          <w:sz w:val="22"/>
        </w:rPr>
        <w:t>) to all the Lenders under the Revolving Credit Facility or all of the Lenders holding the Term Loan to make one or more amendments or modifications to (i) allow the maturity and scheduled amortization (if any) of the Loans of the accepting Lenders to be extended and/ or (ii) increase the Applicable Margin and/or fees payable with respect to the Loans and Commitments (if any) of the accepting Lenders (“</w:t>
      </w:r>
      <w:r>
        <w:rPr>
          <w:rFonts w:ascii="Times New Roman;sans-serif" w:hAnsi="Times New Roman;sans-serif"/>
          <w:b w:val="false"/>
          <w:color w:val="000000"/>
          <w:sz w:val="22"/>
          <w:u w:val="single"/>
        </w:rPr>
        <w:t>Permitted Amendments</w:t>
      </w:r>
      <w:r>
        <w:rPr>
          <w:color w:val="000000"/>
        </w:rPr>
        <w:t>”</w:t>
      </w:r>
      <w:r>
        <w:rPr>
          <w:rFonts w:ascii="Times New Roman;sans-serif" w:hAnsi="Times New Roman;sans-serif"/>
          <w:b w:val="false"/>
          <w:color w:val="000000"/>
          <w:sz w:val="22"/>
        </w:rPr>
        <w:t>) pursuant to procedures reasonably specified by the Administrative Agent and reasonably acceptable to the Company. Such notice shall set forth (i) the terms and conditions of the requested Permitted Amendment and (ii) the date on which such Permitted Amendment is requested to become effective. Permitted Amendments shall become effective only with respect to the Loans and/or Commitments of the Lenders that accept the applicable Loan Modification Offer (such Lenders, the “</w:t>
      </w:r>
      <w:r>
        <w:rPr>
          <w:rFonts w:ascii="Times New Roman;sans-serif" w:hAnsi="Times New Roman;sans-serif"/>
          <w:b w:val="false"/>
          <w:color w:val="000000"/>
          <w:sz w:val="22"/>
          <w:u w:val="single"/>
        </w:rPr>
        <w:t>Accepting Lenders</w:t>
      </w:r>
      <w:r>
        <w:rPr>
          <w:color w:val="000000"/>
        </w:rPr>
        <w:t>”</w:t>
      </w:r>
      <w:r>
        <w:rPr>
          <w:rFonts w:ascii="Times New Roman;sans-serif" w:hAnsi="Times New Roman;sans-serif"/>
          <w:b w:val="false"/>
          <w:color w:val="000000"/>
          <w:sz w:val="22"/>
        </w:rPr>
        <w:t>) and, in the case of any Accepting Lender, only with respect to such Lender’s Loans and/or Commitments as to which such Lender’s acceptance has been made. The Company, each other Credit Party and each Accepting Lender shall execute and deliver to the Administrative Agent such documentation (a “</w:t>
      </w:r>
      <w:r>
        <w:rPr>
          <w:rFonts w:ascii="Times New Roman;sans-serif" w:hAnsi="Times New Roman;sans-serif"/>
          <w:b w:val="false"/>
          <w:color w:val="000000"/>
          <w:sz w:val="22"/>
          <w:u w:val="single"/>
        </w:rPr>
        <w:t>Loan Amendment</w:t>
      </w:r>
      <w:r>
        <w:rPr>
          <w:color w:val="000000"/>
        </w:rPr>
        <w:t>”</w:t>
      </w:r>
      <w:r>
        <w:rPr>
          <w:rFonts w:ascii="Times New Roman;sans-serif" w:hAnsi="Times New Roman;sans-serif"/>
          <w:b w:val="false"/>
          <w:color w:val="000000"/>
          <w:sz w:val="22"/>
        </w:rPr>
        <w:t xml:space="preserve">) as the Administrative Agent shall reasonably specify to evidence the acceptance of the Permitted Amendments and the terms and conditions thereof, and the Credit Parties shall also deliver such corporate resolutions, customary opinions and other customary documents as reasonably requested by the Administrative Agent. The Administrative Agent shall promptly notify each Lender as to the effectiveness of each Loan Amendment. Any such Permitted Amendment shall contain language to appropriately include the Lenders participating in any such tranches in (x) any determination of the Required Lenders and (y) provisions regarding pro rata payments or sharing of payments. Each of the parties hereto hereby agrees that upon the effectiveness of any Loan Amendment, this Agreement shall be deemed amended to the extent (but only to the extent) necessary to reflect the existence and terms of the Permitted Amendment evidenced thereby and only with respect to the Loans and Commitments of the Accepting Lenders as to which such Lenders’ acceptance has been made. For the avoidance of doubt, this paragraph shall supersede any provision of this </w:t>
      </w:r>
      <w:r>
        <w:rPr>
          <w:rFonts w:ascii="Times New Roman;sans-serif" w:hAnsi="Times New Roman;sans-serif"/>
          <w:b w:val="false"/>
          <w:color w:val="000000"/>
          <w:sz w:val="22"/>
          <w:u w:val="single"/>
        </w:rPr>
        <w:t>Section 13.2</w:t>
      </w:r>
      <w:r>
        <w:rPr>
          <w:color w:val="000000"/>
        </w:rPr>
        <w:t xml:space="preserve"> </w:t>
      </w:r>
      <w:r>
        <w:rPr>
          <w:rFonts w:ascii="Times New Roman;sans-serif" w:hAnsi="Times New Roman;sans-serif"/>
          <w:b w:val="false"/>
          <w:color w:val="000000"/>
          <w:sz w:val="22"/>
        </w:rPr>
        <w:t>to the contrary.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any waiver, amendment or modification of this Agreement that by its terms affects the rights or duties under this Agreement of the Lenders under one or more Tranches but not under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60"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any other Tranche may be effected by an agreement or agreements in writing entered into by the Borrowers and the requisite percentage in interest of the affected Tranche or Tranches of Lenders that would be required to consent thereto under this </w:t>
      </w:r>
      <w:r>
        <w:rPr>
          <w:rFonts w:ascii="Times New Roman;sans-serif" w:hAnsi="Times New Roman;sans-serif"/>
          <w:b w:val="false"/>
          <w:color w:val="000000"/>
          <w:sz w:val="22"/>
          <w:u w:val="single"/>
        </w:rPr>
        <w:t>Section 13.2</w:t>
      </w:r>
      <w:r>
        <w:rPr>
          <w:color w:val="000000"/>
        </w:rPr>
        <w:t xml:space="preserve"> </w:t>
      </w:r>
      <w:r>
        <w:rPr>
          <w:rFonts w:ascii="Times New Roman;sans-serif" w:hAnsi="Times New Roman;sans-serif"/>
          <w:b w:val="false"/>
          <w:color w:val="000000"/>
          <w:sz w:val="22"/>
        </w:rPr>
        <w:t>if such Tranche or Tranches of Lenders were the only Tranche or Tranches of Lenders hereunder at the time.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and notwithstanding anything to the contrary contained herein, each Lender hereby authorizes the Administrative Agent on its behalf, and without its further consent, to enter into amendments to this Agreement and the other Loan Documents as the Administrative Agent may reasonably deem appropriate in order to effectuate any increase in the Revolving Credit Commitment pursuant to Section 2.8 or any Incremental Term Loans pursuant to Section 2.9, including, without limitation, amendments to permit such increases in the Revolving Credit Commitment and any Incremental Term Loans to share ratably in the benefits of this Agreement and the other Loan Documents and to include appropriately any Lenders under such increases in the Revolving Credit Commitment and any Incremental Term Loans in any determination of Required Lenders; provided that no such amendment shall adversely affect in any material respect the rights of any Lender, in each case, without the written consent of such Lender.</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13.3    </w:t>
      </w:r>
      <w:r>
        <w:rPr>
          <w:rFonts w:ascii="Times New Roman;sans-serif" w:hAnsi="Times New Roman;sans-serif"/>
          <w:b/>
          <w:color w:val="000000"/>
          <w:sz w:val="22"/>
          <w:u w:val="single"/>
        </w:rPr>
        <w:t>No Waiver; Cumulative Remedies; Enforcement</w:t>
      </w:r>
      <w:r>
        <w:rPr>
          <w:rFonts w:ascii="Times New Roman;sans-serif" w:hAnsi="Times New Roman;sans-serif"/>
          <w:b w:val="false"/>
          <w:color w:val="000000"/>
          <w:sz w:val="22"/>
        </w:rPr>
        <w:t>. No failure by any Lender, any Issuing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w:t>
      </w:r>
      <w:r>
        <w:rPr>
          <w:rFonts w:ascii="Times New Roman;sans-serif" w:hAnsi="Times New Roman;sans-serif"/>
          <w:b w:val="false"/>
          <w:color w:val="000000"/>
          <w:sz w:val="24"/>
          <w:u w:val="single"/>
        </w:rPr>
        <w:t>Section 11.2</w:t>
      </w:r>
      <w:r>
        <w:rPr>
          <w:color w:val="000000"/>
        </w:rPr>
        <w:t xml:space="preserve"> </w:t>
      </w:r>
      <w:r>
        <w:rPr>
          <w:rFonts w:ascii="Times New Roman;sans-serif" w:hAnsi="Times New Roman;sans-serif"/>
          <w:b w:val="false"/>
          <w:color w:val="000000"/>
          <w:sz w:val="24"/>
        </w:rPr>
        <w:t xml:space="preserve">for the benefit of all the Lenders and the Issuing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foregoing shall not prohibit (a) the Administrative Agent from exercising on its own behalf the rights and remedies that inure to its benefit (solely in its capacity as Administrative Agent) hereunder and under the other Loan Documents, (b) each Issuing Lender or the Swingline Lender from exercising the rights and remedies that inure to its benefit (solely in its capacity as Issuing Lender or Swingline Lender, as the case may be) hereunder and under the other Loan Documents, (c) any Lender from exercising setoff rights in accordance with </w:t>
      </w:r>
      <w:r>
        <w:rPr>
          <w:rFonts w:ascii="Times New Roman;sans-serif" w:hAnsi="Times New Roman;sans-serif"/>
          <w:b w:val="false"/>
          <w:color w:val="000000"/>
          <w:sz w:val="24"/>
          <w:u w:val="single"/>
        </w:rPr>
        <w:t>Section 13.5</w:t>
      </w:r>
      <w:r>
        <w:rPr>
          <w:color w:val="000000"/>
        </w:rPr>
        <w:t xml:space="preserve"> </w:t>
      </w:r>
      <w:r>
        <w:rPr>
          <w:rFonts w:ascii="Times New Roman;sans-serif" w:hAnsi="Times New Roman;sans-serif"/>
          <w:b w:val="false"/>
          <w:color w:val="000000"/>
          <w:sz w:val="24"/>
        </w:rPr>
        <w:t xml:space="preserve">(subject to the terms of </w:t>
      </w:r>
      <w:r>
        <w:rPr>
          <w:rFonts w:ascii="Times New Roman;sans-serif" w:hAnsi="Times New Roman;sans-serif"/>
          <w:b w:val="false"/>
          <w:color w:val="000000"/>
          <w:sz w:val="24"/>
          <w:u w:val="single"/>
        </w:rPr>
        <w:t>Section 4.6</w:t>
      </w:r>
      <w:r>
        <w:rPr>
          <w:rFonts w:ascii="Times New Roman;sans-serif" w:hAnsi="Times New Roman;sans-serif"/>
          <w:b w:val="false"/>
          <w:color w:val="000000"/>
          <w:sz w:val="24"/>
        </w:rPr>
        <w:t xml:space="preserve">), or (d) any Lender from filing proofs of claim or appearing and filing pleadings on its own behalf during the pendency of a proceeding relative to any Credit Party under any Debtor Relief Law;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ans-serif" w:hAnsi="Times New Roman;sans-serif"/>
          <w:b w:val="false"/>
          <w:color w:val="000000"/>
          <w:sz w:val="24"/>
          <w:u w:val="single"/>
        </w:rPr>
        <w:t>Section 11.2</w:t>
      </w:r>
      <w:r>
        <w:rPr>
          <w:color w:val="000000"/>
        </w:rPr>
        <w:t xml:space="preserve"> </w:t>
      </w:r>
      <w:r>
        <w:rPr>
          <w:rFonts w:ascii="Times New Roman;sans-serif" w:hAnsi="Times New Roman;sans-serif"/>
          <w:b w:val="false"/>
          <w:color w:val="000000"/>
          <w:sz w:val="24"/>
        </w:rPr>
        <w:t xml:space="preserve">and (ii) in addition to the matters set forth in clauses (b), (c) and (d) of the preceding proviso and subject to </w:t>
      </w:r>
      <w:r>
        <w:rPr>
          <w:rFonts w:ascii="Times New Roman;sans-serif" w:hAnsi="Times New Roman;sans-serif"/>
          <w:b w:val="false"/>
          <w:color w:val="000000"/>
          <w:sz w:val="24"/>
          <w:u w:val="single"/>
        </w:rPr>
        <w:t>Section 4.6</w:t>
      </w:r>
      <w:r>
        <w:rPr>
          <w:rFonts w:ascii="Times New Roman;sans-serif" w:hAnsi="Times New Roman;sans-serif"/>
          <w:b w:val="false"/>
          <w:color w:val="000000"/>
          <w:sz w:val="24"/>
        </w:rPr>
        <w:t>, any Lender may, with the consent of the Required Lenders, enforce any rights and remedies available to it and as authorized by the Required Lenders.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13.4    </w:t>
      </w:r>
      <w:r>
        <w:rPr>
          <w:rFonts w:ascii="Times New Roman;sans-serif" w:hAnsi="Times New Roman;sans-serif"/>
          <w:b/>
          <w:color w:val="000000"/>
          <w:sz w:val="22"/>
          <w:u w:val="single"/>
        </w:rPr>
        <w:t>Expenses; Indemnity; Damage Waiver</w:t>
      </w:r>
      <w:r>
        <w:rPr>
          <w:rFonts w:ascii="Times New Roman;sans-serif" w:hAnsi="Times New Roman;sans-serif"/>
          <w:b w:val="false"/>
          <w:color w:val="000000"/>
          <w:sz w:val="22"/>
        </w:rPr>
        <w:t>.</w:t>
      </w:r>
      <w:r>
        <w:rPr>
          <w:strike/>
          <w:color w:val="FF0000"/>
        </w:rPr>
        <w:t xml:space="preserve"> </w:t>
      </w:r>
      <w:r>
        <w:rPr>
          <w:rFonts w:ascii="Times New Roman;sans-serif" w:hAnsi="Times New Roman;sans-serif"/>
          <w:b/>
          <w:color w:val="000000"/>
          <w:sz w:val="22"/>
        </w:rPr>
        <w:t>In each case</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61"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xml:space="preserve">. The Credit Parties shall pay (i) all reasonable and documented </w:t>
      </w:r>
      <w:r>
        <w:rPr>
          <w:rFonts w:ascii="Times New Roman;sans-serif" w:hAnsi="Times New Roman;sans-serif"/>
          <w:b w:val="false"/>
          <w:strike/>
          <w:color w:val="FF0000"/>
          <w:sz w:val="22"/>
        </w:rPr>
        <w:t>out-of-pocket</w:t>
      </w:r>
      <w:r>
        <w:rPr>
          <w:rFonts w:ascii="Times New Roman;sans-serif" w:hAnsi="Times New Roman;sans-serif"/>
          <w:b w:val="false"/>
          <w:color w:val="0000FF"/>
          <w:sz w:val="22"/>
          <w:u w:val="single"/>
        </w:rPr>
        <w:t>out-of-pocket</w:t>
      </w:r>
      <w:r>
        <w:rPr>
          <w:color w:val="000000"/>
        </w:rPr>
        <w:t xml:space="preserve"> </w:t>
      </w:r>
      <w:r>
        <w:rPr>
          <w:rFonts w:ascii="Times New Roman;sans-serif" w:hAnsi="Times New Roman;sans-serif"/>
          <w:b w:val="false"/>
          <w:color w:val="000000"/>
          <w:sz w:val="22"/>
        </w:rPr>
        <w:t>expenses incurred by the Administrative Agent</w:t>
      </w:r>
      <w:r>
        <w:rPr>
          <w:strike/>
          <w:color w:val="FF0000"/>
        </w:rPr>
        <w:t xml:space="preserve"> </w:t>
      </w:r>
      <w:r>
        <w:rPr>
          <w:rFonts w:ascii="Times New Roman;sans-serif" w:hAnsi="Times New Roman;sans-serif"/>
          <w:b w:val="false"/>
          <w:strike/>
          <w:color w:val="FF0000"/>
          <w:sz w:val="22"/>
        </w:rPr>
        <w:t>and its</w:t>
      </w:r>
      <w:r>
        <w:rPr>
          <w:rFonts w:ascii="Times New Roman;sans-serif" w:hAnsi="Times New Roman;sans-serif"/>
          <w:b w:val="false"/>
          <w:color w:val="0000FF"/>
          <w:sz w:val="22"/>
          <w:u w:val="single"/>
        </w:rPr>
        <w:t>, the Sustainability Coordinator and their respective</w:t>
      </w:r>
      <w:r>
        <w:rPr>
          <w:color w:val="000000"/>
        </w:rPr>
        <w:t xml:space="preserve"> </w:t>
      </w:r>
      <w:r>
        <w:rPr>
          <w:rFonts w:ascii="Times New Roman;sans-serif" w:hAnsi="Times New Roman;sans-serif"/>
          <w:b w:val="false"/>
          <w:color w:val="000000"/>
          <w:sz w:val="22"/>
        </w:rPr>
        <w:t xml:space="preserve">Affiliates (including the reasonable fees, charges and disbursements of one primary counsel for the Administrative Agent and, if necessary, one firm of local counsel in each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w:t>
      </w:r>
      <w:r>
        <w:rPr>
          <w:rFonts w:ascii="Times New Roman;sans-serif" w:hAnsi="Times New Roman;sans-serif"/>
          <w:b w:val="false"/>
          <w:strike/>
          <w:color w:val="FF0000"/>
          <w:sz w:val="22"/>
        </w:rPr>
        <w:t>out-of-pocket</w:t>
      </w:r>
      <w:r>
        <w:rPr>
          <w:rFonts w:ascii="Times New Roman;sans-serif" w:hAnsi="Times New Roman;sans-serif"/>
          <w:b w:val="false"/>
          <w:color w:val="0000FF"/>
          <w:sz w:val="22"/>
          <w:u w:val="single"/>
        </w:rPr>
        <w:t>out-of-pocket</w:t>
      </w:r>
      <w:r>
        <w:rPr>
          <w:color w:val="000000"/>
        </w:rPr>
        <w:t xml:space="preserve"> </w:t>
      </w:r>
      <w:r>
        <w:rPr>
          <w:rFonts w:ascii="Times New Roman;sans-serif" w:hAnsi="Times New Roman;sans-serif"/>
          <w:b w:val="false"/>
          <w:color w:val="000000"/>
          <w:sz w:val="22"/>
        </w:rPr>
        <w:t xml:space="preserve">expenses incurred by any Issuing Lender in connection with the issuance, amendment, renewal or extension of any Letter of Credit or any demand for payment thereunder and (iii) all </w:t>
      </w:r>
      <w:r>
        <w:rPr>
          <w:rFonts w:ascii="Times New Roman;sans-serif" w:hAnsi="Times New Roman;sans-serif"/>
          <w:b w:val="false"/>
          <w:strike/>
          <w:color w:val="FF0000"/>
          <w:sz w:val="22"/>
        </w:rPr>
        <w:t>out-of-pocket</w:t>
      </w:r>
      <w:r>
        <w:rPr>
          <w:rFonts w:ascii="Times New Roman;sans-serif" w:hAnsi="Times New Roman;sans-serif"/>
          <w:b w:val="false"/>
          <w:color w:val="0000FF"/>
          <w:sz w:val="22"/>
          <w:u w:val="single"/>
        </w:rPr>
        <w:t>out-of-pocket</w:t>
      </w:r>
      <w:r>
        <w:rPr>
          <w:color w:val="000000"/>
        </w:rPr>
        <w:t xml:space="preserve"> </w:t>
      </w:r>
      <w:r>
        <w:rPr>
          <w:rFonts w:ascii="Times New Roman;sans-serif" w:hAnsi="Times New Roman;sans-serif"/>
          <w:b w:val="false"/>
          <w:color w:val="000000"/>
          <w:sz w:val="22"/>
        </w:rPr>
        <w:t xml:space="preserve">expenses incurred by the Administrative Agent, any Lender or any Issuing Lender (including the fees, charges and disbursements of any counsel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Loans made or Letters of Credit issued hereunder, including all such </w:t>
      </w:r>
      <w:r>
        <w:rPr>
          <w:rFonts w:ascii="Times New Roman;sans-serif" w:hAnsi="Times New Roman;sans-serif"/>
          <w:b w:val="false"/>
          <w:strike/>
          <w:color w:val="FF0000"/>
          <w:sz w:val="22"/>
        </w:rPr>
        <w:t>out-of-pocket</w:t>
      </w:r>
      <w:r>
        <w:rPr>
          <w:rFonts w:ascii="Times New Roman;sans-serif" w:hAnsi="Times New Roman;sans-serif"/>
          <w:b w:val="false"/>
          <w:color w:val="0000FF"/>
          <w:sz w:val="22"/>
          <w:u w:val="single"/>
        </w:rPr>
        <w:t>out-of-pocket</w:t>
      </w:r>
      <w:r>
        <w:rPr>
          <w:color w:val="000000"/>
        </w:rPr>
        <w:t xml:space="preserve"> </w:t>
      </w:r>
      <w:r>
        <w:rPr>
          <w:rFonts w:ascii="Times New Roman;sans-serif" w:hAnsi="Times New Roman;sans-serif"/>
          <w:b w:val="false"/>
          <w:color w:val="000000"/>
          <w:sz w:val="22"/>
        </w:rPr>
        <w:t>expenses incurred during any workout, restructuring or negotiations in respect of such Loans or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Indemnification by the Credit Parties</w:t>
      </w:r>
      <w:r>
        <w:rPr>
          <w:rFonts w:ascii="Times New Roman;sans-serif" w:hAnsi="Times New Roman;sans-serif"/>
          <w:b w:val="false"/>
          <w:color w:val="000000"/>
          <w:sz w:val="22"/>
        </w:rPr>
        <w:t xml:space="preserve">. The Credit Parties shall indemnify the Administrative Agent (and any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color w:val="000000"/>
        </w:rPr>
        <w:t xml:space="preserve"> </w:t>
      </w:r>
      <w:r>
        <w:rPr>
          <w:rFonts w:ascii="Times New Roman;sans-serif" w:hAnsi="Times New Roman;sans-serif"/>
          <w:b w:val="false"/>
          <w:color w:val="000000"/>
          <w:sz w:val="22"/>
        </w:rPr>
        <w:t>thereof)</w:t>
      </w:r>
      <w:r>
        <w:rPr>
          <w:rFonts w:ascii="Times New Roman;sans-serif" w:hAnsi="Times New Roman;sans-serif"/>
          <w:b w:val="false"/>
          <w:color w:val="0000FF"/>
          <w:sz w:val="22"/>
          <w:u w:val="single"/>
        </w:rPr>
        <w:t>, the Sustainability Coordinator</w:t>
      </w:r>
      <w:r>
        <w:rPr>
          <w:rFonts w:ascii="Times New Roman;sans-serif" w:hAnsi="Times New Roman;sans-serif"/>
          <w:b w:val="false"/>
          <w:color w:val="000000"/>
          <w:sz w:val="22"/>
        </w:rPr>
        <w:t>, each Lender and each Issuing Lender,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and related reasonable expenses (including the reasonable fees, charges and disbursements of any counsel for any Indemnitee;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such legal fees and expenses shall be limited to the reasonable and documented fees, disbursements and other </w:t>
      </w:r>
      <w:r>
        <w:rPr>
          <w:rFonts w:ascii="Times New Roman;sans-serif" w:hAnsi="Times New Roman;sans-serif"/>
          <w:b w:val="false"/>
          <w:strike/>
          <w:color w:val="FF0000"/>
          <w:sz w:val="22"/>
        </w:rPr>
        <w:t>out-of-pocket</w:t>
      </w:r>
      <w:r>
        <w:rPr>
          <w:rFonts w:ascii="Times New Roman;sans-serif" w:hAnsi="Times New Roman;sans-serif"/>
          <w:b w:val="false"/>
          <w:color w:val="0000FF"/>
          <w:sz w:val="22"/>
          <w:u w:val="single"/>
        </w:rPr>
        <w:t>out-of-pocket</w:t>
      </w:r>
      <w:r>
        <w:rPr>
          <w:color w:val="000000"/>
        </w:rPr>
        <w:t xml:space="preserve"> </w:t>
      </w:r>
      <w:r>
        <w:rPr>
          <w:rFonts w:ascii="Times New Roman;sans-serif" w:hAnsi="Times New Roman;sans-serif"/>
          <w:b w:val="false"/>
          <w:color w:val="000000"/>
          <w:sz w:val="22"/>
        </w:rPr>
        <w:t xml:space="preserve">charges of one primary counsel, one local counsel in each relevant jurisdiction, one specialty counsel for each relevant specialty, and one or more counsel to each group of affected Persons similarly situated if one or more conflicts of interest, or perceived conflicts of interest, arise), and shall indemnify and hold harmless each Indemnitee from all fees and time charges and disbursements for attorneys who may be employees of any Indemnitee, incurred by any Indemnitee or asserted against any Indemnitee by any Person (including the Company or any other Credit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color w:val="000000"/>
        </w:rPr>
        <w:t xml:space="preserve"> </w:t>
      </w:r>
      <w:r>
        <w:rPr>
          <w:rFonts w:ascii="Times New Roman;sans-serif" w:hAnsi="Times New Roman;sans-serif"/>
          <w:b w:val="false"/>
          <w:color w:val="000000"/>
          <w:sz w:val="22"/>
        </w:rPr>
        <w:t xml:space="preserve">thereof) and its Related Parties only, the administration of this Agreement and the other Loan Documents (including in respect of any matters addressed in </w:t>
      </w:r>
      <w:r>
        <w:rPr>
          <w:rFonts w:ascii="Times New Roman;sans-serif" w:hAnsi="Times New Roman;sans-serif"/>
          <w:b w:val="false"/>
          <w:color w:val="000000"/>
          <w:sz w:val="22"/>
          <w:u w:val="single"/>
        </w:rPr>
        <w:t>Section 4.11</w:t>
      </w:r>
      <w:r>
        <w:rPr>
          <w:rFonts w:ascii="Times New Roman;sans-serif" w:hAnsi="Times New Roman;sans-serif"/>
          <w:b w:val="false"/>
          <w:color w:val="000000"/>
          <w:sz w:val="22"/>
        </w:rPr>
        <w:t xml:space="preserve">), (ii) any Loan or Letter of Credit or the use or proposed use of the proceeds therefrom (including any refusal by an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Credit Party or any of its Restricted Subsidiaries, or any Environmental Claims related in any way to a Credit Party or any of its Restricted Subsidiaries, or (iv) any actual or prospective claim, litigation, investigation or proceeding relating to any of the foregoing, whether based on contract, tort or any other theory, whether brought by a third party or by the Company or any other Credit Party,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indemnity shall not, as to any </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62"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Indemnitee, be available to the extent that such losses, claims, damages, liabilities or related expenses (x) are determined by a court of competent jurisdiction by final and nonappealable judgment to have resulted from the bad faith, gross negligence or willful misconduct of such Indemnitee or (y) result from a claim brought by any Credit Party against an Indemnitee for a material breach in bad faith of such Indemnitee’s obligations hereunder or under any other Loan Document, if such Credit Party has obtained a final and nonappealable judgment in its favor on such claim as determined by a court of competent jurisdiction. Without limiting the provisions of </w:t>
      </w:r>
      <w:r>
        <w:rPr>
          <w:rFonts w:ascii="Times New Roman;sans-serif" w:hAnsi="Times New Roman;sans-serif"/>
          <w:b w:val="false"/>
          <w:color w:val="000000"/>
          <w:sz w:val="22"/>
          <w:u w:val="single"/>
        </w:rPr>
        <w:t>Section 4.11(c)</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13.4(b)</w:t>
      </w:r>
      <w:r>
        <w:rPr>
          <w:color w:val="000000"/>
        </w:rPr>
        <w:t xml:space="preserve"> </w:t>
      </w:r>
      <w:r>
        <w:rPr>
          <w:rFonts w:ascii="Times New Roman;sans-serif" w:hAnsi="Times New Roman;sans-serif"/>
          <w:b w:val="false"/>
          <w:color w:val="000000"/>
          <w:sz w:val="22"/>
        </w:rPr>
        <w:t xml:space="preserve">shall not apply with respect to Taxes other than any Taxes that represent losses, claims, damages, etc. arising from any </w:t>
      </w:r>
      <w:r>
        <w:rPr>
          <w:rFonts w:ascii="Times New Roman;sans-serif" w:hAnsi="Times New Roman;sans-serif"/>
          <w:b w:val="false"/>
          <w:strike/>
          <w:color w:val="FF0000"/>
          <w:sz w:val="22"/>
        </w:rPr>
        <w:t>non-Tax</w:t>
      </w:r>
      <w:r>
        <w:rPr>
          <w:rFonts w:ascii="Times New Roman;sans-serif" w:hAnsi="Times New Roman;sans-serif"/>
          <w:b w:val="false"/>
          <w:color w:val="0000FF"/>
          <w:sz w:val="22"/>
          <w:u w:val="single"/>
        </w:rPr>
        <w:t>non-Tax</w:t>
      </w:r>
      <w:r>
        <w:rPr>
          <w:color w:val="000000"/>
        </w:rPr>
        <w:t xml:space="preserve"> </w:t>
      </w:r>
      <w:r>
        <w:rPr>
          <w:rFonts w:ascii="Times New Roman;sans-serif" w:hAnsi="Times New Roman;sans-serif"/>
          <w:b w:val="false"/>
          <w:color w:val="000000"/>
          <w:sz w:val="22"/>
        </w:rPr>
        <w:t>claim.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Reimbursement by Lenders</w:t>
      </w:r>
      <w:r>
        <w:rPr>
          <w:rFonts w:ascii="Times New Roman;sans-serif" w:hAnsi="Times New Roman;sans-serif"/>
          <w:b w:val="false"/>
          <w:color w:val="000000"/>
          <w:sz w:val="22"/>
        </w:rPr>
        <w:t xml:space="preserve">. To the extent that the Company for any reason fails to indefeasibly pay any amount required under subsection (a) or (b) of this Section to be paid by it to the Administrative Agent (or any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color w:val="000000"/>
        </w:rPr>
        <w:t xml:space="preserve"> </w:t>
      </w:r>
      <w:r>
        <w:rPr>
          <w:rFonts w:ascii="Times New Roman;sans-serif" w:hAnsi="Times New Roman;sans-serif"/>
          <w:b w:val="false"/>
          <w:color w:val="000000"/>
          <w:sz w:val="22"/>
        </w:rPr>
        <w:t xml:space="preserve">thereof), any Issuing Lender, the Swingline Lender or any Related Party of any of the foregoing, each Lender severally agrees to pay to the Administrative Agent (or any such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rFonts w:ascii="Times New Roman;sans-serif" w:hAnsi="Times New Roman;sans-serif"/>
          <w:b w:val="false"/>
          <w:color w:val="000000"/>
          <w:sz w:val="22"/>
        </w:rPr>
        <w:t xml:space="preserve">), such Issuing Lender, the Swingline Lender or such Related Party, as the case may be, such Lender’s pro rata share (determined as of the time that the applicable unreimbursed expense or indemnity payment is sought based on each Lender’s share of the unused Commitments, the aggregate principal amount of outstanding Revolving Credit Loans and such Lender’s participation in L/C Obligations and Swingline Loans and the Outstanding Amount of all Term Loans at such time) of such unpaid amount (including any such unpaid amount in respect of a claim asserted by such Lender), such payment to be made severally among them based on such Lender’s Commitment Percentage (determined as of the time that the applicable unreimbursed expense or indemnity payment is sought),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the unreimbursed expense or indemnified loss, claim, damage, liability or related expense, as the case may be, was incurred by or asserted against the Administrative Agent (or any such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rFonts w:ascii="Times New Roman;sans-serif" w:hAnsi="Times New Roman;sans-serif"/>
          <w:b w:val="false"/>
          <w:color w:val="000000"/>
          <w:sz w:val="22"/>
        </w:rPr>
        <w:t xml:space="preserve">), each Issuing Lender or the Swingline Lender in its capacity as such, or against any Related Party of any of the foregoing acting for the Administrative Agent (or any such </w:t>
      </w:r>
      <w:r>
        <w:rPr>
          <w:rFonts w:ascii="Times New Roman;sans-serif" w:hAnsi="Times New Roman;sans-serif"/>
          <w:b w:val="false"/>
          <w:strike/>
          <w:color w:val="FF0000"/>
          <w:sz w:val="22"/>
        </w:rPr>
        <w:t>sub-agent</w:t>
      </w:r>
      <w:r>
        <w:rPr>
          <w:rFonts w:ascii="Times New Roman;sans-serif" w:hAnsi="Times New Roman;sans-serif"/>
          <w:b w:val="false"/>
          <w:color w:val="0000FF"/>
          <w:sz w:val="22"/>
          <w:u w:val="single"/>
        </w:rPr>
        <w:t>sub-agent</w:t>
      </w:r>
      <w:r>
        <w:rPr>
          <w:rFonts w:ascii="Times New Roman;sans-serif" w:hAnsi="Times New Roman;sans-serif"/>
          <w:b w:val="false"/>
          <w:color w:val="000000"/>
          <w:sz w:val="22"/>
        </w:rPr>
        <w:t xml:space="preserve">), each Issuing Lender or the Swingline Lender in connection with such capacity. The obligations of the Lenders under this subsection (c) are subject to the provisions of </w:t>
      </w:r>
      <w:r>
        <w:rPr>
          <w:rFonts w:ascii="Times New Roman;sans-serif" w:hAnsi="Times New Roman;sans-serif"/>
          <w:b w:val="false"/>
          <w:color w:val="000000"/>
          <w:sz w:val="22"/>
          <w:u w:val="single"/>
        </w:rPr>
        <w:t>Section 4.4(d)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Waiver of Consequential Damages, Etc</w:t>
      </w:r>
      <w:r>
        <w:rPr>
          <w:rFonts w:ascii="Times New Roman;sans-serif" w:hAnsi="Times New Roman;sans-serif"/>
          <w:b w:val="false"/>
          <w:color w:val="000000"/>
          <w:sz w:val="22"/>
        </w:rPr>
        <w:t xml:space="preserve">. To the fullest extent permitted by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Law, no Credit Party shall assert, and each Credit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All amounts due under this Section shall be payable not later than ten (10) Business Days after demand therefor.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The agreements in this Section and the indemnity provisions of </w:t>
      </w:r>
      <w:r>
        <w:rPr>
          <w:rFonts w:ascii="Times New Roman;sans-serif" w:hAnsi="Times New Roman;sans-serif"/>
          <w:b w:val="false"/>
          <w:color w:val="000000"/>
          <w:sz w:val="22"/>
          <w:u w:val="single"/>
        </w:rPr>
        <w:t>Section 13.1(e)</w:t>
      </w:r>
      <w:r>
        <w:rPr>
          <w:color w:val="000000"/>
        </w:rPr>
        <w:t xml:space="preserve"> </w:t>
      </w:r>
      <w:r>
        <w:rPr>
          <w:rFonts w:ascii="Times New Roman;sans-serif" w:hAnsi="Times New Roman;sans-serif"/>
          <w:b w:val="false"/>
          <w:color w:val="000000"/>
          <w:sz w:val="22"/>
        </w:rPr>
        <w:t xml:space="preserve">shall survive the resignation of the Administrative Agent, any Issuing Lender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63"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Swingline Lender, the replacement of any Lender, the termination of the Commitments and the repayment, satisfaction or discharge of all the other Obligations.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13.5    </w:t>
      </w:r>
      <w:r>
        <w:rPr>
          <w:rFonts w:ascii="Times New Roman;sans-serif" w:hAnsi="Times New Roman;sans-serif"/>
          <w:b/>
          <w:color w:val="000000"/>
          <w:sz w:val="22"/>
          <w:u w:val="single"/>
        </w:rPr>
        <w:t>Set-off</w:t>
      </w:r>
      <w:r>
        <w:rPr>
          <w:rFonts w:ascii="Times New Roman;sans-serif" w:hAnsi="Times New Roman;sans-serif"/>
          <w:b w:val="false"/>
          <w:color w:val="000000"/>
          <w:sz w:val="22"/>
        </w:rPr>
        <w:t xml:space="preserve">. If an Event of Default shall have occurred and be continuing, each Lender, each Issuing Lender, the Swingline Lender, and each of their respective Affiliates is hereby authorized at any time and from time to time, to the fullest extent permitted by Applicable Law, subject to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 xml:space="preserve">, to set off and apply any and all deposits (general or special, time or demand, provisional or final, in whatever currency), other than deposits in Blackbaud Payment Services Accounts, at any time held and other obligations (in whatever currency) at any time owing by such Lender, such Issuing Lender, the Swingline Lender, or any such Affiliate to or for the credit or the account of the Company or any other Credit Party against any and all of the obligations of the Company or such Credit Party now or hereafter existing under this Agreement or any other Loan Document to such Lender, such Issuing Lender, or the Swingline Lender, irrespective of whether or not such Lender, such Issuing Lender, or the Swingline Lender shall have made any demand under this Agreement or any other Loan Document and although such obligations of the Company or such Credit Party may be contingent or unmatured or are owed to a branch or office of such Lender, such Issuing Lender, or the Swingline Lender different from the branch or office holding such deposit or obligated on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that any Defaulting Lender shall exercise any such right of setoff, (i) all amounts so set off shall be paid over immediately to the Administrative Agent for further application in accordance with the provisions of </w:t>
      </w:r>
      <w:r>
        <w:rPr>
          <w:rFonts w:ascii="Times New Roman;sans-serif" w:hAnsi="Times New Roman;sans-serif"/>
          <w:b w:val="false"/>
          <w:color w:val="000000"/>
          <w:sz w:val="22"/>
          <w:u w:val="single"/>
        </w:rPr>
        <w:t>Section 4.14</w:t>
      </w:r>
      <w:r>
        <w:rPr>
          <w:color w:val="000000"/>
        </w:rPr>
        <w:t xml:space="preserve"> </w:t>
      </w:r>
      <w:r>
        <w:rPr>
          <w:rFonts w:ascii="Times New Roman;sans-serif" w:hAnsi="Times New Roman;sans-serif"/>
          <w:b w:val="false"/>
          <w:color w:val="000000"/>
          <w:sz w:val="22"/>
        </w:rPr>
        <w:t xml:space="preserve">and, pending such payment, shall be segregated by such Defaulting Lender from its other funds and deemed held in trust for the benefit of the Administrative Agent, the Issuing Lenders, the Swingline Lender, and the other Lenders, and (ii) the Defaulting Lender shall provide promptly to the Administrative Agent a statement describing in reasonable detail the Obligations owing to such Defaulting Lender as to which it exercised such right of setoff. The rights of each Lender, each Issuing Lender, the Swingline Lender, and their respective Affiliates under this Section are in addition to other rights and remedies (including other rights of setoff) that such Lender, such Issuing Lender, the Swingline Lender, or their respective Affiliates may have. Each Lender, each Issuing Lender, and the Swingline Lender, agrees to notify the Company and the Administrative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13.6    </w:t>
      </w:r>
      <w:r>
        <w:rPr>
          <w:rFonts w:ascii="Times New Roman;sans-serif" w:hAnsi="Times New Roman;sans-serif"/>
          <w:b/>
          <w:color w:val="000000"/>
          <w:sz w:val="22"/>
          <w:u w:val="single"/>
        </w:rPr>
        <w:t>Governing Law; Jurisdiction; Etc</w:t>
      </w:r>
      <w:r>
        <w:rPr>
          <w:rFonts w:ascii="Times New Roman;sans-serif" w:hAnsi="Times New Roman;sans-serif"/>
          <w:b w:val="false"/>
          <w:color w:val="000000"/>
          <w:sz w:val="22"/>
        </w:rPr>
        <w:t>.</w:t>
      </w:r>
      <w:r>
        <w:rPr>
          <w:strike/>
          <w:color w:val="FF0000"/>
          <w:u w:val="single"/>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SUBMISSION TO JURISDICTION</w:t>
      </w:r>
      <w:r>
        <w:rPr>
          <w:rFonts w:ascii="Times New Roman;sans-serif" w:hAnsi="Times New Roman;sans-serif"/>
          <w:b w:val="false"/>
          <w:color w:val="000000"/>
          <w:sz w:val="22"/>
        </w:rPr>
        <w:t xml:space="preserve">. THE COMPANY AND EACH OTHER CREDIT PARTY IRREVOCABLY AND UNCONDITIONALLY AGREES THAT IT WILL NOT COMMENCE ANY ACTION, LITIGATION OR PROCEEDING OF ANY KIND OR DESCRIPTION, WHETHER IN LAW OR EQUITY, WHETHER IN CONTRACT OR IN TORT OR OTHERWISE, AGAINST THE ADMINISTRATIVE AGENT, ANY LENDER, ANY ISSUING LENDER, OR ANY RELATED PARTY OF THE FOREGOING IN ANY WAY RELATING TO THIS AGREEMENT OR ANY OTHER LOAN DOCUMENT OR THE TRANSACTIONS RELATING HERETO OR THERETO, IN ANY FORUM OTHER THAN THE COURTS OF THE STATE OF NEW YORK SITTING IN NEW YORK COUNTY AND OF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64"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LENDER MAY OTHERWISE HAVE TO BRING ANY ACTION OR PROCEEDING RELATING TO THIS AGREEMENT OR ANY OTHER LOAN DOCUMENT AGAINST THE COMPANY OR ANY OTHER CREDIT PARTY OR ITS PROPERTIES IN THE COURTS OF ANY JURISDICTION.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WAIVER OF VENUE</w:t>
      </w:r>
      <w:r>
        <w:rPr>
          <w:rFonts w:ascii="Times New Roman;sans-serif" w:hAnsi="Times New Roman;sans-serif"/>
          <w:b w:val="false"/>
          <w:color w:val="000000"/>
          <w:sz w:val="22"/>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PARTY HERETO IRREVOCABLY AND UNCONDITIONALLY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SERVICE OF PROCESS</w:t>
      </w:r>
      <w:r>
        <w:rPr>
          <w:rFonts w:ascii="Times New Roman;sans-serif" w:hAnsi="Times New Roman;sans-serif"/>
          <w:b w:val="false"/>
          <w:color w:val="000000"/>
          <w:sz w:val="22"/>
        </w:rPr>
        <w:t xml:space="preserve">. EACH PARTY HERETO IRREVOCABLY CONSENTS TO SERVICE OF PROCESS IN THE MANNER PROVIDED FOR NOTICES IN </w:t>
      </w:r>
      <w:r>
        <w:rPr>
          <w:rFonts w:ascii="Times New Roman;sans-serif" w:hAnsi="Times New Roman;sans-serif"/>
          <w:b w:val="false"/>
          <w:color w:val="000000"/>
          <w:sz w:val="22"/>
          <w:u w:val="single"/>
        </w:rPr>
        <w:t>SECTION 13.1</w:t>
      </w:r>
      <w:r>
        <w:rPr>
          <w:rFonts w:ascii="Times New Roman;sans-serif" w:hAnsi="Times New Roman;sans-serif"/>
          <w:b w:val="false"/>
          <w:color w:val="000000"/>
          <w:sz w:val="22"/>
        </w:rPr>
        <w:t>. NOTHING IN THIS AGREEMENT WILL AFFECT THE RIGHT OF ANY PARTY HERETO TO SERVE PROCESS IN ANY OTHER MANNER PERMITTED BY APPLICABLE LAW.</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13.7    </w:t>
      </w:r>
      <w:r>
        <w:rPr>
          <w:rFonts w:ascii="Times New Roman;sans-serif" w:hAnsi="Times New Roman;sans-serif"/>
          <w:b/>
          <w:color w:val="000000"/>
          <w:sz w:val="22"/>
          <w:u w:val="single"/>
        </w:rPr>
        <w:t>Waiver of Jury Trial</w:t>
      </w:r>
      <w:r>
        <w:rPr>
          <w:rFonts w:ascii="Times New Roman;sans-serif" w:hAnsi="Times New Roman;sans-serif"/>
          <w:b w:val="false"/>
          <w:color w:val="000000"/>
          <w:sz w:val="22"/>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13.8    </w:t>
      </w:r>
      <w:r>
        <w:rPr>
          <w:rFonts w:ascii="Times New Roman;sans-serif" w:hAnsi="Times New Roman;sans-serif"/>
          <w:b/>
          <w:color w:val="000000"/>
          <w:sz w:val="22"/>
          <w:u w:val="single"/>
        </w:rPr>
        <w:t>Reversal of Payments</w:t>
      </w:r>
      <w:r>
        <w:rPr>
          <w:rFonts w:ascii="Times New Roman;sans-serif" w:hAnsi="Times New Roman;sans-serif"/>
          <w:b w:val="false"/>
          <w:color w:val="000000"/>
          <w:sz w:val="22"/>
        </w:rPr>
        <w:t xml:space="preserve">. To the extent a Borrower makes a payment or payments to the Administrative Agent for the ratable benefit of the Lenders or the Administrative Agent receives any payment or proceeds which payments or proceeds or any part thereof are subsequently invalidated, declared to be fraudulent or preferential, set aside and/or required to be repaid to a trustee, receiver or any other party under any bankruptcy law, state or federal law, common law or equitable cause, then, to the extent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65"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payment or proceeds repaid, the Obligations or part thereof intended to be satisfied shall be revived and continued in full force and effect as if such payment or proceeds had not been received by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13.9    </w:t>
      </w:r>
      <w:r>
        <w:rPr>
          <w:rFonts w:ascii="Times New Roman;sans-serif" w:hAnsi="Times New Roman;sans-serif"/>
          <w:b/>
          <w:color w:val="000000"/>
          <w:sz w:val="22"/>
          <w:u w:val="single"/>
        </w:rPr>
        <w:t>Successors and Assigns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The provisions of this Agreement and the other Loan Documents shall be binding upon and inure to the benefit of the parties hereto and thereto and their respective successors and assigns permitted hereby, except neither the Company nor any other Credit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Issuing Lenders and the Lenders) any legal or equitable right, remedy or claim under or by reason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assignees all or a portion of its rights and obligations under this Agreement and the other Loan Documents (including all or a portion of its Commitment(s) and the Loans (including for purposes of this subsection (b), participations in L/C Obligations and in Swingline Loans) at the time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each case with respect to any Facility) any such assignment shall be subject to the following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Minimum Amounts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be deemed to have given its consent five (5) Business Days after the date written notice thereof has been delivered by the assigning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66"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(through the Administrative Agent) unless such consent is expressly refused by the Company prior to such fifth (5th) Business Day.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clause (ii) shall not (A) apply to the Swingline Lender’s rights and obligations in respect of Swingline Loans or (B) prohibit any Lender from assigning all or a portion of its rights and obligations among separate Facilities on a </w:t>
      </w:r>
      <w:r>
        <w:rPr>
          <w:rFonts w:ascii="Times New Roman;sans-serif" w:hAnsi="Times New Roman;sans-serif"/>
          <w:b w:val="false"/>
          <w:strike/>
          <w:color w:val="FF0000"/>
          <w:sz w:val="22"/>
        </w:rPr>
        <w:t>non-pro</w:t>
      </w:r>
      <w:r>
        <w:rPr>
          <w:rFonts w:ascii="Times New Roman;sans-serif" w:hAnsi="Times New Roman;sans-serif"/>
          <w:b w:val="false"/>
          <w:color w:val="0000FF"/>
          <w:sz w:val="22"/>
          <w:u w:val="single"/>
        </w:rPr>
        <w:t>non-pro</w:t>
      </w:r>
      <w:r>
        <w:rPr>
          <w:color w:val="000000"/>
        </w:rPr>
        <w:t xml:space="preserve"> </w:t>
      </w:r>
      <w:r>
        <w:rPr>
          <w:rFonts w:ascii="Times New Roman;sans-serif" w:hAnsi="Times New Roman;sans-serif"/>
          <w:b w:val="false"/>
          <w:color w:val="000000"/>
          <w:sz w:val="22"/>
        </w:rPr>
        <w:t>rata basis.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No consent shall be required for any assignment except to the extent required by subsection (b)(i)(B) of this Section and, in addition: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be deemed to have consented to any such assignment unless it shall object thereto by written notice to the Administrative Agent within five (5) Business Days after having received notice thereof;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consent of the Administrative Agent (such consent not to be unreasonably withheld or delayed) shall be required for assignments in respect of (1) any unfunded Term Loan Commitment or Incremental Term Loan Commitment or any Revolving Credit Commitment if such assignment is to a Person that is not a Lender with a Commitment in respect of the applicable Facility, an Affiliate of such Lender or an Approved Fund with respect to such Lender or (2) any Term Loan or Incremental Term Loan to a Person that is not a Lender, an Affiliate of a Lender or an Approved Fund;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consent of the Issuing Lenders and the Swingline Lender shall be required for any assignment in respect of the Revolving Credit Facility.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(iv)    </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(v)    </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No such assignment shall be made (A) to the Company or any of the Company’s Affiliates 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(vi)    </w:t>
      </w:r>
      <w:r>
        <w:rPr>
          <w:rFonts w:ascii="Times New Roman;sans-serif" w:hAnsi="Times New Roman;sans-serif"/>
          <w:b w:val="false"/>
          <w:color w:val="000000"/>
          <w:sz w:val="22"/>
          <w:u w:val="single"/>
        </w:rPr>
        <w:t>Certain Additional Payments</w:t>
      </w:r>
      <w:r>
        <w:rPr>
          <w:rFonts w:ascii="Times New Roman;sans-serif" w:hAnsi="Times New Roman;sans-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67"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Issuing Lender or any Lender hereunder (and interest accrued thereon) and (B) acquire (and fund as appropriate) its full pro rata share of all Loans and participations in Letters of Credit and Swingline Loans in accordance with its Commitment Percentage. Notwithstanding the foregoing, in the event that any assignment of rights and obligations of any Defaulting Lender hereunder shall become effective under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0" w:after="240"/>
        <w:jc w:val="both"/>
        <w:rPr/>
      </w:pPr>
      <w:r>
        <w:rPr>
          <w:rFonts w:ascii="Times New Roman;sans-serif" w:hAnsi="Times New Roman;sans-serif"/>
          <w:b w:val="false"/>
          <w:color w:val="000000"/>
          <w:sz w:val="22"/>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Sections 4.9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4.11</w:t>
      </w:r>
      <w:r>
        <w:rPr>
          <w:color w:val="000000"/>
        </w:rPr>
        <w:t xml:space="preserve"> </w:t>
      </w:r>
      <w:r>
        <w:rPr>
          <w:rFonts w:ascii="Times New Roman;sans-serif" w:hAnsi="Times New Roman;sans-serif"/>
          <w:b w:val="false"/>
          <w:color w:val="000000"/>
          <w:sz w:val="22"/>
        </w:rPr>
        <w:t xml:space="preserve">(subject to the requirements thereof, including </w:t>
      </w:r>
      <w:r>
        <w:rPr>
          <w:rFonts w:ascii="Times New Roman;sans-serif" w:hAnsi="Times New Roman;sans-serif"/>
          <w:b w:val="false"/>
          <w:color w:val="000000"/>
          <w:sz w:val="22"/>
          <w:u w:val="single"/>
        </w:rPr>
        <w:t>Section 4.11(e)</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13.4</w:t>
      </w:r>
      <w:r>
        <w:rPr>
          <w:color w:val="000000"/>
        </w:rPr>
        <w:t xml:space="preserve"> </w:t>
      </w:r>
      <w:r>
        <w:rPr>
          <w:rFonts w:ascii="Times New Roman;sans-serif" w:hAnsi="Times New Roman;sans-serif"/>
          <w:b w:val="false"/>
          <w:color w:val="000000"/>
          <w:sz w:val="22"/>
        </w:rPr>
        <w:t xml:space="preserve">with respect to facts and circumstances occurring prior to the effective date of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xml:space="preserve">. The Administrative Agent, acting solely for this purpose as a </w:t>
      </w:r>
      <w:r>
        <w:rPr>
          <w:rFonts w:ascii="Times New Roman;sans-serif" w:hAnsi="Times New Roman;sans-serif"/>
          <w:b w:val="false"/>
          <w:strike/>
          <w:color w:val="FF0000"/>
          <w:sz w:val="22"/>
        </w:rPr>
        <w:t>non-fiduciary</w:t>
      </w:r>
      <w:r>
        <w:rPr>
          <w:rFonts w:ascii="Times New Roman;sans-serif" w:hAnsi="Times New Roman;sans-serif"/>
          <w:b w:val="false"/>
          <w:color w:val="0000FF"/>
          <w:sz w:val="22"/>
          <w:u w:val="single"/>
        </w:rPr>
        <w:t>non-fiduciary</w:t>
      </w:r>
      <w:r>
        <w:rPr>
          <w:color w:val="000000"/>
        </w:rPr>
        <w:t xml:space="preserve"> </w:t>
      </w:r>
      <w:r>
        <w:rPr>
          <w:rFonts w:ascii="Times New Roman;sans-serif" w:hAnsi="Times New Roman;sans-serif"/>
          <w:b w:val="false"/>
          <w:color w:val="000000"/>
          <w:sz w:val="22"/>
        </w:rPr>
        <w:t>agent of the Borrowers,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r>
        <w:rPr>
          <w:color w:val="0000FF"/>
          <w:u w:val="single"/>
        </w:rPr>
        <w:t xml:space="preserve"> </w:t>
      </w:r>
      <w:r>
        <w:rPr>
          <w:rFonts w:ascii="Times New Roman;sans-serif" w:hAnsi="Times New Roman;sans-serif"/>
          <w:b w:val="false"/>
          <w:color w:val="0000FF"/>
          <w:sz w:val="22"/>
          <w:u w:val="single"/>
        </w:rPr>
        <w:t>The parties intend that the Loans and L/C Obligations are treated as being maintained in “registered form” within the meaning of Sections 163(f), 871(h)(2) and 881(c)(2) of the Code and within the meaning of Sections 5f.103-1(c) and 1.871-14(c) of the United States Treasury Regulations, and this Section 13.9(c) shall be construed in a manner that gives effect to such intent.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xml:space="preserve">. Any Lender may at any time, without the consent of, or notice to, the Company or the Administrative Agent, sell participations to any Person (other than a natural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68"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Person, or a holding company, investment vehicle or trust for, or owned and operated for the primary benefit of a natural Person, a Defaulting Lender or the Company or any of the Company’s Affiliates or Subsidiaries) (each,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Lender’s obligations under this Agreement shall remain unchanged, (ii) such Lender shall remain solely responsible to the other parties hereto for the performance of such obligations and (iii) the Borrowers, the Administrative Agent, the Lenders and the Issuing Lenders shall continue to deal solely and directly with such Lender in connection with such Lender’s rights and obligations under this Agreement. For the avoidance of doubt, each Lender shall be responsible for the indemnity under </w:t>
      </w:r>
      <w:r>
        <w:rPr>
          <w:rFonts w:ascii="Times New Roman;sans-serif" w:hAnsi="Times New Roman;sans-serif"/>
          <w:b w:val="false"/>
          <w:color w:val="000000"/>
          <w:sz w:val="22"/>
          <w:u w:val="single"/>
        </w:rPr>
        <w:t>Section 13.4(c)</w:t>
      </w:r>
      <w:r>
        <w:rPr>
          <w:color w:val="000000"/>
        </w:rPr>
        <w:t xml:space="preserve"> </w:t>
      </w:r>
      <w:r>
        <w:rPr>
          <w:rFonts w:ascii="Times New Roman;sans-serif" w:hAnsi="Times New Roman;sans-serif"/>
          <w:b w:val="false"/>
          <w:color w:val="000000"/>
          <w:sz w:val="22"/>
        </w:rPr>
        <w:t>without regard to the existence of any participations.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waiver or other modification described in the first proviso to </w:t>
      </w:r>
      <w:r>
        <w:rPr>
          <w:rFonts w:ascii="Times New Roman;sans-serif" w:hAnsi="Times New Roman;sans-serif"/>
          <w:b w:val="false"/>
          <w:color w:val="000000"/>
          <w:sz w:val="22"/>
          <w:u w:val="single"/>
        </w:rPr>
        <w:t>Section 13.2</w:t>
      </w:r>
      <w:r>
        <w:rPr>
          <w:color w:val="000000"/>
        </w:rPr>
        <w:t xml:space="preserve"> </w:t>
      </w:r>
      <w:r>
        <w:rPr>
          <w:rFonts w:ascii="Times New Roman;sans-serif" w:hAnsi="Times New Roman;sans-serif"/>
          <w:b w:val="false"/>
          <w:color w:val="000000"/>
          <w:sz w:val="22"/>
        </w:rPr>
        <w:t xml:space="preserve">that affects such Participant. The Borrowers agree that each Participant shall be entitled to the benefits of </w:t>
      </w:r>
      <w:r>
        <w:rPr>
          <w:rFonts w:ascii="Times New Roman;sans-serif" w:hAnsi="Times New Roman;sans-serif"/>
          <w:b w:val="false"/>
          <w:color w:val="000000"/>
          <w:sz w:val="22"/>
          <w:u w:val="single"/>
        </w:rPr>
        <w:t>Sections 4.9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4.11</w:t>
      </w:r>
      <w:r>
        <w:rPr>
          <w:color w:val="000000"/>
        </w:rPr>
        <w:t xml:space="preserve"> </w:t>
      </w:r>
      <w:r>
        <w:rPr>
          <w:rFonts w:ascii="Times New Roman;sans-serif" w:hAnsi="Times New Roman;sans-serif"/>
          <w:b w:val="false"/>
          <w:color w:val="000000"/>
          <w:sz w:val="22"/>
        </w:rPr>
        <w:t xml:space="preserve">(subject to the requirements and limitations therein, including the requirements under </w:t>
      </w:r>
      <w:r>
        <w:rPr>
          <w:rFonts w:ascii="Times New Roman;sans-serif" w:hAnsi="Times New Roman;sans-serif"/>
          <w:b w:val="false"/>
          <w:color w:val="000000"/>
          <w:sz w:val="22"/>
          <w:u w:val="single"/>
        </w:rPr>
        <w:t>Section 4.11(e)</w:t>
      </w:r>
      <w:r>
        <w:rPr>
          <w:color w:val="000000"/>
        </w:rPr>
        <w:t xml:space="preserve"> </w:t>
      </w:r>
      <w:r>
        <w:rPr>
          <w:rFonts w:ascii="Times New Roman;sans-serif" w:hAnsi="Times New Roman;sans-serif"/>
          <w:b w:val="false"/>
          <w:color w:val="000000"/>
          <w:sz w:val="22"/>
        </w:rPr>
        <w:t xml:space="preserve">(it being understood that the documentation required under </w:t>
      </w:r>
      <w:r>
        <w:rPr>
          <w:rFonts w:ascii="Times New Roman;sans-serif" w:hAnsi="Times New Roman;sans-serif"/>
          <w:b w:val="false"/>
          <w:color w:val="000000"/>
          <w:sz w:val="22"/>
          <w:u w:val="single"/>
        </w:rPr>
        <w:t>Section 4.11(e)</w:t>
      </w:r>
      <w:r>
        <w:rPr>
          <w:color w:val="000000"/>
        </w:rPr>
        <w:t xml:space="preserve"> </w:t>
      </w:r>
      <w:r>
        <w:rPr>
          <w:rFonts w:ascii="Times New Roman;sans-serif" w:hAnsi="Times New Roman;sans-serif"/>
          <w:b w:val="false"/>
          <w:color w:val="000000"/>
          <w:sz w:val="22"/>
        </w:rPr>
        <w:t xml:space="preserve">shall be delivered to the Lender who sells the participation)) to the same extent as if it were a Lender and had acquired its interest by assignment pursuant to paragraph (b) of this Section;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 agrees to be subject to the provisions of </w:t>
      </w:r>
      <w:r>
        <w:rPr>
          <w:rFonts w:ascii="Times New Roman;sans-serif" w:hAnsi="Times New Roman;sans-serif"/>
          <w:b w:val="false"/>
          <w:color w:val="000000"/>
          <w:sz w:val="22"/>
          <w:u w:val="single"/>
        </w:rPr>
        <w:t>Sections 4.12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13.13</w:t>
      </w:r>
      <w:r>
        <w:rPr>
          <w:color w:val="000000"/>
        </w:rPr>
        <w:t xml:space="preserve"> </w:t>
      </w:r>
      <w:r>
        <w:rPr>
          <w:rFonts w:ascii="Times New Roman;sans-serif" w:hAnsi="Times New Roman;sans-serif"/>
          <w:b w:val="false"/>
          <w:color w:val="000000"/>
          <w:sz w:val="22"/>
        </w:rPr>
        <w:t xml:space="preserve">as if it were an assignee under paragraph (b) of this Section and (B) shall not be entitled to receive any greater payment under </w:t>
      </w:r>
      <w:r>
        <w:rPr>
          <w:rFonts w:ascii="Times New Roman;sans-serif" w:hAnsi="Times New Roman;sans-serif"/>
          <w:b w:val="false"/>
          <w:color w:val="000000"/>
          <w:sz w:val="22"/>
          <w:u w:val="single"/>
        </w:rPr>
        <w:t>Sections 4.10</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4.11</w:t>
      </w:r>
      <w:r>
        <w:rPr>
          <w:rFonts w:ascii="Times New Roman;sans-serif" w:hAnsi="Times New Roman;sans-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sans-serif" w:hAnsi="Times New Roman;sans-serif"/>
          <w:b w:val="false"/>
          <w:color w:val="000000"/>
          <w:sz w:val="22"/>
          <w:u w:val="single"/>
        </w:rPr>
        <w:t>Section 4.12</w:t>
      </w:r>
      <w:r>
        <w:rPr>
          <w:color w:val="000000"/>
        </w:rPr>
        <w:t xml:space="preserve"> </w:t>
      </w:r>
      <w:r>
        <w:rPr>
          <w:rFonts w:ascii="Times New Roman;sans-serif" w:hAnsi="Times New Roman;sans-serif"/>
          <w:b w:val="false"/>
          <w:color w:val="000000"/>
          <w:sz w:val="22"/>
        </w:rPr>
        <w:t xml:space="preserve">with respect to any Participant. To the extent permitted by law, each Participant also shall be entitled to the benefits of </w:t>
      </w:r>
      <w:r>
        <w:rPr>
          <w:rFonts w:ascii="Times New Roman;sans-serif" w:hAnsi="Times New Roman;sans-serif"/>
          <w:b w:val="false"/>
          <w:color w:val="000000"/>
          <w:sz w:val="22"/>
          <w:u w:val="single"/>
        </w:rPr>
        <w:t>Section 13.5</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agrees to be subject to </w:t>
      </w:r>
      <w:r>
        <w:rPr>
          <w:rFonts w:ascii="Times New Roman;sans-serif" w:hAnsi="Times New Roman;sans-serif"/>
          <w:b w:val="false"/>
          <w:color w:val="000000"/>
          <w:sz w:val="22"/>
          <w:u w:val="single"/>
        </w:rPr>
        <w:t>Section 4.6</w:t>
      </w:r>
      <w:r>
        <w:rPr>
          <w:color w:val="000000"/>
        </w:rPr>
        <w:t xml:space="preserve"> </w:t>
      </w:r>
      <w:r>
        <w:rPr>
          <w:rFonts w:ascii="Times New Roman;sans-serif" w:hAnsi="Times New Roman;sans-serif"/>
          <w:b w:val="false"/>
          <w:color w:val="000000"/>
          <w:sz w:val="22"/>
        </w:rPr>
        <w:t xml:space="preserve">as though it were a Lender. Each Lender that sells a participation shall, acting solely for this purpose as a </w:t>
      </w:r>
      <w:r>
        <w:rPr>
          <w:rFonts w:ascii="Times New Roman;sans-serif" w:hAnsi="Times New Roman;sans-serif"/>
          <w:b w:val="false"/>
          <w:strike/>
          <w:color w:val="FF0000"/>
          <w:sz w:val="22"/>
        </w:rPr>
        <w:t>non-fiduciary</w:t>
      </w:r>
      <w:r>
        <w:rPr>
          <w:rFonts w:ascii="Times New Roman;sans-serif" w:hAnsi="Times New Roman;sans-serif"/>
          <w:b w:val="false"/>
          <w:color w:val="0000FF"/>
          <w:sz w:val="22"/>
          <w:u w:val="single"/>
        </w:rPr>
        <w:t>non-fiduciary</w:t>
      </w:r>
      <w:r>
        <w:rPr>
          <w:color w:val="000000"/>
        </w:rPr>
        <w:t xml:space="preserve"> </w:t>
      </w:r>
      <w:r>
        <w:rPr>
          <w:rFonts w:ascii="Times New Roman;sans-serif" w:hAnsi="Times New Roman;sans-serif"/>
          <w:b w:val="false"/>
          <w:color w:val="000000"/>
          <w:sz w:val="22"/>
        </w:rPr>
        <w:t>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w:t>
      </w:r>
      <w:r>
        <w:rPr>
          <w:rFonts w:ascii="Times New Roman;sans-serif" w:hAnsi="Times New Roman;sans-serif"/>
          <w:b w:val="false"/>
          <w:strike/>
          <w:color w:val="FF0000"/>
          <w:sz w:val="22"/>
        </w:rPr>
        <w:t>under</w:t>
      </w:r>
      <w:r>
        <w:rPr>
          <w:rFonts w:ascii="Times New Roman;sans-serif" w:hAnsi="Times New Roman;sans-serif"/>
          <w:b w:val="false"/>
          <w:color w:val="0000FF"/>
          <w:sz w:val="22"/>
          <w:u w:val="single"/>
        </w:rPr>
        <w:t>within the meaning of</w:t>
      </w:r>
      <w:r>
        <w:rPr>
          <w:color w:val="000000"/>
        </w:rPr>
        <w:t xml:space="preserve"> </w:t>
      </w:r>
      <w:r>
        <w:rPr>
          <w:rFonts w:ascii="Times New Roman;sans-serif" w:hAnsi="Times New Roman;sans-serif"/>
          <w:b w:val="false"/>
          <w:color w:val="000000"/>
          <w:sz w:val="22"/>
        </w:rPr>
        <w:t xml:space="preserve">Section </w:t>
      </w:r>
      <w:r>
        <w:rPr>
          <w:rFonts w:ascii="Times New Roman;sans-serif" w:hAnsi="Times New Roman;sans-serif"/>
          <w:b w:val="false"/>
          <w:color w:val="0000FF"/>
          <w:sz w:val="22"/>
          <w:u w:val="single"/>
        </w:rPr>
        <w:t xml:space="preserve">163(f), 871(h)(2) and 881(c)(2) of the Code and within the meaning of Sections </w:t>
      </w:r>
      <w:r>
        <w:rPr>
          <w:rFonts w:ascii="Times New Roman;sans-serif" w:hAnsi="Times New Roman;sans-serif"/>
          <w:b w:val="false"/>
          <w:color w:val="000000"/>
          <w:sz w:val="22"/>
        </w:rPr>
        <w:t xml:space="preserve">5f.103-1(c) </w:t>
      </w:r>
      <w:r>
        <w:rPr>
          <w:rFonts w:ascii="Times New Roman;sans-serif" w:hAnsi="Times New Roman;sans-serif"/>
          <w:b w:val="false"/>
          <w:color w:val="0000FF"/>
          <w:sz w:val="22"/>
          <w:u w:val="single"/>
        </w:rPr>
        <w:t xml:space="preserve">and 1.871-14 </w:t>
      </w:r>
      <w:r>
        <w:rPr>
          <w:rFonts w:ascii="Times New Roman;sans-serif" w:hAnsi="Times New Roman;sans-serif"/>
          <w:b w:val="false"/>
          <w:color w:val="000000"/>
          <w:sz w:val="22"/>
        </w:rPr>
        <w:t>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r>
        <w:rPr>
          <w:color w:val="0000FF"/>
          <w:u w:val="single"/>
        </w:rPr>
        <w:t xml:space="preserve"> </w:t>
      </w:r>
      <w:r>
        <w:rPr>
          <w:rFonts w:ascii="Times New Roman;sans-serif" w:hAnsi="Times New Roman;sans-serif"/>
          <w:b w:val="false"/>
          <w:color w:val="0000FF"/>
          <w:sz w:val="22"/>
          <w:u w:val="single"/>
        </w:rPr>
        <w:t xml:space="preserve">The parties intend that the Loans and L/C Obligations are treated as being maintained in “registered form” within the meaning of Sections 163(f), 871(h)(2) and 881(c)(2) of the Code and within the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69"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meaning of Sections 5f.103-1(c) and 1.871-14(c) of the United States Treasury Regulations, and this Section 13.9(d) shall be construed in a manner that gives effect to such intent.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Resignation as Issuing Lender or Swingline Lender after Assignment</w:t>
      </w:r>
      <w:r>
        <w:rPr>
          <w:rFonts w:ascii="Times New Roman;sans-serif" w:hAnsi="Times New Roman;sans-serif"/>
          <w:b w:val="false"/>
          <w:color w:val="000000"/>
          <w:sz w:val="22"/>
        </w:rPr>
        <w:t xml:space="preserve">. Notwithstanding anything to the contrary contained herein, if at any time Bank of America or any other Revolving Credit Lender assigns all of its Revolving Credit Commitment and Revolving Credit Loans pursuant to subsection (b) above, Bank of America or such other Revolving Credit Lender may, (i) upon thirty (30) days’ notice to the Borrower and the Lenders, resign as Issuing Lender and/or (ii) upon thirty (30) days’ notice to the Borrower, resign as Swingline Lender. In the event of any such resignation as Issuing Lender or Swingline Lender, the Borrower shall be entitled to appoint from among the Lenders a successor Issuing Lender or Swingline Lender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 failure by the Borrower to appoint any such successor shall affect the resignation of Bank of America or such other Revolving Credit Lender as Issuing Lender or Swingline Lender, as the case may be. If Bank of America or such other Revolving Credit Lender resigns as Issuing Lender, it shall retain all the rights, powers, privileges and duties of an Issuing Lender hereunder with respect to all applicable Letters of Credit outstanding as of the effective date of its resignation as Issuing Lender and all applicable L/C Obligations with respect thereto (including the right to require the Lenders to make Base Rate Loans or fund risk participations in Unreimbursed Amounts pursuant to </w:t>
      </w:r>
      <w:r>
        <w:rPr>
          <w:rFonts w:ascii="Times New Roman;sans-serif" w:hAnsi="Times New Roman;sans-serif"/>
          <w:b w:val="false"/>
          <w:color w:val="000000"/>
          <w:sz w:val="22"/>
          <w:u w:val="single"/>
        </w:rPr>
        <w:t>Section 2.3(c)</w:t>
      </w:r>
      <w:r>
        <w:rPr>
          <w:rFonts w:ascii="Times New Roman;sans-serif" w:hAnsi="Times New Roman;sans-serif"/>
          <w:b w:val="false"/>
          <w:color w:val="000000"/>
          <w:sz w:val="22"/>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sans-serif" w:hAnsi="Times New Roman;sans-serif"/>
          <w:b w:val="false"/>
          <w:color w:val="000000"/>
          <w:sz w:val="22"/>
          <w:u w:val="single"/>
        </w:rPr>
        <w:t>Section 2.4(c)</w:t>
      </w:r>
      <w:r>
        <w:rPr>
          <w:rFonts w:ascii="Times New Roman;sans-serif" w:hAnsi="Times New Roman;sans-serif"/>
          <w:b w:val="false"/>
          <w:color w:val="000000"/>
          <w:sz w:val="22"/>
        </w:rPr>
        <w:t>. Upon the appointment of a successor Issuing Lender and/or Swingline Lender, (A) such successor shall succeed to and become vested with all of the rights, powers, privileges and duties of the retiring Issuing Lender or Swingline Lender, as the case may be, and (B) the successor Issuing Lender shall issue letters of credit in substitution for the applicable Letters of Credit, if any, outstanding at the time of such succession or make other arrangements satisfactory to Bank of America or such other Revolving Credit Lender to effectively assume the obligations of Bank of America or such other Revolving Credit Lender with respect to such Letters of Credit.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Disqualified Institutions</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No assignment or, to the extent the DQ List has been posted on the Platform for all Lenders, participation shall be made to any Person that was a Disqualified Institution as of the date (the “</w:t>
      </w:r>
      <w:r>
        <w:rPr>
          <w:rFonts w:ascii="Times New Roman;sans-serif" w:hAnsi="Times New Roman;sans-serif"/>
          <w:b w:val="false"/>
          <w:color w:val="000000"/>
          <w:sz w:val="22"/>
          <w:u w:val="single"/>
        </w:rPr>
        <w:t>Trade Date</w:t>
      </w:r>
      <w:r>
        <w:rPr>
          <w:color w:val="000000"/>
        </w:rPr>
        <w:t>”</w:t>
      </w:r>
      <w:r>
        <w:rPr>
          <w:rFonts w:ascii="Times New Roman;sans-serif" w:hAnsi="Times New Roman;sans-serif"/>
          <w:b w:val="false"/>
          <w:color w:val="000000"/>
          <w:sz w:val="22"/>
        </w:rPr>
        <w:t xml:space="preserve">) on which the applicable Lender entered into a binding agreement to sell and assign or participate all or a portion of its rights and obligations under this Agreement to such Person (unless the Company has consented to such assignment as otherwise contemplated by this </w:t>
      </w:r>
      <w:r>
        <w:rPr>
          <w:rFonts w:ascii="Times New Roman;sans-serif" w:hAnsi="Times New Roman;sans-serif"/>
          <w:b w:val="false"/>
          <w:color w:val="000000"/>
          <w:sz w:val="22"/>
          <w:u w:val="single"/>
        </w:rPr>
        <w:t>Section 13.9</w:t>
      </w:r>
      <w:r>
        <w:rPr>
          <w:color w:val="000000"/>
        </w:rPr>
        <w:t xml:space="preserve"> </w:t>
      </w:r>
      <w:r>
        <w:rPr>
          <w:rFonts w:ascii="Times New Roman;sans-serif" w:hAnsi="Times New Roman;sans-serif"/>
          <w:b w:val="false"/>
          <w:color w:val="000000"/>
          <w:sz w:val="22"/>
        </w:rPr>
        <w:t xml:space="preserve">or a Payment Event of Default or a Bankruptcy Event of Default has occurred and is continuing at the time of such assignment, in which case such Person will not be considered a Disqualified Institution for the purpose of such assignment). For the avoidance of doubt, with respect to any assignee or participant that becomes a Disqualified Institution after the applicable Trade Date (including as a result of the delivery of a notice pursuant to, and/or the expiration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70"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notice period referred to in, the definition of “Disqualified Institution”), such assignee shall not retroactively be considered a Disqualified Institution. Any assignment in violation of this clause (g)(i) shall not be void, but the other provisions of this clause (g) shall apply.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    If any assignment is made to any Disqualified Institution without the Company’s prior consent in violation of clause (i) above, the Company may, at its sole expense and effort, upon notice to the applicable Disqualified Institution and the Administrative Agent, (A) terminate any Revolving Credit Commitment of such Disqualified Institution and repay all obligations of the Borrowers owing to such Disqualified Institution in connection with such Revolving Credit Commitment, (B) in the case of outstanding Term Loans held by Disqualified Institutions, prepay such Term Loan by paying the lesser of (x) the principal amount thereof and (y) the amount that such Disqualified Institution paid to acquire such Term Loans,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sans-serif" w:hAnsi="Times New Roman;sans-serif"/>
          <w:b w:val="false"/>
          <w:color w:val="000000"/>
          <w:sz w:val="22"/>
          <w:u w:val="single"/>
        </w:rPr>
        <w:t>Section 13.9</w:t>
      </w:r>
      <w:r>
        <w:rPr>
          <w:rFonts w:ascii="Times New Roman;sans-serif" w:hAnsi="Times New Roman;sans-serif"/>
          <w:b w:val="false"/>
          <w:color w:val="000000"/>
          <w:sz w:val="22"/>
        </w:rPr>
        <w:t xml:space="preserve">), all of its interest, rights and obligations under this Agreement and related Loan Documents to an Eligible Assignee that shall assume such obligations at the lesser of (x) the principal amount thereof and (y) the amount that such Disqualified Institution paid to acquire such interests, rights and obligations,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accrued interest, accrued fees and all other amounts (other than principal amounts) payable to it hereunder and other the other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Company shall have paid to the Administrative Agent the assignment fee (if any) specified in </w:t>
      </w:r>
      <w:r>
        <w:rPr>
          <w:rFonts w:ascii="Times New Roman;sans-serif" w:hAnsi="Times New Roman;sans-serif"/>
          <w:b w:val="false"/>
          <w:color w:val="000000"/>
          <w:sz w:val="22"/>
          <w:u w:val="single"/>
        </w:rPr>
        <w:t>Section 13.9(b)</w:t>
      </w:r>
      <w:r>
        <w:rPr>
          <w:rFonts w:ascii="Times New Roman;sans-serif" w:hAnsi="Times New Roman;sans-serif"/>
          <w:b w:val="false"/>
          <w:color w:val="000000"/>
          <w:sz w:val="22"/>
        </w:rPr>
        <w:t xml:space="preserve">, (ii) such assignment does not conflict with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Laws and (iii) in the case of clause (B), the Borrowers shall not use the proceeds from any Loans to prepay Term Loans held by Disqualified Institutions.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Notwithstanding anything to the contrary contained in this Agreement, Disqualified Institutions (A) will not (x) have the right to receive information, reports or other materials provided to Lenders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w:t>
      </w:r>
      <w:r>
        <w:rPr>
          <w:rFonts w:ascii="Times New Roman;sans-serif" w:hAnsi="Times New Roman;sans-serif"/>
          <w:b w:val="false"/>
          <w:color w:val="000000"/>
          <w:sz w:val="22"/>
          <w:u w:val="single"/>
        </w:rPr>
        <w:t>Plan of Reorganization</w:t>
      </w:r>
      <w:r>
        <w:rPr>
          <w:color w:val="000000"/>
        </w:rPr>
        <w:t>”</w:t>
      </w:r>
      <w:r>
        <w:rPr>
          <w:rFonts w:ascii="Times New Roman;sans-serif" w:hAnsi="Times New Roman;sans-serif"/>
          <w:b w:val="false"/>
          <w:color w:val="000000"/>
          <w:sz w:val="22"/>
        </w:rPr>
        <w:t>),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71"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The Administrative Agent shall have the right, and the Company hereby expressly authorizes the Administrative Agent, to (A) post the DQ List on the Platform, including that portion of the Platform that is designated for “public side” Lenders or (B) provide the DQ List to each Lender requesting the same.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13.10    </w:t>
      </w:r>
      <w:r>
        <w:rPr>
          <w:rFonts w:ascii="Times New Roman;sans-serif" w:hAnsi="Times New Roman;sans-serif"/>
          <w:b/>
          <w:color w:val="000000"/>
          <w:sz w:val="22"/>
          <w:u w:val="single"/>
        </w:rPr>
        <w:t>Treatment of Certain Information; Confidentiality</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Treatment of Certain Information</w:t>
      </w:r>
      <w:r>
        <w:rPr>
          <w:rFonts w:ascii="Times New Roman;sans-serif" w:hAnsi="Times New Roman;sans-serif"/>
          <w:b w:val="false"/>
          <w:color w:val="000000"/>
          <w:sz w:val="22"/>
        </w:rPr>
        <w:t>. Each of the Administrative Agent</w:t>
      </w:r>
      <w:r>
        <w:rPr>
          <w:rFonts w:ascii="Times New Roman;sans-serif" w:hAnsi="Times New Roman;sans-serif"/>
          <w:b w:val="false"/>
          <w:color w:val="0000FF"/>
          <w:sz w:val="22"/>
          <w:u w:val="single"/>
        </w:rPr>
        <w:t>, the Sustainability Coordinator</w:t>
      </w:r>
      <w:r>
        <w:rPr>
          <w:rFonts w:ascii="Times New Roman;sans-serif" w:hAnsi="Times New Roman;sans-serif"/>
          <w:b w:val="false"/>
          <w:color w:val="000000"/>
          <w:sz w:val="22"/>
        </w:rPr>
        <w:t xml:space="preserve">, the Lenders and the Issuing Lenders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w:t>
      </w:r>
      <w:r>
        <w:rPr>
          <w:rFonts w:ascii="Times New Roman;sans-serif" w:hAnsi="Times New Roman;sans-serif"/>
          <w:b w:val="false"/>
          <w:strike/>
          <w:color w:val="FF0000"/>
          <w:sz w:val="22"/>
        </w:rPr>
        <w:t>self-regulatory</w:t>
      </w:r>
      <w:r>
        <w:rPr>
          <w:rFonts w:ascii="Times New Roman;sans-serif" w:hAnsi="Times New Roman;sans-serif"/>
          <w:b w:val="false"/>
          <w:color w:val="0000FF"/>
          <w:sz w:val="22"/>
          <w:u w:val="single"/>
        </w:rPr>
        <w:t>self-regulatory</w:t>
      </w:r>
      <w:r>
        <w:rPr>
          <w:color w:val="000000"/>
        </w:rPr>
        <w:t xml:space="preserve"> </w:t>
      </w:r>
      <w:r>
        <w:rPr>
          <w:rFonts w:ascii="Times New Roman;sans-serif" w:hAnsi="Times New Roman;sans-serif"/>
          <w:b w:val="false"/>
          <w:color w:val="000000"/>
          <w:sz w:val="22"/>
        </w:rPr>
        <w:t xml:space="preserve">authority, such as the National Association of Insurance Commissioners), (iii) to the extent required by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 xml:space="preserve">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any Eligible Assignee invited to be a Lender pursuant to </w:t>
      </w:r>
      <w:r>
        <w:rPr>
          <w:rFonts w:ascii="Times New Roman;sans-serif" w:hAnsi="Times New Roman;sans-serif"/>
          <w:b w:val="false"/>
          <w:color w:val="000000"/>
          <w:sz w:val="22"/>
          <w:u w:val="single"/>
        </w:rPr>
        <w:t>Section 2.8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2.9</w:t>
      </w:r>
      <w:r>
        <w:rPr>
          <w:color w:val="000000"/>
        </w:rPr>
        <w:t xml:space="preserve"> </w:t>
      </w:r>
      <w:r>
        <w:rPr>
          <w:rFonts w:ascii="Times New Roman;sans-serif" w:hAnsi="Times New Roman;sans-serif"/>
          <w:b w:val="false"/>
          <w:color w:val="000000"/>
          <w:sz w:val="22"/>
        </w:rPr>
        <w:t xml:space="preserve">or (B) any actual or prospective party (or its Related Parties) to any swap, derivative or other transaction under which payments are to be made by reference to a Borrower and its obligations, this Agreement or payments hereunder (it being understood that the DQ List may be disclosed to any assignee or Participant, or prospective assignee or Participant, in reliance on this clause (vi)), (vii) on a confidential basis to (A) any rating agency in connection with rating the Company or its Subsidiaries or the credit facilities provided hereunder or (B) the provider of any Platform or other electronic delivery service used by the Administrative Agent, any Issuing Lender and/or the Swingline Lender to deliver Borrower Materials or notices to the Lenders or (C) the CUSIP Service Bureau or any similar agency in connection with the issuance and monitoring of CUSIP numbers or other market identifiers with respect to the credit facilities provided hereunder, or (viii) with the consent of the Company or to the extent such Information (1) becomes publicly available other than as a result of a breach of this Section, (2) becomes available to the Administrative Agent,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any Lender, any Issuing Lender or any of their respective Affiliates on a nonconfidential basis from a source other than the Company or (3) is independently discovered or developed by a party thereto without utilizing any Information received from the Company or violating the terms of this Section. For purposes of this Section, “</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means all information received from the Company or any Restricted Subsidiary relating to the Company or any Restricted Subsidiary or any of their respective businesses, other than any such information that is available to the Administrative Agent,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 xml:space="preserve">any Lender or any Issuing Lender on a nonconfidential basis prior to disclosure by the Company or any 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information received from the Company or any Restricted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 xml:space="preserve">and the Lenders may disclose the existence of this Agreement and information about this Agreement to market data collectors, similar service providers to the lending industry and service providers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72"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Administrative Agent, agents</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and the Lenders in connection with the administration of this Agreement, the other Loan Documents and the Commitments.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strike/>
          <w:color w:val="FF0000"/>
          <w:sz w:val="22"/>
          <w:u w:val="single"/>
        </w:rPr>
        <w:t>Non-Public</w:t>
      </w:r>
      <w:r>
        <w:rPr>
          <w:rFonts w:ascii="Times New Roman;sans-serif" w:hAnsi="Times New Roman;sans-serif"/>
          <w:b w:val="false"/>
          <w:color w:val="0000FF"/>
          <w:sz w:val="22"/>
          <w:u w:val="single"/>
        </w:rPr>
        <w:t>Non-Public</w:t>
      </w:r>
      <w:r>
        <w:rPr>
          <w:color w:val="000000"/>
          <w:u w:val="single"/>
        </w:rPr>
        <w:t xml:space="preserve"> </w:t>
      </w:r>
      <w:r>
        <w:rPr>
          <w:rFonts w:ascii="Times New Roman;sans-serif" w:hAnsi="Times New Roman;sans-serif"/>
          <w:b w:val="false"/>
          <w:color w:val="000000"/>
          <w:sz w:val="22"/>
          <w:u w:val="single"/>
        </w:rPr>
        <w:t>Information</w:t>
      </w:r>
      <w:r>
        <w:rPr>
          <w:rFonts w:ascii="Times New Roman;sans-serif" w:hAnsi="Times New Roman;sans-serif"/>
          <w:b w:val="false"/>
          <w:color w:val="000000"/>
          <w:sz w:val="22"/>
        </w:rPr>
        <w:t>. Each of the Administrative Agent</w:t>
      </w:r>
      <w:r>
        <w:rPr>
          <w:rFonts w:ascii="Times New Roman;sans-serif" w:hAnsi="Times New Roman;sans-serif"/>
          <w:b w:val="false"/>
          <w:color w:val="0000FF"/>
          <w:sz w:val="22"/>
          <w:u w:val="single"/>
        </w:rPr>
        <w:t>, the Sustainability Coordinator</w:t>
      </w:r>
      <w:r>
        <w:rPr>
          <w:rFonts w:ascii="Times New Roman;sans-serif" w:hAnsi="Times New Roman;sans-serif"/>
          <w:b w:val="false"/>
          <w:color w:val="000000"/>
          <w:sz w:val="22"/>
        </w:rPr>
        <w:t xml:space="preserve">, the Lenders and the Issuing Lenders acknowledges that (i) the Information may include material </w:t>
      </w:r>
      <w:r>
        <w:rPr>
          <w:rFonts w:ascii="Times New Roman;sans-serif" w:hAnsi="Times New Roman;sans-serif"/>
          <w:b w:val="false"/>
          <w:strike/>
          <w:color w:val="FF0000"/>
          <w:sz w:val="22"/>
        </w:rPr>
        <w:t>non-public</w:t>
      </w:r>
      <w:r>
        <w:rPr>
          <w:rFonts w:ascii="Times New Roman;sans-serif" w:hAnsi="Times New Roman;sans-serif"/>
          <w:b w:val="false"/>
          <w:color w:val="0000FF"/>
          <w:sz w:val="22"/>
          <w:u w:val="single"/>
        </w:rPr>
        <w:t>non-public</w:t>
      </w:r>
      <w:r>
        <w:rPr>
          <w:color w:val="000000"/>
        </w:rPr>
        <w:t xml:space="preserve"> </w:t>
      </w:r>
      <w:r>
        <w:rPr>
          <w:rFonts w:ascii="Times New Roman;sans-serif" w:hAnsi="Times New Roman;sans-serif"/>
          <w:b w:val="false"/>
          <w:color w:val="000000"/>
          <w:sz w:val="22"/>
        </w:rPr>
        <w:t xml:space="preserve">information concerning a Credit Party or a Subsidiary, as the case may be, (ii) it has developed compliance procedures regarding the use of material </w:t>
      </w:r>
      <w:r>
        <w:rPr>
          <w:rFonts w:ascii="Times New Roman;sans-serif" w:hAnsi="Times New Roman;sans-serif"/>
          <w:b w:val="false"/>
          <w:strike/>
          <w:color w:val="FF0000"/>
          <w:sz w:val="22"/>
        </w:rPr>
        <w:t>non-public</w:t>
      </w:r>
      <w:r>
        <w:rPr>
          <w:rFonts w:ascii="Times New Roman;sans-serif" w:hAnsi="Times New Roman;sans-serif"/>
          <w:b w:val="false"/>
          <w:color w:val="0000FF"/>
          <w:sz w:val="22"/>
          <w:u w:val="single"/>
        </w:rPr>
        <w:t>non-public</w:t>
      </w:r>
      <w:r>
        <w:rPr>
          <w:color w:val="000000"/>
        </w:rPr>
        <w:t xml:space="preserve"> </w:t>
      </w:r>
      <w:r>
        <w:rPr>
          <w:rFonts w:ascii="Times New Roman;sans-serif" w:hAnsi="Times New Roman;sans-serif"/>
          <w:b w:val="false"/>
          <w:color w:val="000000"/>
          <w:sz w:val="22"/>
        </w:rPr>
        <w:t xml:space="preserve">information and (iii) it will handle such material </w:t>
      </w:r>
      <w:r>
        <w:rPr>
          <w:rFonts w:ascii="Times New Roman;sans-serif" w:hAnsi="Times New Roman;sans-serif"/>
          <w:b w:val="false"/>
          <w:strike/>
          <w:color w:val="FF0000"/>
          <w:sz w:val="22"/>
        </w:rPr>
        <w:t>non-public</w:t>
      </w:r>
      <w:r>
        <w:rPr>
          <w:rFonts w:ascii="Times New Roman;sans-serif" w:hAnsi="Times New Roman;sans-serif"/>
          <w:b w:val="false"/>
          <w:color w:val="0000FF"/>
          <w:sz w:val="22"/>
          <w:u w:val="single"/>
        </w:rPr>
        <w:t>non-public</w:t>
      </w:r>
      <w:r>
        <w:rPr>
          <w:color w:val="000000"/>
        </w:rPr>
        <w:t xml:space="preserve"> </w:t>
      </w:r>
      <w:r>
        <w:rPr>
          <w:rFonts w:ascii="Times New Roman;sans-serif" w:hAnsi="Times New Roman;sans-serif"/>
          <w:b w:val="false"/>
          <w:color w:val="000000"/>
          <w:sz w:val="22"/>
        </w:rPr>
        <w:t xml:space="preserve">information in accordance with </w:t>
      </w:r>
      <w:r>
        <w:rPr>
          <w:rFonts w:ascii="Times New Roman;sans-serif" w:hAnsi="Times New Roman;sans-serif"/>
          <w:b w:val="false"/>
          <w:strike/>
          <w:color w:val="FF0000"/>
          <w:sz w:val="22"/>
        </w:rPr>
        <w:t>applicable</w:t>
      </w:r>
      <w:r>
        <w:rPr>
          <w:rFonts w:ascii="Times New Roman;sans-serif" w:hAnsi="Times New Roman;sans-serif"/>
          <w:b w:val="false"/>
          <w:color w:val="0000FF"/>
          <w:sz w:val="22"/>
          <w:u w:val="single"/>
        </w:rPr>
        <w:t>Applicable</w:t>
      </w:r>
      <w:r>
        <w:rPr>
          <w:color w:val="000000"/>
        </w:rPr>
        <w:t xml:space="preserve"> </w:t>
      </w:r>
      <w:r>
        <w:rPr>
          <w:rFonts w:ascii="Times New Roman;sans-serif" w:hAnsi="Times New Roman;sans-serif"/>
          <w:b w:val="false"/>
          <w:color w:val="000000"/>
          <w:sz w:val="22"/>
        </w:rPr>
        <w:t>Law, including United States federal and state securities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Customary Advertising Material</w:t>
      </w:r>
      <w:r>
        <w:rPr>
          <w:rFonts w:ascii="Times New Roman;sans-serif" w:hAnsi="Times New Roman;sans-serif"/>
          <w:b w:val="false"/>
          <w:color w:val="000000"/>
          <w:sz w:val="22"/>
        </w:rPr>
        <w:t>. The Credit Parties consent to the publication by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any Lender of customary advertising material relating to the transactions contemplated hereby using the name, product photographs, logo or trademark of the Credit Parties.</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13.11    </w:t>
      </w:r>
      <w:r>
        <w:rPr>
          <w:rFonts w:ascii="Times New Roman;sans-serif" w:hAnsi="Times New Roman;sans-serif"/>
          <w:b/>
          <w:color w:val="000000"/>
          <w:sz w:val="22"/>
          <w:u w:val="single"/>
        </w:rPr>
        <w:t>Performance of Duties</w:t>
      </w:r>
      <w:r>
        <w:rPr>
          <w:rFonts w:ascii="Times New Roman;sans-serif" w:hAnsi="Times New Roman;sans-serif"/>
          <w:b w:val="false"/>
          <w:color w:val="000000"/>
          <w:sz w:val="22"/>
        </w:rPr>
        <w:t>. Each of the Credit Party’s obligations under this Agreement and each of the other Loan Documents shall be performed by such Credit Party at its sole cost and expense.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13.12    </w:t>
      </w:r>
      <w:r>
        <w:rPr>
          <w:rFonts w:ascii="Times New Roman;sans-serif" w:hAnsi="Times New Roman;sans-serif"/>
          <w:b/>
          <w:color w:val="000000"/>
          <w:sz w:val="22"/>
          <w:u w:val="single"/>
        </w:rPr>
        <w:t>All Powers Coupled with Interest</w:t>
      </w:r>
      <w:r>
        <w:rPr>
          <w:rFonts w:ascii="Times New Roman;sans-serif" w:hAnsi="Times New Roman;sans-serif"/>
          <w:b w:val="false"/>
          <w:color w:val="000000"/>
          <w:sz w:val="22"/>
        </w:rPr>
        <w:t>. All powers of attorney and other authorizations granted to the Lenders, the Administrative Agent and any Persons designated by the Administrative Agent or any Lender pursuant to any provisions of this Agreement or any of the other Loan Documents shall be deemed coupled with an interest and shall be irrevocable so long as any of the Obligations remain unpaid or unsatisfied, any of the Commitments remain in effect or the Credit Facility has not been terminated.</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13.13    </w:t>
      </w:r>
      <w:r>
        <w:rPr>
          <w:rFonts w:ascii="Times New Roman;sans-serif" w:hAnsi="Times New Roman;sans-serif"/>
          <w:b/>
          <w:color w:val="000000"/>
          <w:sz w:val="22"/>
          <w:u w:val="single"/>
        </w:rPr>
        <w:t>Survival</w:t>
      </w:r>
      <w:r>
        <w:rPr>
          <w:rFonts w:ascii="Times New Roman;sans-serif" w:hAnsi="Times New Roman;sans-serif"/>
          <w:b w:val="false"/>
          <w:color w:val="000000"/>
          <w:sz w:val="22"/>
        </w:rPr>
        <w:t xml:space="preserve">. Notwithstanding any termination of this Agreement, the indemnities to which the Administrative Agent and the Lenders are entitled under the provisions of this </w:t>
      </w:r>
      <w:r>
        <w:rPr>
          <w:rFonts w:ascii="Times New Roman;sans-serif" w:hAnsi="Times New Roman;sans-serif"/>
          <w:b w:val="false"/>
          <w:color w:val="000000"/>
          <w:sz w:val="22"/>
          <w:u w:val="single"/>
        </w:rPr>
        <w:t>Article XIII</w:t>
      </w:r>
      <w:r>
        <w:rPr>
          <w:color w:val="000000"/>
        </w:rPr>
        <w:t xml:space="preserve"> </w:t>
      </w:r>
      <w:r>
        <w:rPr>
          <w:rFonts w:ascii="Times New Roman;sans-serif" w:hAnsi="Times New Roman;sans-serif"/>
          <w:b w:val="false"/>
          <w:color w:val="000000"/>
          <w:sz w:val="22"/>
        </w:rPr>
        <w:t>and any other provision of this Agreement and the other Loan Documents shall continue in full force and effect and shall protect the Administrative Agent and the Lenders against events arising after such termination as well as before.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13.14    </w:t>
      </w:r>
      <w:r>
        <w:rPr>
          <w:rFonts w:ascii="Times New Roman;sans-serif" w:hAnsi="Times New Roman;sans-serif"/>
          <w:b/>
          <w:color w:val="000000"/>
          <w:sz w:val="22"/>
          <w:u w:val="single"/>
        </w:rPr>
        <w:t>Titles and Captions</w:t>
      </w:r>
      <w:r>
        <w:rPr>
          <w:rFonts w:ascii="Times New Roman;sans-serif" w:hAnsi="Times New Roman;sans-serif"/>
          <w:b w:val="false"/>
          <w:color w:val="000000"/>
          <w:sz w:val="22"/>
        </w:rPr>
        <w:t>. Titles and captions of Articles, Sections and subsections in, and the table of contents of, this Agreement are for convenience only, and neither limits nor amplifies the provisions of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13.15    </w:t>
      </w:r>
      <w:r>
        <w:rPr>
          <w:rFonts w:ascii="Times New Roman;sans-serif" w:hAnsi="Times New Roman;sans-serif"/>
          <w:b/>
          <w:color w:val="000000"/>
          <w:sz w:val="22"/>
          <w:u w:val="single"/>
        </w:rPr>
        <w:t>Severability of Provisions</w:t>
      </w:r>
      <w:r>
        <w:rPr>
          <w:rFonts w:ascii="Times New Roman;sans-serif" w:hAnsi="Times New Roman;sans-serif"/>
          <w:b w:val="false"/>
          <w:color w:val="000000"/>
          <w:sz w:val="22"/>
        </w:rPr>
        <w:t>. Any provision of this Agreement or any other Loan Document which is prohibited 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 of such provision in any other jurisdiction.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13.16    </w:t>
      </w:r>
      <w:r>
        <w:rPr>
          <w:rFonts w:ascii="Times New Roman;sans-serif" w:hAnsi="Times New Roman;sans-serif"/>
          <w:b/>
          <w:color w:val="000000"/>
          <w:sz w:val="22"/>
          <w:u w:val="single"/>
        </w:rPr>
        <w:t>[Reserved]</w:t>
      </w:r>
      <w:r>
        <w:rPr>
          <w:rFonts w:ascii="Times New Roman;sans-serif" w:hAnsi="Times New Roman;sans-serif"/>
          <w:b w:val="false"/>
          <w:color w:val="000000"/>
          <w:sz w:val="22"/>
        </w:rPr>
        <w:t>.</w:t>
      </w:r>
      <w:r>
        <w:rPr>
          <w:strike/>
          <w:color w:val="FF0000"/>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13.17    </w:t>
      </w:r>
      <w:r>
        <w:rPr>
          <w:rFonts w:ascii="Times New Roman;sans-serif" w:hAnsi="Times New Roman;sans-serif"/>
          <w:b/>
          <w:color w:val="000000"/>
          <w:sz w:val="22"/>
          <w:u w:val="single"/>
        </w:rPr>
        <w:t>Integration</w:t>
      </w:r>
      <w:r>
        <w:rPr>
          <w:rFonts w:ascii="Times New Roman;sans-serif" w:hAnsi="Times New Roman;sans-serif"/>
          <w:b w:val="false"/>
          <w:color w:val="000000"/>
          <w:sz w:val="22"/>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inclusion of supplemental rights or remedies in favor of the Administrative Agent or the Lenders in any other Loan Document shall not be deemed a conflict with this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73"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 Each Loan Document was drafted with the joint participation of the respective parties thereto and shall be construed neither against nor in favor of any party, but rather in accordance with the fair meaning thereof.</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13.18    </w:t>
      </w:r>
      <w:r>
        <w:rPr>
          <w:rFonts w:ascii="Times New Roman;sans-serif" w:hAnsi="Times New Roman;sans-serif"/>
          <w:b/>
          <w:color w:val="000000"/>
          <w:sz w:val="22"/>
          <w:u w:val="single"/>
        </w:rPr>
        <w:t>Term of Agreement</w:t>
      </w:r>
      <w:r>
        <w:rPr>
          <w:rFonts w:ascii="Times New Roman;sans-serif" w:hAnsi="Times New Roman;sans-serif"/>
          <w:b w:val="false"/>
          <w:color w:val="000000"/>
          <w:sz w:val="22"/>
        </w:rPr>
        <w:t xml:space="preserve">. This Agreement shall remain in effect from the Closing Date through and including the date upon which all Obligations (except for Hedging Obligations and Bank Product Debt not then due and payable and contingent </w:t>
      </w:r>
      <w:r>
        <w:rPr>
          <w:rFonts w:ascii="Times New Roman;sans-serif" w:hAnsi="Times New Roman;sans-serif"/>
          <w:b w:val="false"/>
          <w:strike/>
          <w:color w:val="FF0000"/>
          <w:sz w:val="22"/>
        </w:rPr>
        <w:t xml:space="preserve">indemnification </w:t>
      </w:r>
      <w:r>
        <w:rPr>
          <w:rFonts w:ascii="Times New Roman;sans-serif" w:hAnsi="Times New Roman;sans-serif"/>
          <w:b w:val="false"/>
          <w:color w:val="000000"/>
          <w:sz w:val="22"/>
        </w:rPr>
        <w:t>obligations not yet due</w:t>
      </w:r>
      <w:r>
        <w:rPr>
          <w:color w:val="0000FF"/>
          <w:u w:val="single"/>
        </w:rPr>
        <w:t xml:space="preserve"> </w:t>
      </w:r>
      <w:r>
        <w:rPr>
          <w:rFonts w:ascii="Times New Roman;sans-serif" w:hAnsi="Times New Roman;sans-serif"/>
          <w:b w:val="false"/>
          <w:color w:val="0000FF"/>
          <w:sz w:val="22"/>
          <w:u w:val="single"/>
        </w:rPr>
        <w:t>for which no claim has been asserted</w:t>
      </w:r>
      <w:r>
        <w:rPr>
          <w:rFonts w:ascii="Times New Roman;sans-serif" w:hAnsi="Times New Roman;sans-serif"/>
          <w:b w:val="false"/>
          <w:color w:val="000000"/>
          <w:sz w:val="22"/>
        </w:rPr>
        <w:t>) arising hereunder or under any other Loan Document shall have been indefeasibly and irrevocably paid in full and all Commitments have been terminated. No termination of this Agreement shall affect the rights and obligations of the parties hereto arising prior to such termination or in respect of any provision of this Agreement which survives such termination.</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13.19    </w:t>
      </w:r>
      <w:r>
        <w:rPr>
          <w:rFonts w:ascii="Times New Roman;sans-serif" w:hAnsi="Times New Roman;sans-serif"/>
          <w:b/>
          <w:color w:val="000000"/>
          <w:sz w:val="22"/>
          <w:u w:val="single"/>
        </w:rPr>
        <w:t>USA Patriot Act</w:t>
      </w:r>
      <w:r>
        <w:rPr>
          <w:rFonts w:ascii="Times New Roman;sans-serif" w:hAnsi="Times New Roman;sans-serif"/>
          <w:b w:val="false"/>
          <w:color w:val="000000"/>
          <w:sz w:val="22"/>
        </w:rPr>
        <w:t xml:space="preserve">. Each Lender that is subject to the Patriot Act and the Administrative Agent (for itself and not on behalf of any Lender) hereby notifies the Company and the other Credit Parties that pursuant to the requirements of the Patriot Act, it is required to obtain, verify and record information that identifies each Credit Party, which information includes the name and address of each Credit Party and other information that will allow such Lender or the Administrative Agent, as applicable, to identify each Credit Party in accordance with the Patriot Act. The Company and the Credit Parties agree to, promptly following a request by the Administrative Agent or any Lender, provide all such other documentation and information that the Administrative Agent or such Lender </w:t>
      </w:r>
      <w:r>
        <w:rPr>
          <w:rFonts w:ascii="Times New Roman;sans-serif" w:hAnsi="Times New Roman;sans-serif"/>
          <w:b w:val="false"/>
          <w:color w:val="0000FF"/>
          <w:sz w:val="22"/>
          <w:u w:val="single"/>
        </w:rPr>
        <w:t xml:space="preserve">reasonably </w:t>
      </w:r>
      <w:r>
        <w:rPr>
          <w:rFonts w:ascii="Times New Roman;sans-serif" w:hAnsi="Times New Roman;sans-serif"/>
          <w:b w:val="false"/>
          <w:color w:val="000000"/>
          <w:sz w:val="22"/>
        </w:rPr>
        <w:t xml:space="preserve">requests in order to comply with </w:t>
      </w:r>
      <w:r>
        <w:rPr>
          <w:rFonts w:ascii="Times New Roman;sans-serif" w:hAnsi="Times New Roman;sans-serif"/>
          <w:b w:val="false"/>
          <w:strike/>
          <w:color w:val="FF0000"/>
          <w:sz w:val="22"/>
        </w:rPr>
        <w:t>its ongoing obligations</w:t>
      </w:r>
      <w:r>
        <w:rPr>
          <w:rFonts w:ascii="Times New Roman;sans-serif" w:hAnsi="Times New Roman;sans-serif"/>
          <w:b w:val="false"/>
          <w:color w:val="0000FF"/>
          <w:sz w:val="22"/>
          <w:u w:val="single"/>
        </w:rPr>
        <w:t>requirements (as reasonably determined by the Administrative Agent or such Lender)</w:t>
      </w:r>
      <w:r>
        <w:rPr>
          <w:color w:val="000000"/>
        </w:rPr>
        <w:t xml:space="preserve"> </w:t>
      </w:r>
      <w:r>
        <w:rPr>
          <w:rFonts w:ascii="Times New Roman;sans-serif" w:hAnsi="Times New Roman;sans-serif"/>
          <w:b w:val="false"/>
          <w:color w:val="000000"/>
          <w:sz w:val="22"/>
        </w:rPr>
        <w:t xml:space="preserve">under applicable “know your customer” and </w:t>
      </w:r>
      <w:r>
        <w:rPr>
          <w:rFonts w:ascii="Times New Roman;sans-serif" w:hAnsi="Times New Roman;sans-serif"/>
          <w:b w:val="false"/>
          <w:strike/>
          <w:color w:val="FF0000"/>
          <w:sz w:val="22"/>
        </w:rPr>
        <w:t>anti-money</w:t>
      </w:r>
      <w:r>
        <w:rPr>
          <w:rFonts w:ascii="Times New Roman;sans-serif" w:hAnsi="Times New Roman;sans-serif"/>
          <w:b w:val="false"/>
          <w:color w:val="0000FF"/>
          <w:sz w:val="22"/>
          <w:u w:val="single"/>
        </w:rPr>
        <w:t>anti-money</w:t>
      </w:r>
      <w:r>
        <w:rPr>
          <w:color w:val="000000"/>
        </w:rPr>
        <w:t xml:space="preserve"> </w:t>
      </w:r>
      <w:r>
        <w:rPr>
          <w:rFonts w:ascii="Times New Roman;sans-serif" w:hAnsi="Times New Roman;sans-serif"/>
          <w:b w:val="false"/>
          <w:color w:val="000000"/>
          <w:sz w:val="22"/>
        </w:rPr>
        <w:t>laundering rules and regulations, including the Patriot Act.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13.20    </w:t>
      </w:r>
      <w:r>
        <w:rPr>
          <w:rFonts w:ascii="Times New Roman;sans-serif" w:hAnsi="Times New Roman;sans-serif"/>
          <w:b/>
          <w:color w:val="000000"/>
          <w:sz w:val="22"/>
          <w:u w:val="single"/>
        </w:rPr>
        <w:t>Advice of Counsel, No Strict Construction</w:t>
      </w:r>
      <w:r>
        <w:rPr>
          <w:rFonts w:ascii="Times New Roman;sans-serif" w:hAnsi="Times New Roman;sans-serif"/>
          <w:b w:val="false"/>
          <w:color w:val="000000"/>
          <w:sz w:val="22"/>
        </w:rPr>
        <w:t>. Each of the parties represents to each other party hereto that it has discussed this Agreement with its counsel.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13.21    </w:t>
      </w:r>
      <w:r>
        <w:rPr>
          <w:rFonts w:ascii="Times New Roman;sans-serif" w:hAnsi="Times New Roman;sans-serif"/>
          <w:b/>
          <w:color w:val="000000"/>
          <w:sz w:val="22"/>
          <w:u w:val="single"/>
        </w:rPr>
        <w:t>Inconsistencies with Other Documents; Independent Effect of Covenants.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In the event there is a conflict or inconsistency between this Agreement and any other Loan Document, the terms of this Agreement shall control;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provision of the other Loan Documents which imposes additional burdens on the Company or its Subsidiaries or further restricts the rights of the Company or its Subsidiaries or gives the Administrative Agent or Lenders additional rights shall not be deemed to be in conflict or inconsistent with this Agreement and shall be given full force and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Each Borrower expressly acknowledges and agrees that each covenant contained in </w:t>
      </w:r>
      <w:r>
        <w:rPr>
          <w:rFonts w:ascii="Times New Roman;sans-serif" w:hAnsi="Times New Roman;sans-serif"/>
          <w:b w:val="false"/>
          <w:color w:val="000000"/>
          <w:sz w:val="22"/>
          <w:u w:val="single"/>
        </w:rPr>
        <w:t>Articles VIII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IX</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 xml:space="preserve">hereof shall be given independent effect. Accordingly, no Borrower shall engage in any transaction or other act otherwise permitted under any covenant contained in </w:t>
      </w:r>
      <w:r>
        <w:rPr>
          <w:rFonts w:ascii="Times New Roman;sans-serif" w:hAnsi="Times New Roman;sans-serif"/>
          <w:b w:val="false"/>
          <w:color w:val="000000"/>
          <w:sz w:val="22"/>
          <w:u w:val="single"/>
        </w:rPr>
        <w:t>Articles VIII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IX</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 xml:space="preserve">if, before or after giving effect to such transaction or act, such Borrower shall or would be in breach of any other covenant contained in </w:t>
      </w:r>
      <w:r>
        <w:rPr>
          <w:rFonts w:ascii="Times New Roman;sans-serif" w:hAnsi="Times New Roman;sans-serif"/>
          <w:b w:val="false"/>
          <w:color w:val="000000"/>
          <w:sz w:val="22"/>
          <w:u w:val="single"/>
        </w:rPr>
        <w:t>Articles VIII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IX,</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13.22    </w:t>
      </w:r>
      <w:r>
        <w:rPr>
          <w:rFonts w:ascii="Times New Roman;sans-serif" w:hAnsi="Times New Roman;sans-serif"/>
          <w:b/>
          <w:color w:val="000000"/>
          <w:sz w:val="22"/>
          <w:u w:val="single"/>
        </w:rPr>
        <w:t>No Advisory or Fiduciary Responsibility</w:t>
      </w:r>
      <w:r>
        <w:rPr>
          <w:rFonts w:ascii="Times New Roman;sans-serif" w:hAnsi="Times New Roman;sans-serif"/>
          <w:b w:val="false"/>
          <w:color w:val="000000"/>
          <w:sz w:val="22"/>
        </w:rPr>
        <w:t xml:space="preserve">. In connection with all aspects of each transaction contemplated hereby, each of the Credit Parties acknowledges and agrees, and acknowledges its Affiliates’ understanding, that: (a) the Credit Facilities provided for hereunder and any related arranging or other services in connection therewith (including in connection with any amendment, waiver or other modification hereof or of any other Loan Document) are an arm’s-length commercial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74"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transaction between the Credit Parties and their Affiliates, on the one hand, and the Administrative Agent, BAS,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 xml:space="preserve">and each Lender (including Affiliates acting as arrangers) on the other hand, and the Credit Parties are capable of evaluating and understanding and understand and accept the terms, risks and conditions of the transactions contemplated hereby and by the other Loan Documents (including any amendment, waiver or other modification hereof or thereof); (b) in connection with the process leading to such transaction, the Administrative Agent, BAS,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and each Person acting as an arranger hereunder, each is and has been acting solely as a principal and is not the financial advisor, agent or fiduciary, for any Credit Party or any of their Affiliates, stockholders, creditors or employees or any other Person; (c) neither the Administrative Agent, BAS</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nor any Person acting as an arranger hereunder has assumed or will assume an advisory, agency or fiduciary responsibility in favor of any Credit Party with respect to any of the transactions contemplated hereby or the process leading thereto, including with respect to any amendment, waiver or other modification hereof or of any other Loan Document (irrespective of whether the Administrative Agent, BAS</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such other Person has advised or is currently advising any Credit Party or any of its Affiliates on other matters) and neither the Administrative Agent, BAS</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nor any Person acting as an arranger hereunder has any obligation to any Credit Party or any of their Affiliates with respect to the transactions contemplated hereby except those obligations expressly set forth herein and in the other Loan Documents; (d) the Administrative Agent, BAS</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each Person acting as an arranger hereunder and their respective Affiliates may be engaged in a broad range of transactions that involve interests that differ from those of the Credit Parties and their Affiliates, and neither the Administrative Agent, BAS</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 xml:space="preserve">nor any Person acting as an arranger hereunder has any obligation to disclose any of such interests by virtue of any advisory, agency or fiduciary relationship; and (e) the Administrative Agent, BAS,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and each Person acting as an arranger hereunder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 Each of the Credit Parties hereby waives and releases, to the fullest extent permitted by law, any claims that it may have against the Administrative Agent, BAS</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each Person acting as an arranger hereunder with respect to any breach or alleged breach of agency or fiduciary duty.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13.23    </w:t>
      </w:r>
      <w:r>
        <w:rPr>
          <w:rFonts w:ascii="Times New Roman;sans-serif" w:hAnsi="Times New Roman;sans-serif"/>
          <w:b/>
          <w:color w:val="000000"/>
          <w:sz w:val="22"/>
          <w:u w:val="single"/>
        </w:rPr>
        <w:t>Judgment Currency</w:t>
      </w:r>
      <w:r>
        <w:rPr>
          <w:rFonts w:ascii="Times New Roman;sans-serif" w:hAnsi="Times New Roman;sans-serif"/>
          <w:b w:val="false"/>
          <w:color w:val="000000"/>
          <w:sz w:val="22"/>
        </w:rPr>
        <w:t>. If for the purposes of obtaining judgment in any court it is necessary to convert a sum due from any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Office on the Business Day preceding that on which final, non-appealable judgment is given. The obligations of the Borrowers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the sum originally due to the Lenders or the Administrative Agent, as the case may be, in the specified currency, the applicable Lender or the Administrative Agent, as the case may be, agrees to remit such excess to the applicable Borrower.</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75"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13.24    </w:t>
      </w:r>
      <w:r>
        <w:rPr>
          <w:rFonts w:ascii="Times New Roman;sans-serif" w:hAnsi="Times New Roman;sans-serif"/>
          <w:b/>
          <w:color w:val="000000"/>
          <w:sz w:val="22"/>
          <w:u w:val="single"/>
        </w:rPr>
        <w:t>Electronic Execution; Electronic Records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any Loan Document and any other Communication, including Communications required to be in writing, may be in the form of an Electronic Record and may be executed using Electronic Signatures. Each of the Credit Parties and each of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and each of the Lender Parties may, at its option, create one or more copies of any Communication in the form of an imaged Electronic Record (“</w:t>
      </w:r>
      <w:r>
        <w:rPr>
          <w:rFonts w:ascii="Times New Roman;sans-serif" w:hAnsi="Times New Roman;sans-serif"/>
          <w:b w:val="false"/>
          <w:color w:val="000000"/>
          <w:sz w:val="22"/>
          <w:u w:val="single"/>
        </w:rPr>
        <w:t>Electronic Copy</w:t>
      </w:r>
      <w:r>
        <w:rPr>
          <w:color w:val="000000"/>
        </w:rPr>
        <w:t>”</w:t>
      </w:r>
      <w:r>
        <w:rPr>
          <w:rFonts w:ascii="Times New Roman;sans-serif" w:hAnsi="Times New Roman;sans-serif"/>
          <w:b w:val="false"/>
          <w:color w:val="000000"/>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 xml:space="preserve">any Issuing Lender or the Swingline Lender is under any obligation to accept an Electronic Signature in any form or in any format unless expressly agreed to by such Person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without limiting the foregoing, (a) to the extent the Administrative Agent, </w:t>
      </w:r>
      <w:r>
        <w:rPr>
          <w:rFonts w:ascii="Times New Roman;sans-serif" w:hAnsi="Times New Roman;sans-serif"/>
          <w:b w:val="false"/>
          <w:color w:val="0000FF"/>
          <w:sz w:val="22"/>
          <w:u w:val="single"/>
        </w:rPr>
        <w:t xml:space="preserve">the Sustainability Coordinator, </w:t>
      </w:r>
      <w:r>
        <w:rPr>
          <w:rFonts w:ascii="Times New Roman;sans-serif" w:hAnsi="Times New Roman;sans-serif"/>
          <w:b w:val="false"/>
          <w:color w:val="000000"/>
          <w:sz w:val="22"/>
        </w:rPr>
        <w:t>any Issuing Lender and/or Swingline Lender has agreed to accept such Electronic Signature,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and each of the Lender Parties shall be entitled to rely on any such Electronic Signature purportedly given by or on behalf of any Credit Party and/or any Lender Party without further verification and (b) upon the request of the Administrative Agent</w:t>
      </w:r>
      <w:r>
        <w:rPr>
          <w:rFonts w:ascii="Times New Roman;sans-serif" w:hAnsi="Times New Roman;sans-serif"/>
          <w:b w:val="false"/>
          <w:color w:val="0000FF"/>
          <w:sz w:val="22"/>
          <w:u w:val="single"/>
        </w:rPr>
        <w:t>, the Sustainability Coordinator</w:t>
      </w:r>
      <w:r>
        <w:rPr>
          <w:color w:val="000000"/>
        </w:rPr>
        <w:t xml:space="preserve"> </w:t>
      </w:r>
      <w:r>
        <w:rPr>
          <w:rFonts w:ascii="Times New Roman;sans-serif" w:hAnsi="Times New Roman;sans-serif"/>
          <w:b w:val="false"/>
          <w:color w:val="000000"/>
          <w:sz w:val="22"/>
        </w:rPr>
        <w:t>or any Lender Party, any Electronic Signature shall be promptly followed by such manually executed counterpart. For purposes hereof, “</w:t>
      </w:r>
      <w:r>
        <w:rPr>
          <w:rFonts w:ascii="Times New Roman;sans-serif" w:hAnsi="Times New Roman;sans-serif"/>
          <w:b w:val="false"/>
          <w:color w:val="000000"/>
          <w:sz w:val="22"/>
          <w:u w:val="single"/>
        </w:rPr>
        <w:t>Electronic Record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shall have the meanings assigned to them, respectively, by 15 USC §7006, as it may be amended from time to time</w:t>
      </w:r>
      <w:r>
        <w:rPr>
          <w:rFonts w:ascii="Calibri;sans-serif" w:hAnsi="Calibri;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None of the Administrative Agent, </w:t>
      </w:r>
      <w:r>
        <w:rPr>
          <w:rFonts w:ascii="Times New Roman;sans-serif" w:hAnsi="Times New Roman;sans-serif"/>
          <w:b w:val="false"/>
          <w:color w:val="0000FF"/>
          <w:sz w:val="24"/>
          <w:u w:val="single"/>
        </w:rPr>
        <w:t xml:space="preserve">the Sustainability Coordinator, </w:t>
      </w:r>
      <w:r>
        <w:rPr>
          <w:rFonts w:ascii="Times New Roman;sans-serif" w:hAnsi="Times New Roman;sans-serif"/>
          <w:b w:val="false"/>
          <w:color w:val="000000"/>
          <w:sz w:val="24"/>
        </w:rPr>
        <w:t xml:space="preserve">any Issuing Lender or the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w:t>
      </w:r>
      <w:r>
        <w:rPr>
          <w:rFonts w:ascii="Times New Roman;sans-serif" w:hAnsi="Times New Roman;sans-serif"/>
          <w:b w:val="false"/>
          <w:color w:val="0000FF"/>
          <w:sz w:val="24"/>
          <w:u w:val="single"/>
        </w:rPr>
        <w:t xml:space="preserve">the Sustainability Coordinator’s, </w:t>
      </w:r>
      <w:r>
        <w:rPr>
          <w:rFonts w:ascii="Times New Roman;sans-serif" w:hAnsi="Times New Roman;sans-serif"/>
          <w:b w:val="false"/>
          <w:color w:val="000000"/>
          <w:sz w:val="24"/>
        </w:rPr>
        <w:t>any Issuing Lender’s or the Swingline Lender’s reliance on any Electronic Signature transmitted by telecopy, emailed .pdf or any other electronic means). The Administrative Agent</w:t>
      </w:r>
      <w:r>
        <w:rPr>
          <w:rFonts w:ascii="Times New Roman;sans-serif" w:hAnsi="Times New Roman;sans-serif"/>
          <w:b w:val="false"/>
          <w:color w:val="0000FF"/>
          <w:sz w:val="24"/>
          <w:u w:val="single"/>
        </w:rPr>
        <w:t>, the Sustainability Coordinator</w:t>
      </w:r>
      <w:r>
        <w:rPr>
          <w:rFonts w:ascii="Times New Roman;sans-serif" w:hAnsi="Times New Roman;sans-serif"/>
          <w:b w:val="false"/>
          <w:color w:val="000000"/>
          <w:sz w:val="24"/>
        </w:rPr>
        <w:t>, each Issuing Lender and the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of the Credit Parties and each Lender Party hereby waives (i) any argument, defense or right to contest the legal effect, validity or enforceability of this Agreement and/or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76"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Loan Document based solely on the lack of paper original copies of this Agreement and/or such other Loan Document, and (ii) waives any claim against the Administrative Agent, </w:t>
      </w:r>
      <w:r>
        <w:rPr>
          <w:rFonts w:ascii="Times New Roman;sans-serif" w:hAnsi="Times New Roman;sans-serif"/>
          <w:b w:val="false"/>
          <w:color w:val="0000FF"/>
          <w:sz w:val="24"/>
          <w:u w:val="single"/>
        </w:rPr>
        <w:t xml:space="preserve">the Sustainability Coordinator, </w:t>
      </w:r>
      <w:r>
        <w:rPr>
          <w:rFonts w:ascii="Times New Roman;sans-serif" w:hAnsi="Times New Roman;sans-serif"/>
          <w:b w:val="false"/>
          <w:color w:val="000000"/>
          <w:sz w:val="24"/>
        </w:rPr>
        <w:t>each Lender Party and each Related Party for any liabilities arising solely from the Administrative Agent’s</w:t>
      </w:r>
      <w:r>
        <w:rPr>
          <w:rFonts w:ascii="Times New Roman;sans-serif" w:hAnsi="Times New Roman;sans-serif"/>
          <w:b w:val="false"/>
          <w:color w:val="0000FF"/>
          <w:sz w:val="24"/>
          <w:u w:val="single"/>
        </w:rPr>
        <w:t>, the Sustainability Coordinator’s</w:t>
      </w:r>
      <w:r>
        <w:rPr>
          <w:color w:val="000000"/>
        </w:rPr>
        <w:t xml:space="preserve"> </w:t>
      </w:r>
      <w:r>
        <w:rPr>
          <w:rFonts w:ascii="Times New Roman;sans-serif" w:hAnsi="Times New Roman;sans-serif"/>
          <w:b w:val="false"/>
          <w:color w:val="000000"/>
          <w:sz w:val="24"/>
        </w:rPr>
        <w:t>and/or any Lender Party’s reliance on or use of Electronic Signatures, including any liabilities arising as a result of the failure of the Credit Parties to use any available security measures in connection with the execution, delivery or transmission of any Electronic Signature.</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13.25    </w:t>
      </w:r>
      <w:r>
        <w:rPr>
          <w:rFonts w:ascii="Times New Roman;sans-serif" w:hAnsi="Times New Roman;sans-serif"/>
          <w:b/>
          <w:color w:val="000000"/>
          <w:sz w:val="22"/>
          <w:u w:val="single"/>
        </w:rPr>
        <w:t xml:space="preserve">Acknowledgement and Consent to </w:t>
      </w:r>
      <w:r>
        <w:rPr>
          <w:rFonts w:ascii="Times New Roman;sans-serif" w:hAnsi="Times New Roman;sans-serif"/>
          <w:b/>
          <w:strike/>
          <w:color w:val="FF0000"/>
          <w:sz w:val="22"/>
          <w:u w:val="single"/>
        </w:rPr>
        <w:t>Bail-In</w:t>
      </w:r>
      <w:r>
        <w:rPr>
          <w:rFonts w:ascii="Times New Roman;sans-serif" w:hAnsi="Times New Roman;sans-serif"/>
          <w:b/>
          <w:color w:val="0000FF"/>
          <w:sz w:val="22"/>
          <w:u w:val="single"/>
        </w:rPr>
        <w:t>Bail-In</w:t>
      </w:r>
      <w:r>
        <w:rPr>
          <w:color w:val="000000"/>
          <w:u w:val="single"/>
        </w:rPr>
        <w:t xml:space="preserve"> </w:t>
      </w:r>
      <w:r>
        <w:rPr>
          <w:rFonts w:ascii="Times New Roman;sans-serif" w:hAnsi="Times New Roman;sans-serif"/>
          <w:b/>
          <w:color w:val="000000"/>
          <w:sz w:val="22"/>
          <w:u w:val="single"/>
        </w:rPr>
        <w:t>of Affected Financial Institutions.</w:t>
      </w:r>
      <w:r>
        <w:rPr>
          <w:color w:val="000000"/>
        </w:rPr>
        <w:t xml:space="preserve"> </w:t>
      </w:r>
      <w:r>
        <w:rPr>
          <w:rFonts w:ascii="Times New Roman;sans-serif" w:hAnsi="Times New Roman;sans-serif"/>
          <w:b w:val="false"/>
          <w:color w:val="000000"/>
          <w:sz w:val="22"/>
        </w:rPr>
        <w:t xml:space="preserve">Solely to the extent any Lender or Issuing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Issuing Lender that is an Affected Financial Institution arising under any Loan Document, to the extent such liability is unsecured, may be subject to the </w:t>
      </w:r>
      <w:r>
        <w:rPr>
          <w:rFonts w:ascii="Times New Roman;sans-serif" w:hAnsi="Times New Roman;sans-serif"/>
          <w:b w:val="false"/>
          <w:strike/>
          <w:color w:val="FF0000"/>
          <w:sz w:val="22"/>
        </w:rPr>
        <w:t>Write-Down</w:t>
      </w:r>
      <w:r>
        <w:rPr>
          <w:rFonts w:ascii="Times New Roman;sans-serif" w:hAnsi="Times New Roman;sans-serif"/>
          <w:b w:val="false"/>
          <w:color w:val="0000FF"/>
          <w:sz w:val="22"/>
          <w:u w:val="single"/>
        </w:rPr>
        <w:t>Write-Down</w:t>
      </w:r>
      <w:r>
        <w:rPr>
          <w:color w:val="000000"/>
        </w:rPr>
        <w:t xml:space="preserve"> </w:t>
      </w:r>
      <w:r>
        <w:rPr>
          <w:rFonts w:ascii="Times New Roman;sans-serif" w:hAnsi="Times New Roman;sans-serif"/>
          <w:b w:val="false"/>
          <w:color w:val="000000"/>
          <w:sz w:val="22"/>
        </w:rPr>
        <w:t>and Conversion Powers of the applicable Resolution Authority and agrees and consents to, and acknowledges and agrees to be bound by: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the application of any </w:t>
      </w:r>
      <w:r>
        <w:rPr>
          <w:rFonts w:ascii="Times New Roman;sans-serif" w:hAnsi="Times New Roman;sans-serif"/>
          <w:b w:val="false"/>
          <w:strike/>
          <w:color w:val="FF0000"/>
          <w:sz w:val="22"/>
        </w:rPr>
        <w:t>Write-Down</w:t>
      </w:r>
      <w:r>
        <w:rPr>
          <w:rFonts w:ascii="Times New Roman;sans-serif" w:hAnsi="Times New Roman;sans-serif"/>
          <w:b w:val="false"/>
          <w:color w:val="0000FF"/>
          <w:sz w:val="22"/>
          <w:u w:val="single"/>
        </w:rPr>
        <w:t>Write-Down</w:t>
      </w:r>
      <w:r>
        <w:rPr>
          <w:color w:val="000000"/>
        </w:rPr>
        <w:t xml:space="preserve"> </w:t>
      </w:r>
      <w:r>
        <w:rPr>
          <w:rFonts w:ascii="Times New Roman;sans-serif" w:hAnsi="Times New Roman;sans-serif"/>
          <w:b w:val="false"/>
          <w:color w:val="000000"/>
          <w:sz w:val="22"/>
        </w:rPr>
        <w:t>and Conversion Powers by the applicable Resolution Authority to any such liabilities arising hereunder which may be payable to it by any Lender or Issuing Lender that is an Affected Financial Institution;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the effects of any </w:t>
      </w:r>
      <w:r>
        <w:rPr>
          <w:rFonts w:ascii="Times New Roman;sans-serif" w:hAnsi="Times New Roman;sans-serif"/>
          <w:b w:val="false"/>
          <w:strike/>
          <w:color w:val="FF0000"/>
          <w:sz w:val="22"/>
        </w:rPr>
        <w:t>Bail-In</w:t>
      </w:r>
      <w:r>
        <w:rPr>
          <w:rFonts w:ascii="Times New Roman;sans-serif" w:hAnsi="Times New Roman;sans-serif"/>
          <w:b w:val="false"/>
          <w:color w:val="0000FF"/>
          <w:sz w:val="22"/>
          <w:u w:val="single"/>
        </w:rPr>
        <w:t>Bail-In</w:t>
      </w:r>
      <w:r>
        <w:rPr>
          <w:color w:val="000000"/>
        </w:rPr>
        <w:t xml:space="preserve"> </w:t>
      </w:r>
      <w:r>
        <w:rPr>
          <w:rFonts w:ascii="Times New Roman;sans-serif" w:hAnsi="Times New Roman;sans-serif"/>
          <w:b w:val="false"/>
          <w:color w:val="000000"/>
          <w:sz w:val="22"/>
        </w:rPr>
        <w:t>Action on any such liability, including, if applicable: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 reduction in full or in part or cancellation of any such liability;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(iii)    the variation of the terms of such liability in connection with the exercise of the </w:t>
      </w:r>
      <w:r>
        <w:rPr>
          <w:rFonts w:ascii="Times New Roman;sans-serif" w:hAnsi="Times New Roman;sans-serif"/>
          <w:b w:val="false"/>
          <w:strike/>
          <w:color w:val="FF0000"/>
          <w:sz w:val="22"/>
        </w:rPr>
        <w:t>Write-Down</w:t>
      </w:r>
      <w:r>
        <w:rPr>
          <w:rFonts w:ascii="Times New Roman;sans-serif" w:hAnsi="Times New Roman;sans-serif"/>
          <w:b w:val="false"/>
          <w:color w:val="0000FF"/>
          <w:sz w:val="22"/>
          <w:u w:val="single"/>
        </w:rPr>
        <w:t>Write-Down</w:t>
      </w:r>
      <w:r>
        <w:rPr>
          <w:color w:val="000000"/>
        </w:rPr>
        <w:t xml:space="preserve"> </w:t>
      </w:r>
      <w:r>
        <w:rPr>
          <w:rFonts w:ascii="Times New Roman;sans-serif" w:hAnsi="Times New Roman;sans-serif"/>
          <w:b w:val="false"/>
          <w:color w:val="000000"/>
          <w:sz w:val="22"/>
        </w:rPr>
        <w:t>and Conversion Powers of the applicable Resolution Authority.</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13.26    </w:t>
      </w:r>
      <w:r>
        <w:rPr>
          <w:rFonts w:ascii="Times New Roman;sans-serif" w:hAnsi="Times New Roman;sans-serif"/>
          <w:b/>
          <w:color w:val="000000"/>
          <w:sz w:val="22"/>
          <w:u w:val="single"/>
        </w:rPr>
        <w:t>Acknowledgement Regarding Any Supported QFCs</w:t>
      </w:r>
      <w:r>
        <w:rPr>
          <w:rFonts w:ascii="Times New Roman;sans-serif" w:hAnsi="Times New Roman;sans-serif"/>
          <w:b w:val="false"/>
          <w:color w:val="000000"/>
          <w:sz w:val="22"/>
        </w:rPr>
        <w:t>. To the extent that the Loan Documents provide support, through a guarantee or otherwise, for any Hedging Agreement or any other agreement or instrument that is a QFC (such support, “</w:t>
      </w:r>
      <w:r>
        <w:rPr>
          <w:rFonts w:ascii="Times New Roman;sans-serif" w:hAnsi="Times New Roman;sans-serif"/>
          <w:b w:val="false"/>
          <w:color w:val="000000"/>
          <w:sz w:val="22"/>
          <w:u w:val="single"/>
        </w:rPr>
        <w:t>QFC Credit Support</w:t>
      </w:r>
      <w:r>
        <w:rPr>
          <w:color w:val="000000"/>
        </w:rPr>
        <w:t>”</w:t>
      </w:r>
      <w:r>
        <w:rPr>
          <w:rFonts w:ascii="Times New Roman;sans-serif" w:hAnsi="Times New Roman;sans-serif"/>
          <w:b w:val="false"/>
          <w:color w:val="000000"/>
          <w:sz w:val="22"/>
        </w:rPr>
        <w:t>, and each such QFC, a “</w:t>
      </w:r>
      <w:r>
        <w:rPr>
          <w:rFonts w:ascii="Times New Roman;sans-serif" w:hAnsi="Times New Roman;sans-serif"/>
          <w:b w:val="false"/>
          <w:color w:val="000000"/>
          <w:sz w:val="22"/>
          <w:u w:val="single"/>
        </w:rPr>
        <w:t>Supported QFC</w:t>
      </w:r>
      <w:r>
        <w:rPr>
          <w:color w:val="000000"/>
        </w:rPr>
        <w:t>”</w:t>
      </w:r>
      <w:r>
        <w:rPr>
          <w:rFonts w:ascii="Times New Roman;sans-serif" w:hAnsi="Times New Roman;sans-serif"/>
          <w:b w:val="false"/>
          <w:color w:val="000000"/>
          <w:sz w:val="22"/>
        </w:rPr>
        <w:t xml:space="preserve">), the parties acknowledge and agree as follows with respect to the resolution power of the Federal Deposit Insurance Corporation under the Federal Deposit Insurance Act and Title II of the </w:t>
      </w:r>
      <w:r>
        <w:rPr>
          <w:rFonts w:ascii="Times New Roman;sans-serif" w:hAnsi="Times New Roman;sans-serif"/>
          <w:b w:val="false"/>
          <w:strike/>
          <w:color w:val="FF0000"/>
          <w:sz w:val="22"/>
        </w:rPr>
        <w:t>Dodd-Frank</w:t>
      </w:r>
      <w:r>
        <w:rPr>
          <w:rFonts w:ascii="Times New Roman;sans-serif" w:hAnsi="Times New Roman;sans-serif"/>
          <w:b w:val="false"/>
          <w:color w:val="0000FF"/>
          <w:sz w:val="22"/>
          <w:u w:val="single"/>
        </w:rPr>
        <w:t>Dodd-Frank</w:t>
      </w:r>
      <w:r>
        <w:rPr>
          <w:color w:val="000000"/>
        </w:rPr>
        <w:t xml:space="preserve"> </w:t>
      </w:r>
      <w:r>
        <w:rPr>
          <w:rFonts w:ascii="Times New Roman;sans-serif" w:hAnsi="Times New Roman;sans-serif"/>
          <w:b w:val="false"/>
          <w:color w:val="000000"/>
          <w:sz w:val="22"/>
        </w:rPr>
        <w:t>Wall Street Reform and Consumer Protection Act (together with the regulations promulgated thereunder, the “</w:t>
      </w:r>
      <w:r>
        <w:rPr>
          <w:rFonts w:ascii="Times New Roman;sans-serif" w:hAnsi="Times New Roman;sans-serif"/>
          <w:b w:val="false"/>
          <w:color w:val="000000"/>
          <w:sz w:val="22"/>
          <w:u w:val="single"/>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ans-serif" w:hAnsi="Times New Roman;sans-serif"/>
          <w:b w:val="false"/>
          <w:color w:val="000000"/>
          <w:sz w:val="22"/>
          <w:u w:val="single"/>
        </w:rPr>
        <w:t>Covered Party</w:t>
      </w:r>
      <w:r>
        <w:rPr>
          <w:color w:val="000000"/>
        </w:rPr>
        <w:t>”</w:t>
      </w:r>
      <w:r>
        <w:rPr>
          <w:rFonts w:ascii="Times New Roman;sans-serif" w:hAnsi="Times New Roman;sans-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77"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both"/>
        <w:rPr/>
      </w:pPr>
      <w:r>
        <w:rPr>
          <w:rFonts w:ascii="Times New Roman;sans-serif" w:hAnsi="Times New Roman;sans-serif"/>
          <w:b/>
          <w:color w:val="000000"/>
          <w:sz w:val="22"/>
        </w:rPr>
        <w:t>SECTION 13.27    </w:t>
      </w:r>
      <w:r>
        <w:rPr>
          <w:rFonts w:ascii="Times New Roman;sans-serif" w:hAnsi="Times New Roman;sans-serif"/>
          <w:b/>
          <w:color w:val="000000"/>
          <w:sz w:val="22"/>
          <w:u w:val="single"/>
        </w:rPr>
        <w:t>Amendment and Restatement</w:t>
      </w:r>
      <w:r>
        <w:rPr>
          <w:rFonts w:ascii="Times New Roman;sans-serif" w:hAnsi="Times New Roman;sans-serif"/>
          <w:b w:val="false"/>
          <w:color w:val="000000"/>
          <w:sz w:val="22"/>
        </w:rPr>
        <w:t xml:space="preserve">. The parties to the Existing Credit Agreement, to the extent party hereto, each hereby agree that, at such time as this Agreement shall have become effective pursuant to the terms of </w:t>
      </w:r>
      <w:r>
        <w:rPr>
          <w:rFonts w:ascii="Times New Roman;sans-serif" w:hAnsi="Times New Roman;sans-serif"/>
          <w:b w:val="false"/>
          <w:color w:val="000000"/>
          <w:sz w:val="22"/>
          <w:u w:val="single"/>
        </w:rPr>
        <w:t>Section 5.1</w:t>
      </w:r>
      <w:r>
        <w:rPr>
          <w:rFonts w:ascii="Times New Roman;sans-serif" w:hAnsi="Times New Roman;sans-serif"/>
          <w:b w:val="false"/>
          <w:color w:val="000000"/>
          <w:sz w:val="22"/>
        </w:rPr>
        <w:t xml:space="preserve">, (a) the Existing Credit Agreement automatically shall be deemed amended and restated in its entirety by this Agreement, and (b) the Commitments and Loans under the Existing Credit Agreement and as defined therein automatically shall be replaced with the Commitments and Loans hereunder. This Agreement is not a novation of the Existing Credit Agreement. On the Closing Date, (i)(x) the Credit Parties shall prepay any dollar tranche revolving credit loans outstanding under the Existing Credit Agreement to the extent necessary to keep the outstanding Dollar Tranche Revolving Credit Loans ratable with the revised Dollar Tranche Revolving Credit Commitments as of the Closing Date, and (y) the dollar tranche revolving credit loans and dollar tranche revolving credit commitments made by the lenders under the Existing Credit Agreement shall be </w:t>
      </w:r>
      <w:r>
        <w:rPr>
          <w:rFonts w:ascii="Times New Roman;sans-serif" w:hAnsi="Times New Roman;sans-serif"/>
          <w:b w:val="false"/>
          <w:strike/>
          <w:color w:val="FF0000"/>
          <w:sz w:val="22"/>
        </w:rPr>
        <w:t>re-allocated</w:t>
      </w:r>
      <w:r>
        <w:rPr>
          <w:rFonts w:ascii="Times New Roman;sans-serif" w:hAnsi="Times New Roman;sans-serif"/>
          <w:b w:val="false"/>
          <w:color w:val="0000FF"/>
          <w:sz w:val="22"/>
          <w:u w:val="single"/>
        </w:rPr>
        <w:t>re-allocated</w:t>
      </w:r>
      <w:r>
        <w:rPr>
          <w:color w:val="000000"/>
        </w:rPr>
        <w:t xml:space="preserve"> </w:t>
      </w:r>
      <w:r>
        <w:rPr>
          <w:rFonts w:ascii="Times New Roman;sans-serif" w:hAnsi="Times New Roman;sans-serif"/>
          <w:b w:val="false"/>
          <w:color w:val="000000"/>
          <w:sz w:val="22"/>
        </w:rPr>
        <w:t xml:space="preserve">and restated among the Lenders so that, as of the Closing Date, the respective Dollar Tranche Revolving Credit Commitments of the Lenders shall be as set forth on </w:t>
      </w:r>
      <w:r>
        <w:rPr>
          <w:rFonts w:ascii="Times New Roman;sans-serif" w:hAnsi="Times New Roman;sans-serif"/>
          <w:b w:val="false"/>
          <w:color w:val="000000"/>
          <w:sz w:val="22"/>
          <w:u w:val="single"/>
        </w:rPr>
        <w:t>Schedule 1.1(b)</w:t>
      </w:r>
      <w:r>
        <w:rPr>
          <w:color w:val="000000"/>
        </w:rPr>
        <w:t xml:space="preserve"> </w:t>
      </w:r>
      <w:r>
        <w:rPr>
          <w:rFonts w:ascii="Times New Roman;sans-serif" w:hAnsi="Times New Roman;sans-serif"/>
          <w:b w:val="false"/>
          <w:color w:val="000000"/>
          <w:sz w:val="22"/>
        </w:rPr>
        <w:t xml:space="preserve">and (ii)(x) the Credit Parties shall prepay any designated currency tranche revolving credit loans outstanding under the Existing Credit Agreement to the extent necessary to keep the outstanding Designated Currency Tranche Revolving Credit Loans ratable with the revised Designated Currency Tranche Revolving Credit Commitments as of the Closing Date, and (y) the designated currency tranche revolving credit loans and designated currency tranche revolving credit commitments made by the lenders under the Existing Credit Agreement shall be </w:t>
      </w:r>
      <w:r>
        <w:rPr>
          <w:rFonts w:ascii="Times New Roman;sans-serif" w:hAnsi="Times New Roman;sans-serif"/>
          <w:b w:val="false"/>
          <w:strike/>
          <w:color w:val="FF0000"/>
          <w:sz w:val="22"/>
        </w:rPr>
        <w:t>re-allocated</w:t>
      </w:r>
      <w:r>
        <w:rPr>
          <w:rFonts w:ascii="Times New Roman;sans-serif" w:hAnsi="Times New Roman;sans-serif"/>
          <w:b w:val="false"/>
          <w:color w:val="0000FF"/>
          <w:sz w:val="22"/>
          <w:u w:val="single"/>
        </w:rPr>
        <w:t>re-allocated</w:t>
      </w:r>
      <w:r>
        <w:rPr>
          <w:color w:val="000000"/>
        </w:rPr>
        <w:t xml:space="preserve"> </w:t>
      </w:r>
      <w:r>
        <w:rPr>
          <w:rFonts w:ascii="Times New Roman;sans-serif" w:hAnsi="Times New Roman;sans-serif"/>
          <w:b w:val="false"/>
          <w:color w:val="000000"/>
          <w:sz w:val="22"/>
        </w:rPr>
        <w:t xml:space="preserve">and restated among the Lenders so that, as of the Closing Date, the respective Designated Currency Tranche Revolving Credit Commitments of the Lenders shall be as set forth on </w:t>
      </w:r>
      <w:r>
        <w:rPr>
          <w:rFonts w:ascii="Times New Roman;sans-serif" w:hAnsi="Times New Roman;sans-serif"/>
          <w:b w:val="false"/>
          <w:color w:val="000000"/>
          <w:sz w:val="22"/>
          <w:u w:val="single"/>
        </w:rPr>
        <w:t>Schedule 1.1(b)</w:t>
      </w:r>
      <w:r>
        <w:rPr>
          <w:rFonts w:ascii="Times New Roman;sans-serif" w:hAnsi="Times New Roman;sans-serif"/>
          <w:b w:val="false"/>
          <w:color w:val="000000"/>
          <w:sz w:val="22"/>
        </w:rPr>
        <w: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 pages omitted]</w:t>
      </w:r>
    </w:p>
    <w:p>
      <w:pPr>
        <w:pStyle w:val="TextBody"/>
        <w:bidi w:val="0"/>
        <w:spacing w:before="0" w:after="0"/>
        <w:jc w:val="both"/>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78"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51555C"/>
          <w:sz w:val="20"/>
        </w:rPr>
      </w:pPr>
      <w:r>
        <w:rPr>
          <w:rFonts w:ascii="Calibri;sans-serif" w:hAnsi="Calibri;sans-serif"/>
          <w:b/>
          <w:color w:val="51555C"/>
          <w:sz w:val="20"/>
        </w:rPr>
        <w:t>EXHIBIT 31.1</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SECTION 302 OF THE SARBANES-OXLEY ACT OF 2002</w:t>
      </w:r>
    </w:p>
    <w:p>
      <w:pPr>
        <w:pStyle w:val="TextBody"/>
        <w:bidi w:val="0"/>
        <w:spacing w:lineRule="auto" w:line="288" w:before="180" w:after="283"/>
        <w:jc w:val="left"/>
        <w:rPr>
          <w:rFonts w:ascii="Calibri;sans-serif" w:hAnsi="Calibri;sans-serif"/>
          <w:b w:val="false"/>
          <w:color w:val="51555C"/>
          <w:sz w:val="20"/>
        </w:rPr>
      </w:pPr>
      <w:r>
        <w:rPr>
          <w:rFonts w:ascii="Calibri;sans-serif" w:hAnsi="Calibri;sans-serif"/>
          <w:b w:val="false"/>
          <w:color w:val="51555C"/>
          <w:sz w:val="20"/>
        </w:rPr>
        <w:t>I, Michael P. Gianoni, certify that: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7600" w:type="dxa"/>
        <w:jc w:val="center"/>
        <w:tblInd w:w="0" w:type="dxa"/>
        <w:tblLayout w:type="fixed"/>
        <w:tblCellMar>
          <w:top w:w="28" w:type="dxa"/>
          <w:left w:w="28" w:type="dxa"/>
          <w:bottom w:w="28" w:type="dxa"/>
          <w:right w:w="28" w:type="dxa"/>
        </w:tblCellMar>
      </w:tblPr>
      <w:tblGrid>
        <w:gridCol w:w="190"/>
        <w:gridCol w:w="167"/>
        <w:gridCol w:w="168"/>
        <w:gridCol w:w="369"/>
        <w:gridCol w:w="369"/>
        <w:gridCol w:w="371"/>
        <w:gridCol w:w="115"/>
        <w:gridCol w:w="115"/>
        <w:gridCol w:w="115"/>
        <w:gridCol w:w="109"/>
        <w:gridCol w:w="109"/>
        <w:gridCol w:w="109"/>
        <w:gridCol w:w="1547"/>
        <w:gridCol w:w="1547"/>
        <w:gridCol w:w="220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May 1, 2024</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Chief Executive Officer, President and Vice Chairman of the Board</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79"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51555C"/>
          <w:sz w:val="20"/>
        </w:rPr>
      </w:pPr>
      <w:r>
        <w:rPr>
          <w:rFonts w:ascii="Calibri;sans-serif" w:hAnsi="Calibri;sans-serif"/>
          <w:b/>
          <w:color w:val="51555C"/>
          <w:sz w:val="20"/>
        </w:rPr>
        <w:t>EXHIBIT 31.2</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SECTION 302 OF THE SARBANES-OXLEY ACT OF 2002</w:t>
      </w:r>
    </w:p>
    <w:p>
      <w:pPr>
        <w:pStyle w:val="TextBody"/>
        <w:bidi w:val="0"/>
        <w:spacing w:lineRule="auto" w:line="288" w:before="180" w:after="283"/>
        <w:jc w:val="left"/>
        <w:rPr>
          <w:rFonts w:ascii="Calibri;sans-serif" w:hAnsi="Calibri;sans-serif"/>
          <w:b w:val="false"/>
          <w:color w:val="51555C"/>
          <w:sz w:val="20"/>
        </w:rPr>
      </w:pPr>
      <w:r>
        <w:rPr>
          <w:rFonts w:ascii="Calibri;sans-serif" w:hAnsi="Calibri;sans-serif"/>
          <w:b w:val="false"/>
          <w:color w:val="51555C"/>
          <w:sz w:val="20"/>
        </w:rPr>
        <w:t>I, Anthony W. Boor, certify that: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6446" w:type="dxa"/>
        <w:jc w:val="center"/>
        <w:tblInd w:w="0" w:type="dxa"/>
        <w:tblLayout w:type="fixed"/>
        <w:tblCellMar>
          <w:top w:w="28" w:type="dxa"/>
          <w:left w:w="28" w:type="dxa"/>
          <w:bottom w:w="28" w:type="dxa"/>
          <w:right w:w="28" w:type="dxa"/>
        </w:tblCellMar>
      </w:tblPr>
      <w:tblGrid>
        <w:gridCol w:w="190"/>
        <w:gridCol w:w="167"/>
        <w:gridCol w:w="168"/>
        <w:gridCol w:w="369"/>
        <w:gridCol w:w="369"/>
        <w:gridCol w:w="371"/>
        <w:gridCol w:w="115"/>
        <w:gridCol w:w="115"/>
        <w:gridCol w:w="115"/>
        <w:gridCol w:w="109"/>
        <w:gridCol w:w="109"/>
        <w:gridCol w:w="109"/>
        <w:gridCol w:w="1209"/>
        <w:gridCol w:w="1209"/>
        <w:gridCol w:w="1722"/>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May 1, 2024</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80"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51555C"/>
          <w:sz w:val="20"/>
        </w:rPr>
      </w:pPr>
      <w:r>
        <w:rPr>
          <w:rFonts w:ascii="Calibri;sans-serif" w:hAnsi="Calibri;sans-serif"/>
          <w:b/>
          <w:color w:val="51555C"/>
          <w:sz w:val="20"/>
        </w:rPr>
        <w:t>EXHIBIT 32.1</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18 U.S.C. SECTION 1350, AS ADOPTED</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PURSUANT TO SECTION 906 OF THE SARBANES-OXLEY ACT OF 2002</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connection with the Quarterly Report on Form 10-Q of Blackbaud, Inc. (the “Company”) for the period ended March 31, 2024 as filed with the Securities and Exchange Commission on or about the date hereof (the “Report”), I, Michael P. Gianoni, Chief Executive Officer, President and Vice Chairman of the Board,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7600" w:type="dxa"/>
        <w:jc w:val="left"/>
        <w:tblInd w:w="0" w:type="dxa"/>
        <w:tblLayout w:type="fixed"/>
        <w:tblCellMar>
          <w:top w:w="28" w:type="dxa"/>
          <w:left w:w="28" w:type="dxa"/>
          <w:bottom w:w="28" w:type="dxa"/>
          <w:right w:w="28" w:type="dxa"/>
        </w:tblCellMar>
      </w:tblPr>
      <w:tblGrid>
        <w:gridCol w:w="190"/>
        <w:gridCol w:w="167"/>
        <w:gridCol w:w="168"/>
        <w:gridCol w:w="369"/>
        <w:gridCol w:w="369"/>
        <w:gridCol w:w="371"/>
        <w:gridCol w:w="115"/>
        <w:gridCol w:w="115"/>
        <w:gridCol w:w="115"/>
        <w:gridCol w:w="109"/>
        <w:gridCol w:w="109"/>
        <w:gridCol w:w="109"/>
        <w:gridCol w:w="1547"/>
        <w:gridCol w:w="1547"/>
        <w:gridCol w:w="220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May 1, 2024</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Chief Executive Officer, President and Vice Chairman of the Board</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81"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51555C"/>
          <w:sz w:val="20"/>
        </w:rPr>
      </w:pPr>
      <w:r>
        <w:rPr>
          <w:rFonts w:ascii="Calibri;sans-serif" w:hAnsi="Calibri;sans-serif"/>
          <w:b/>
          <w:color w:val="51555C"/>
          <w:sz w:val="20"/>
        </w:rPr>
        <w:t>EXHIBIT 32.2</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18 U.S.C. SECTION 1350, AS ADOPTED</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PURSUANT TO SECTION 906 OF THE SARBANES-OXLEY ACT OF 2002</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connection with the Quarterly Report on Form 10-Q of Blackbaud, Inc. (the “Company”) for the period ended March 31, 2024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6446" w:type="dxa"/>
        <w:jc w:val="left"/>
        <w:tblInd w:w="0" w:type="dxa"/>
        <w:tblLayout w:type="fixed"/>
        <w:tblCellMar>
          <w:top w:w="28" w:type="dxa"/>
          <w:left w:w="28" w:type="dxa"/>
          <w:bottom w:w="28" w:type="dxa"/>
          <w:right w:w="28" w:type="dxa"/>
        </w:tblCellMar>
      </w:tblPr>
      <w:tblGrid>
        <w:gridCol w:w="190"/>
        <w:gridCol w:w="167"/>
        <w:gridCol w:w="168"/>
        <w:gridCol w:w="369"/>
        <w:gridCol w:w="369"/>
        <w:gridCol w:w="371"/>
        <w:gridCol w:w="115"/>
        <w:gridCol w:w="115"/>
        <w:gridCol w:w="115"/>
        <w:gridCol w:w="109"/>
        <w:gridCol w:w="109"/>
        <w:gridCol w:w="109"/>
        <w:gridCol w:w="1209"/>
        <w:gridCol w:w="1209"/>
        <w:gridCol w:w="1722"/>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May 1, 2024</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82"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4.jpeg"/><Relationship Id="rId54" Type="http://schemas.openxmlformats.org/officeDocument/2006/relationships/image" Target="media/image5.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6.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7.jpeg"/><Relationship Id="rId63" Type="http://schemas.openxmlformats.org/officeDocument/2006/relationships/image" Target="media/image8.jpeg"/><Relationship Id="rId64" Type="http://schemas.openxmlformats.org/officeDocument/2006/relationships/image" Target="media/image9.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10.jpeg"/><Relationship Id="rId68" Type="http://schemas.openxmlformats.org/officeDocument/2006/relationships/image" Target="media/image11.jpeg"/><Relationship Id="rId69" Type="http://schemas.openxmlformats.org/officeDocument/2006/relationships/image" Target="media/image1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13.jpeg"/><Relationship Id="rId73" Type="http://schemas.openxmlformats.org/officeDocument/2006/relationships/image" Target="media/image14.jpeg"/><Relationship Id="rId74" Type="http://schemas.openxmlformats.org/officeDocument/2006/relationships/image" Target="media/image15.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16.jpeg"/><Relationship Id="rId80" Type="http://schemas.openxmlformats.org/officeDocument/2006/relationships/image" Target="media/image17.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18.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3.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hyperlink" Target="https://www.sec.gov/Archives/edgar/data/1280058/000128005824000020/blkbex31certificateofelimi.htm" TargetMode="External"/><Relationship Id="rId122" Type="http://schemas.openxmlformats.org/officeDocument/2006/relationships/hyperlink" Target="https://www.sec.gov/Archives/edgar/data/1280058/000128005824000020/blkbex31certificateofelimi.htm" TargetMode="External"/><Relationship Id="rId123" Type="http://schemas.openxmlformats.org/officeDocument/2006/relationships/hyperlink" Target="https://www.sec.gov/Archives/edgar/data/1280058/000128005824000007/blkbex43rightsplanamendmen.htm" TargetMode="External"/><Relationship Id="rId124" Type="http://schemas.openxmlformats.org/officeDocument/2006/relationships/hyperlink" Target="https://www.sec.gov/Archives/edgar/data/1280058/000128005824000007/blkbex43rightsplanamendmen.htm" TargetMode="External"/><Relationship Id="rId125" Type="http://schemas.openxmlformats.org/officeDocument/2006/relationships/hyperlink" Target="https://www.sec.gov/Archives/edgar/data/1280058/000128005824000007/blkbex43rightsplanamendmen.htm" TargetMode="External"/><Relationship Id="rId126" Type="http://schemas.openxmlformats.org/officeDocument/2006/relationships/hyperlink" Target="https://www.sec.gov/Archives/edgar/data/1280058/000128005824000020/blkbex44rightsplanamendmen.htm" TargetMode="External"/><Relationship Id="rId127" Type="http://schemas.openxmlformats.org/officeDocument/2006/relationships/hyperlink" Target="https://www.sec.gov/Archives/edgar/data/1280058/000128005824000020/blkbex44rightsplanamendmen.htm" TargetMode="External"/><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3.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fontTable" Target="fontTable.xml"/><Relationship Id="rId1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210</Pages>
  <Words>134421</Words>
  <Characters>727206</Characters>
  <CharactersWithSpaces>861727</CharactersWithSpaces>
  <Paragraphs>4494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