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0"/>
        <w:spacing w:after="0"/>
        <w:rPr>
          <w:sz w:val="20"/>
          <w:szCs w:val="20"/>
          <w:color w:val="auto"/>
        </w:rPr>
      </w:pPr>
      <w:r>
        <w:rPr>
          <w:rFonts w:ascii="Arial" w:cs="Arial" w:eastAsia="Arial" w:hAnsi="Arial"/>
          <w:sz w:val="20"/>
          <w:szCs w:val="20"/>
          <w:b w:val="1"/>
          <w:bCs w:val="1"/>
          <w:color w:val="auto"/>
        </w:rPr>
        <w:t>UNITED STATES</w:t>
      </w:r>
    </w:p>
    <w:p>
      <w:pPr>
        <w:spacing w:after="0" w:line="24"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97" w:lineRule="exact"/>
        <w:rPr>
          <w:sz w:val="24"/>
          <w:szCs w:val="24"/>
          <w:color w:val="auto"/>
        </w:rPr>
      </w:pPr>
    </w:p>
    <w:p>
      <w:pPr>
        <w:ind w:left="700" w:right="2440" w:hanging="550"/>
        <w:spacing w:after="0" w:line="357" w:lineRule="auto"/>
        <w:tabs>
          <w:tab w:leader="none" w:pos="484"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June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4" w:lineRule="exact"/>
        <w:rPr>
          <w:sz w:val="24"/>
          <w:szCs w:val="24"/>
          <w:color w:val="auto"/>
        </w:rPr>
      </w:pPr>
    </w:p>
    <w:p>
      <w:pPr>
        <w:ind w:left="700"/>
        <w:spacing w:after="0"/>
        <w:tabs>
          <w:tab w:leader="none" w:pos="3700" w:val="left"/>
          <w:tab w:leader="none" w:pos="478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1794510</wp:posOffset>
            </wp:positionH>
            <wp:positionV relativeFrom="paragraph">
              <wp:posOffset>-14605</wp:posOffset>
            </wp:positionV>
            <wp:extent cx="1257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168910</wp:posOffset>
            </wp:positionV>
            <wp:extent cx="245173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Blackbaud,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14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11-2617163</w:t>
      </w:r>
    </w:p>
    <w:p>
      <w:pPr>
        <w:spacing w:after="0" w:line="79" w:lineRule="exact"/>
        <w:rPr>
          <w:sz w:val="24"/>
          <w:szCs w:val="24"/>
          <w:color w:val="auto"/>
        </w:rPr>
      </w:pPr>
    </w:p>
    <w:p>
      <w:pPr>
        <w:sectPr>
          <w:pgSz w:w="11900" w:h="16838" w:orient="portrait"/>
          <w:cols w:equalWidth="0" w:num="2">
            <w:col w:w="7320" w:space="720"/>
            <w:col w:w="3200"/>
          </w:cols>
          <w:pgMar w:left="320" w:top="922"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107" w:lineRule="exact"/>
        <w:rPr>
          <w:sz w:val="24"/>
          <w:szCs w:val="24"/>
          <w:color w:val="auto"/>
        </w:rPr>
      </w:pPr>
    </w:p>
    <w:p>
      <w:pPr>
        <w:sectPr>
          <w:pgSz w:w="11900" w:h="16838" w:orient="portrait"/>
          <w:cols w:equalWidth="0" w:num="2">
            <w:col w:w="6520" w:space="720"/>
            <w:col w:w="4000"/>
          </w:cols>
          <w:pgMar w:left="320" w:top="922"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65 Fairchild Street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Charleston, South Carolina 29492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(843) 216-6200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3"/>
          </w:tcPr>
          <w:p>
            <w:pPr>
              <w:jc w:val="center"/>
              <w:ind w:right="380"/>
              <w:spacing w:after="0"/>
              <w:rPr>
                <w:sz w:val="20"/>
                <w:szCs w:val="20"/>
                <w:color w:val="auto"/>
              </w:rPr>
            </w:pPr>
            <w:r>
              <w:rPr>
                <w:rFonts w:ascii="Arial" w:cs="Arial" w:eastAsia="Arial" w:hAnsi="Arial"/>
                <w:sz w:val="16"/>
                <w:szCs w:val="16"/>
                <w:color w:val="auto"/>
              </w:rPr>
              <w:t>Securities Registered Pursuant to Section 12(b) of the Act: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9"/>
        </w:trPr>
        <w:tc>
          <w:tcPr>
            <w:tcW w:w="1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Title of Each Class</w:t>
            </w:r>
          </w:p>
        </w:tc>
        <w:tc>
          <w:tcPr>
            <w:tcW w:w="1800" w:type="dxa"/>
            <w:vAlign w:val="bottom"/>
          </w:tcPr>
          <w:p>
            <w:pPr>
              <w:spacing w:after="0"/>
              <w:rPr>
                <w:sz w:val="18"/>
                <w:szCs w:val="18"/>
                <w:color w:val="auto"/>
              </w:rPr>
            </w:pPr>
          </w:p>
        </w:tc>
        <w:tc>
          <w:tcPr>
            <w:tcW w:w="1720" w:type="dxa"/>
            <w:vAlign w:val="bottom"/>
            <w:gridSpan w:val="2"/>
          </w:tcPr>
          <w:p>
            <w:pPr>
              <w:jc w:val="center"/>
              <w:ind w:left="319"/>
              <w:spacing w:after="0"/>
              <w:rPr>
                <w:sz w:val="20"/>
                <w:szCs w:val="20"/>
                <w:color w:val="auto"/>
              </w:rPr>
            </w:pPr>
            <w:r>
              <w:rPr>
                <w:rFonts w:ascii="Arial" w:cs="Arial" w:eastAsia="Arial" w:hAnsi="Arial"/>
                <w:sz w:val="16"/>
                <w:szCs w:val="16"/>
                <w:color w:val="auto"/>
              </w:rPr>
              <w:t>Trading Symbol(s)</w:t>
            </w:r>
          </w:p>
        </w:tc>
        <w:tc>
          <w:tcPr>
            <w:tcW w:w="1160" w:type="dxa"/>
            <w:vAlign w:val="bottom"/>
          </w:tcPr>
          <w:p>
            <w:pPr>
              <w:spacing w:after="0"/>
              <w:rPr>
                <w:sz w:val="18"/>
                <w:szCs w:val="18"/>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8"/>
        </w:trPr>
        <w:tc>
          <w:tcPr>
            <w:tcW w:w="46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Common Stock, $0.001 Par Value</w:t>
            </w:r>
          </w:p>
        </w:tc>
        <w:tc>
          <w:tcPr>
            <w:tcW w:w="4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BLKB</w:t>
            </w:r>
          </w:p>
        </w:tc>
        <w:tc>
          <w:tcPr>
            <w:tcW w:w="1160" w:type="dxa"/>
            <w:vAlign w:val="bottom"/>
          </w:tcPr>
          <w:p>
            <w:pPr>
              <w:spacing w:after="0"/>
              <w:rPr>
                <w:sz w:val="22"/>
                <w:szCs w:val="22"/>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Nasdaq Global Select Market</w:t>
            </w:r>
          </w:p>
        </w:tc>
      </w:tr>
      <w:tr>
        <w:trPr>
          <w:trHeight w:val="73"/>
        </w:trPr>
        <w:tc>
          <w:tcPr>
            <w:tcW w:w="14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bl>
    <w:p>
      <w:pPr>
        <w:spacing w:after="0" w:line="200" w:lineRule="exact"/>
        <w:rPr>
          <w:sz w:val="24"/>
          <w:szCs w:val="24"/>
          <w:color w:val="auto"/>
        </w:rPr>
      </w:pPr>
    </w:p>
    <w:p>
      <w:pPr>
        <w:spacing w:after="0" w:line="288"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19"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19"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8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2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97" w:lineRule="exact"/>
        <w:rPr>
          <w:sz w:val="24"/>
          <w:szCs w:val="24"/>
          <w:color w:val="auto"/>
        </w:rPr>
      </w:pPr>
    </w:p>
    <w:p>
      <w:pPr>
        <w:ind w:right="2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registrant is a shell company (as defined in Rule 12b-2 of the Exchange Act).</w:t>
      </w:r>
    </w:p>
    <w:p>
      <w:pPr>
        <w:spacing w:after="0" w:line="8"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August 2, 2021 was 48,883,115.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50535A"/>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320" w:type="dxa"/>
            <w:vAlign w:val="bottom"/>
            <w:gridSpan w:val="2"/>
          </w:tcPr>
          <w:p>
            <w:pPr>
              <w:ind w:left="20"/>
              <w:spacing w:after="0"/>
              <w:rPr>
                <w:rFonts w:ascii="Arial" w:cs="Arial" w:eastAsia="Arial" w:hAnsi="Arial"/>
                <w:sz w:val="20"/>
                <w:szCs w:val="20"/>
                <w:b w:val="1"/>
                <w:bCs w:val="1"/>
                <w:color w:val="71BF43"/>
              </w:rPr>
            </w:pPr>
            <w:hyperlink w:anchor="page2">
              <w:r>
                <w:rPr>
                  <w:rFonts w:ascii="Arial" w:cs="Arial" w:eastAsia="Arial" w:hAnsi="Arial"/>
                  <w:sz w:val="20"/>
                  <w:szCs w:val="20"/>
                  <w:b w:val="1"/>
                  <w:bCs w:val="1"/>
                  <w:color w:val="71BF43"/>
                </w:rPr>
                <w:t>CAUTIONARY STATEMENT REGARDING FORWARD-LOOKING STATEMENTS</w:t>
              </w:r>
            </w:hyperlink>
          </w:p>
        </w:tc>
        <w:tc>
          <w:tcPr>
            <w:tcW w:w="1880" w:type="dxa"/>
            <w:vAlign w:val="bottom"/>
          </w:tcPr>
          <w:p>
            <w:pPr>
              <w:ind w:left="1420"/>
              <w:spacing w:after="0"/>
              <w:rPr>
                <w:rFonts w:ascii="Arial" w:cs="Arial" w:eastAsia="Arial" w:hAnsi="Arial"/>
                <w:sz w:val="20"/>
                <w:szCs w:val="20"/>
                <w:b w:val="1"/>
                <w:bCs w:val="1"/>
                <w:color w:val="71BF43"/>
              </w:rPr>
            </w:pPr>
            <w:hyperlink w:anchor="page2">
              <w:r>
                <w:rPr>
                  <w:rFonts w:ascii="Arial" w:cs="Arial" w:eastAsia="Arial" w:hAnsi="Arial"/>
                  <w:sz w:val="20"/>
                  <w:szCs w:val="20"/>
                  <w:b w:val="1"/>
                  <w:bCs w:val="1"/>
                  <w:color w:val="71BF43"/>
                </w:rPr>
                <w:t>2</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r>
        <w:trPr>
          <w:trHeight w:val="524"/>
        </w:trPr>
        <w:tc>
          <w:tcPr>
            <w:tcW w:w="940" w:type="dxa"/>
            <w:vAlign w:val="bottom"/>
          </w:tcPr>
          <w:p>
            <w:pPr>
              <w:ind w:left="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PART I.</w:t>
              </w:r>
            </w:hyperlink>
          </w:p>
        </w:tc>
        <w:tc>
          <w:tcPr>
            <w:tcW w:w="8380" w:type="dxa"/>
            <w:vAlign w:val="bottom"/>
          </w:tcPr>
          <w:p>
            <w:pPr>
              <w:ind w:left="14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FINANCIAL INFORMATION</w:t>
              </w:r>
            </w:hyperlink>
          </w:p>
        </w:tc>
        <w:tc>
          <w:tcPr>
            <w:tcW w:w="1880" w:type="dxa"/>
            <w:vAlign w:val="bottom"/>
          </w:tcPr>
          <w:p>
            <w:pPr>
              <w:ind w:left="14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3</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r>
        <w:trPr>
          <w:trHeight w:val="331"/>
        </w:trPr>
        <w:tc>
          <w:tcPr>
            <w:tcW w:w="94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38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w:t>
              </w:r>
            </w:hyperlink>
          </w:p>
        </w:tc>
        <w:tc>
          <w:tcPr>
            <w:tcW w:w="188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(Unaudited)</w:t>
              </w:r>
            </w:hyperlink>
          </w:p>
        </w:tc>
        <w:tc>
          <w:tcPr>
            <w:tcW w:w="1880" w:type="dxa"/>
            <w:vAlign w:val="bottom"/>
          </w:tcPr>
          <w:p>
            <w:pPr>
              <w:ind w:left="1420"/>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Comprehensive Income (Unaudited)</w:t>
              </w:r>
            </w:hyperlink>
          </w:p>
        </w:tc>
        <w:tc>
          <w:tcPr>
            <w:tcW w:w="1880" w:type="dxa"/>
            <w:vAlign w:val="bottom"/>
          </w:tcPr>
          <w:p>
            <w:pPr>
              <w:ind w:left="1420"/>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Cash Flows (Unaudited)</w:t>
              </w:r>
            </w:hyperlink>
          </w:p>
        </w:tc>
        <w:tc>
          <w:tcPr>
            <w:tcW w:w="1880" w:type="dxa"/>
            <w:vAlign w:val="bottom"/>
          </w:tcPr>
          <w:p>
            <w:pPr>
              <w:ind w:left="14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Stockholders’ Equity (Unaudited)</w:t>
              </w:r>
            </w:hyperlink>
          </w:p>
        </w:tc>
        <w:tc>
          <w:tcPr>
            <w:tcW w:w="1880" w:type="dxa"/>
            <w:vAlign w:val="bottom"/>
          </w:tcPr>
          <w:p>
            <w:pPr>
              <w:ind w:left="14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 (Unaudited)</w:t>
              </w:r>
            </w:hyperlink>
          </w:p>
        </w:tc>
        <w:tc>
          <w:tcPr>
            <w:tcW w:w="1880" w:type="dxa"/>
            <w:vAlign w:val="bottom"/>
          </w:tcPr>
          <w:p>
            <w:pPr>
              <w:ind w:left="1420"/>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23">
              <w:r>
                <w:rPr>
                  <w:rFonts w:ascii="Arial" w:cs="Arial" w:eastAsia="Arial" w:hAnsi="Arial"/>
                  <w:sz w:val="18"/>
                  <w:szCs w:val="18"/>
                  <w:color w:val="auto"/>
                </w:rPr>
                <w:t>Item 2.</w:t>
              </w:r>
            </w:hyperlink>
          </w:p>
        </w:tc>
        <w:tc>
          <w:tcPr>
            <w:tcW w:w="8380" w:type="dxa"/>
            <w:vAlign w:val="bottom"/>
          </w:tcPr>
          <w:p>
            <w:pPr>
              <w:ind w:left="140"/>
              <w:spacing w:after="0"/>
              <w:rPr>
                <w:rFonts w:ascii="Arial" w:cs="Arial" w:eastAsia="Arial" w:hAnsi="Arial"/>
                <w:sz w:val="18"/>
                <w:szCs w:val="18"/>
                <w:color w:val="auto"/>
              </w:rPr>
            </w:pPr>
            <w:hyperlink w:anchor="page23">
              <w:r>
                <w:rPr>
                  <w:rFonts w:ascii="Arial" w:cs="Arial" w:eastAsia="Arial" w:hAnsi="Arial"/>
                  <w:sz w:val="18"/>
                  <w:szCs w:val="18"/>
                  <w:color w:val="auto"/>
                </w:rPr>
                <w:t>Management's discussion and analysis of financial condition and results of operations</w:t>
              </w:r>
            </w:hyperlink>
          </w:p>
        </w:tc>
        <w:tc>
          <w:tcPr>
            <w:tcW w:w="1880" w:type="dxa"/>
            <w:vAlign w:val="bottom"/>
          </w:tcPr>
          <w:p>
            <w:pPr>
              <w:ind w:left="1420"/>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3">
              <w:r>
                <w:rPr>
                  <w:rFonts w:ascii="Arial" w:cs="Arial" w:eastAsia="Arial" w:hAnsi="Arial"/>
                  <w:sz w:val="18"/>
                  <w:szCs w:val="18"/>
                  <w:color w:val="auto"/>
                </w:rPr>
                <w:t>Item 3.</w:t>
              </w:r>
            </w:hyperlink>
          </w:p>
        </w:tc>
        <w:tc>
          <w:tcPr>
            <w:tcW w:w="8380" w:type="dxa"/>
            <w:vAlign w:val="bottom"/>
          </w:tcPr>
          <w:p>
            <w:pPr>
              <w:ind w:left="140"/>
              <w:spacing w:after="0"/>
              <w:rPr>
                <w:rFonts w:ascii="Arial" w:cs="Arial" w:eastAsia="Arial" w:hAnsi="Arial"/>
                <w:sz w:val="18"/>
                <w:szCs w:val="18"/>
                <w:color w:val="auto"/>
              </w:rPr>
            </w:pPr>
            <w:hyperlink w:anchor="page43">
              <w:r>
                <w:rPr>
                  <w:rFonts w:ascii="Arial" w:cs="Arial" w:eastAsia="Arial" w:hAnsi="Arial"/>
                  <w:sz w:val="18"/>
                  <w:szCs w:val="18"/>
                  <w:color w:val="auto"/>
                </w:rPr>
                <w:t>Quantitative and qualitative disclosures about market risk</w:t>
              </w:r>
            </w:hyperlink>
          </w:p>
        </w:tc>
        <w:tc>
          <w:tcPr>
            <w:tcW w:w="1880" w:type="dxa"/>
            <w:vAlign w:val="bottom"/>
          </w:tcPr>
          <w:p>
            <w:pPr>
              <w:ind w:left="1420"/>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Item 4.</w:t>
              </w:r>
            </w:hyperlink>
          </w:p>
        </w:tc>
        <w:tc>
          <w:tcPr>
            <w:tcW w:w="838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Controls and procedures</w:t>
              </w:r>
            </w:hyperlink>
          </w:p>
        </w:tc>
        <w:tc>
          <w:tcPr>
            <w:tcW w:w="1880" w:type="dxa"/>
            <w:vAlign w:val="bottom"/>
          </w:tcPr>
          <w:p>
            <w:pPr>
              <w:ind w:left="1420"/>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558"/>
        </w:trPr>
        <w:tc>
          <w:tcPr>
            <w:tcW w:w="940" w:type="dxa"/>
            <w:vAlign w:val="bottom"/>
          </w:tcPr>
          <w:p>
            <w:pPr>
              <w:ind w:left="20"/>
              <w:spacing w:after="0"/>
              <w:rPr>
                <w:rFonts w:ascii="Arial" w:cs="Arial" w:eastAsia="Arial" w:hAnsi="Arial"/>
                <w:sz w:val="20"/>
                <w:szCs w:val="20"/>
                <w:b w:val="1"/>
                <w:bCs w:val="1"/>
                <w:color w:val="71BF43"/>
              </w:rPr>
            </w:pPr>
            <w:hyperlink w:anchor="page44">
              <w:r>
                <w:rPr>
                  <w:rFonts w:ascii="Arial" w:cs="Arial" w:eastAsia="Arial" w:hAnsi="Arial"/>
                  <w:sz w:val="20"/>
                  <w:szCs w:val="20"/>
                  <w:b w:val="1"/>
                  <w:bCs w:val="1"/>
                  <w:color w:val="71BF43"/>
                </w:rPr>
                <w:t>PART II.</w:t>
              </w:r>
            </w:hyperlink>
          </w:p>
        </w:tc>
        <w:tc>
          <w:tcPr>
            <w:tcW w:w="8380" w:type="dxa"/>
            <w:vAlign w:val="bottom"/>
          </w:tcPr>
          <w:p>
            <w:pPr>
              <w:ind w:left="140"/>
              <w:spacing w:after="0"/>
              <w:rPr>
                <w:rFonts w:ascii="Arial" w:cs="Arial" w:eastAsia="Arial" w:hAnsi="Arial"/>
                <w:sz w:val="20"/>
                <w:szCs w:val="20"/>
                <w:b w:val="1"/>
                <w:bCs w:val="1"/>
                <w:color w:val="71BF43"/>
              </w:rPr>
            </w:pPr>
            <w:hyperlink w:anchor="page44">
              <w:r>
                <w:rPr>
                  <w:rFonts w:ascii="Arial" w:cs="Arial" w:eastAsia="Arial" w:hAnsi="Arial"/>
                  <w:sz w:val="20"/>
                  <w:szCs w:val="20"/>
                  <w:b w:val="1"/>
                  <w:bCs w:val="1"/>
                  <w:color w:val="71BF43"/>
                </w:rPr>
                <w:t>OTHER INFORMATION</w:t>
              </w:r>
            </w:hyperlink>
          </w:p>
        </w:tc>
        <w:tc>
          <w:tcPr>
            <w:tcW w:w="1880" w:type="dxa"/>
            <w:vAlign w:val="bottom"/>
          </w:tcPr>
          <w:p>
            <w:pPr>
              <w:ind w:left="1420"/>
              <w:spacing w:after="0"/>
              <w:rPr>
                <w:rFonts w:ascii="Arial" w:cs="Arial" w:eastAsia="Arial" w:hAnsi="Arial"/>
                <w:sz w:val="20"/>
                <w:szCs w:val="20"/>
                <w:b w:val="1"/>
                <w:bCs w:val="1"/>
                <w:color w:val="71BF43"/>
              </w:rPr>
            </w:pPr>
            <w:hyperlink w:anchor="page44">
              <w:r>
                <w:rPr>
                  <w:rFonts w:ascii="Arial" w:cs="Arial" w:eastAsia="Arial" w:hAnsi="Arial"/>
                  <w:sz w:val="20"/>
                  <w:szCs w:val="20"/>
                  <w:b w:val="1"/>
                  <w:bCs w:val="1"/>
                  <w:color w:val="71BF43"/>
                </w:rPr>
                <w:t>44</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r>
        <w:trPr>
          <w:trHeight w:val="331"/>
        </w:trPr>
        <w:tc>
          <w:tcPr>
            <w:tcW w:w="94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Item 1.</w:t>
              </w:r>
            </w:hyperlink>
          </w:p>
        </w:tc>
        <w:tc>
          <w:tcPr>
            <w:tcW w:w="838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Legal proceedings</w:t>
              </w:r>
            </w:hyperlink>
          </w:p>
        </w:tc>
        <w:tc>
          <w:tcPr>
            <w:tcW w:w="1880" w:type="dxa"/>
            <w:vAlign w:val="bottom"/>
          </w:tcPr>
          <w:p>
            <w:pPr>
              <w:ind w:left="1420"/>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Item 1A.</w:t>
              </w:r>
            </w:hyperlink>
          </w:p>
        </w:tc>
        <w:tc>
          <w:tcPr>
            <w:tcW w:w="838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Risk factors</w:t>
              </w:r>
            </w:hyperlink>
          </w:p>
        </w:tc>
        <w:tc>
          <w:tcPr>
            <w:tcW w:w="1880" w:type="dxa"/>
            <w:vAlign w:val="bottom"/>
          </w:tcPr>
          <w:p>
            <w:pPr>
              <w:ind w:left="1420"/>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Item 2.</w:t>
              </w:r>
            </w:hyperlink>
          </w:p>
        </w:tc>
        <w:tc>
          <w:tcPr>
            <w:tcW w:w="838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Unregistered sales of equity securities and use of proceeds</w:t>
              </w:r>
            </w:hyperlink>
          </w:p>
        </w:tc>
        <w:tc>
          <w:tcPr>
            <w:tcW w:w="1880" w:type="dxa"/>
            <w:vAlign w:val="bottom"/>
          </w:tcPr>
          <w:p>
            <w:pPr>
              <w:ind w:left="1420"/>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Item 6.</w:t>
              </w:r>
            </w:hyperlink>
          </w:p>
        </w:tc>
        <w:tc>
          <w:tcPr>
            <w:tcW w:w="838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Exhibits</w:t>
              </w:r>
            </w:hyperlink>
          </w:p>
        </w:tc>
        <w:tc>
          <w:tcPr>
            <w:tcW w:w="1880" w:type="dxa"/>
            <w:vAlign w:val="bottom"/>
          </w:tcPr>
          <w:p>
            <w:pPr>
              <w:ind w:left="1420"/>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557"/>
        </w:trPr>
        <w:tc>
          <w:tcPr>
            <w:tcW w:w="9320" w:type="dxa"/>
            <w:vAlign w:val="bottom"/>
            <w:gridSpan w:val="2"/>
          </w:tcPr>
          <w:p>
            <w:pPr>
              <w:ind w:left="20"/>
              <w:spacing w:after="0"/>
              <w:rPr>
                <w:rFonts w:ascii="Arial" w:cs="Arial" w:eastAsia="Arial" w:hAnsi="Arial"/>
                <w:sz w:val="20"/>
                <w:szCs w:val="20"/>
                <w:b w:val="1"/>
                <w:bCs w:val="1"/>
                <w:color w:val="71BF43"/>
              </w:rPr>
            </w:pPr>
            <w:hyperlink w:anchor="page47">
              <w:r>
                <w:rPr>
                  <w:rFonts w:ascii="Arial" w:cs="Arial" w:eastAsia="Arial" w:hAnsi="Arial"/>
                  <w:sz w:val="20"/>
                  <w:szCs w:val="20"/>
                  <w:b w:val="1"/>
                  <w:bCs w:val="1"/>
                  <w:color w:val="71BF43"/>
                </w:rPr>
                <w:t>SIGNATURES</w:t>
              </w:r>
            </w:hyperlink>
          </w:p>
        </w:tc>
        <w:tc>
          <w:tcPr>
            <w:tcW w:w="1880" w:type="dxa"/>
            <w:vAlign w:val="bottom"/>
          </w:tcPr>
          <w:p>
            <w:pPr>
              <w:ind w:left="1420"/>
              <w:spacing w:after="0"/>
              <w:rPr>
                <w:rFonts w:ascii="Arial" w:cs="Arial" w:eastAsia="Arial" w:hAnsi="Arial"/>
                <w:sz w:val="20"/>
                <w:szCs w:val="20"/>
                <w:b w:val="1"/>
                <w:bCs w:val="1"/>
                <w:color w:val="71BF43"/>
              </w:rPr>
            </w:pPr>
            <w:hyperlink w:anchor="page47">
              <w:r>
                <w:rPr>
                  <w:rFonts w:ascii="Arial" w:cs="Arial" w:eastAsia="Arial" w:hAnsi="Arial"/>
                  <w:sz w:val="20"/>
                  <w:szCs w:val="20"/>
                  <w:b w:val="1"/>
                  <w:bCs w:val="1"/>
                  <w:color w:val="71BF43"/>
                </w:rPr>
                <w:t>47</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796925</wp:posOffset>
            </wp:positionV>
            <wp:extent cx="67691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30"/>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80" w:right="640"/>
        <w:spacing w:after="0" w:line="281" w:lineRule="auto"/>
        <w:rPr>
          <w:sz w:val="20"/>
          <w:szCs w:val="20"/>
          <w:color w:val="auto"/>
        </w:rPr>
      </w:pPr>
      <w:r>
        <w:rPr>
          <w:rFonts w:ascii="Arial" w:cs="Arial" w:eastAsia="Arial" w:hAnsi="Arial"/>
          <w:sz w:val="40"/>
          <w:szCs w:val="40"/>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-492760</wp:posOffset>
            </wp:positionV>
            <wp:extent cx="1803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222885"/>
                    </a:xfrm>
                    <a:prstGeom prst="rect">
                      <a:avLst/>
                    </a:prstGeom>
                    <a:noFill/>
                  </pic:spPr>
                </pic:pic>
              </a:graphicData>
            </a:graphic>
          </wp:anchor>
        </w:drawing>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specific and overall impacts of the COVID-19 global pandemic on our financial condition and results of operations and on the markets and communities in which we and our customers and partners operate,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2020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pacing w:after="0" w:line="314"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auto"/>
        </w:rPr>
        <w:t>2</w:t>
      </w:r>
      <w:r>
        <w:rPr>
          <w:sz w:val="20"/>
          <w:szCs w:val="20"/>
          <w:color w:val="auto"/>
        </w:rPr>
        <w:tab/>
      </w:r>
      <w:r>
        <w:rPr>
          <w:sz w:val="1"/>
          <w:szCs w:val="1"/>
          <w:color w:val="auto"/>
        </w:rPr>
        <w:drawing>
          <wp:inline distT="0" distB="0" distL="0" distR="0">
            <wp:extent cx="676910" cy="171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ind w:left="680"/>
        <w:spacing w:after="0"/>
        <w:rPr>
          <w:sz w:val="20"/>
          <w:szCs w:val="20"/>
          <w:color w:val="auto"/>
        </w:rPr>
      </w:pPr>
      <w:r>
        <w:rPr>
          <w:rFonts w:ascii="Arial" w:cs="Arial" w:eastAsia="Arial" w:hAnsi="Arial"/>
          <w:sz w:val="40"/>
          <w:szCs w:val="40"/>
          <w:b w:val="1"/>
          <w:bCs w:val="1"/>
          <w:color w:val="50535A"/>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-272415</wp:posOffset>
            </wp:positionV>
            <wp:extent cx="17970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705" cy="24003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92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1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tcBorders>
              <w:bottom w:val="single" w:sz="8" w:color="ACACAC"/>
            </w:tcBorders>
            <w:shd w:val="clear" w:color="auto" w:fill="ACACAC"/>
          </w:tcPr>
          <w:p>
            <w:pPr>
              <w:spacing w:after="0"/>
              <w:rPr>
                <w:sz w:val="17"/>
                <w:szCs w:val="17"/>
                <w:color w:val="auto"/>
              </w:rPr>
            </w:pPr>
          </w:p>
        </w:tc>
        <w:tc>
          <w:tcPr>
            <w:tcW w:w="11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3"/>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Assets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Current assets:</w:t>
            </w: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Cash and cash equivalents</w:t>
            </w:r>
          </w:p>
        </w:tc>
        <w:tc>
          <w:tcPr>
            <w:tcW w:w="480" w:type="dxa"/>
            <w:vAlign w:val="bottom"/>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28,288</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35,750</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Restricted cash</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434,567</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609,219</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Accounts receivable, net of allowance of $9,911 and $10,292 at June 30, 2021 and December 31,</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2020, respectively</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119,270</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95,404</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Customer funds receivable</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5,390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Borders>
              <w:bottom w:val="single" w:sz="8" w:color="auto"/>
            </w:tcBorders>
            <w:shd w:val="clear" w:color="auto" w:fill="F4F4F4"/>
          </w:tcPr>
          <w:p>
            <w:pPr>
              <w:spacing w:after="0"/>
              <w:rPr>
                <w:sz w:val="21"/>
                <w:szCs w:val="21"/>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103,493</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78,366</w:t>
            </w:r>
          </w:p>
        </w:tc>
        <w:tc>
          <w:tcPr>
            <w:tcW w:w="20" w:type="dxa"/>
            <w:vAlign w:val="bottom"/>
          </w:tcPr>
          <w:p>
            <w:pPr>
              <w:spacing w:after="0"/>
              <w:rPr>
                <w:sz w:val="21"/>
                <w:szCs w:val="21"/>
                <w:color w:val="auto"/>
              </w:rPr>
            </w:pPr>
          </w:p>
        </w:tc>
      </w:tr>
      <w:tr>
        <w:trPr>
          <w:trHeight w:val="227"/>
        </w:trPr>
        <w:tc>
          <w:tcPr>
            <w:tcW w:w="79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691,008</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819,060</w:t>
            </w:r>
          </w:p>
        </w:tc>
        <w:tc>
          <w:tcPr>
            <w:tcW w:w="20" w:type="dxa"/>
            <w:vAlign w:val="bottom"/>
          </w:tcPr>
          <w:p>
            <w:pPr>
              <w:spacing w:after="0"/>
              <w:rPr>
                <w:sz w:val="19"/>
                <w:szCs w:val="19"/>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Property and equipment, net</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104,914</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105,177</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22,630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22,671</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Software development costs, net</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116,562</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111,827</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637,510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635,854</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Intangible assets, net</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260,072</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277,506</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40"/>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70,666</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72,639</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880"/>
              <w:spacing w:after="0"/>
              <w:rPr>
                <w:sz w:val="20"/>
                <w:szCs w:val="20"/>
                <w:color w:val="auto"/>
              </w:rPr>
            </w:pPr>
            <w:r>
              <w:rPr>
                <w:rFonts w:ascii="Arial" w:cs="Arial" w:eastAsia="Arial" w:hAnsi="Arial"/>
                <w:sz w:val="16"/>
                <w:szCs w:val="16"/>
                <w:b w:val="1"/>
                <w:bCs w:val="1"/>
                <w:color w:val="auto"/>
              </w:rPr>
              <w:t>Total assets</w:t>
            </w:r>
          </w:p>
        </w:tc>
        <w:tc>
          <w:tcPr>
            <w:tcW w:w="480" w:type="dxa"/>
            <w:vAlign w:val="bottom"/>
            <w:tcBorders>
              <w:bottom w:val="single" w:sz="8" w:color="auto"/>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1,903,362</w:t>
            </w:r>
          </w:p>
        </w:tc>
        <w:tc>
          <w:tcPr>
            <w:tcW w:w="400" w:type="dxa"/>
            <w:vAlign w:val="bottom"/>
            <w:tcBorders>
              <w:bottom w:val="single" w:sz="8" w:color="auto"/>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2,044,734</w:t>
            </w:r>
          </w:p>
        </w:tc>
        <w:tc>
          <w:tcPr>
            <w:tcW w:w="20" w:type="dxa"/>
            <w:vAlign w:val="bottom"/>
          </w:tcPr>
          <w:p>
            <w:pPr>
              <w:spacing w:after="0"/>
              <w:rPr>
                <w:sz w:val="21"/>
                <w:szCs w:val="2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Current liabilities: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Trade accounts payable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30,605</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27,836</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Accrued expenses and other current liabilities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55,808</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52,228</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Due to customers</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438,633</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608,264</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Debt, current portion</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12,911</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12,840</w:t>
            </w:r>
          </w:p>
        </w:tc>
        <w:tc>
          <w:tcPr>
            <w:tcW w:w="20" w:type="dxa"/>
            <w:vAlign w:val="bottom"/>
          </w:tcPr>
          <w:p>
            <w:pPr>
              <w:spacing w:after="0"/>
              <w:rPr>
                <w:sz w:val="21"/>
                <w:szCs w:val="21"/>
                <w:color w:val="auto"/>
              </w:rPr>
            </w:pPr>
          </w:p>
        </w:tc>
      </w:tr>
      <w:tr>
        <w:trPr>
          <w:trHeight w:val="237"/>
        </w:trPr>
        <w:tc>
          <w:tcPr>
            <w:tcW w:w="7920" w:type="dxa"/>
            <w:vAlign w:val="bottom"/>
            <w:tcBorders>
              <w:bottom w:val="single" w:sz="8" w:color="F4F4F4"/>
            </w:tcBorders>
          </w:tcPr>
          <w:p>
            <w:pPr>
              <w:ind w:left="460"/>
              <w:spacing w:after="0"/>
              <w:rPr>
                <w:sz w:val="20"/>
                <w:szCs w:val="20"/>
                <w:color w:val="auto"/>
              </w:rPr>
            </w:pPr>
            <w:r>
              <w:rPr>
                <w:rFonts w:ascii="Arial" w:cs="Arial" w:eastAsia="Arial" w:hAnsi="Arial"/>
                <w:sz w:val="16"/>
                <w:szCs w:val="16"/>
                <w:color w:val="auto"/>
              </w:rPr>
              <w:t>Deferred revenue, current portion</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339,670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312,236</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66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877,627</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1,013,404</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Debt, net of current portion</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531,973</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518,193</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Deferred tax liability</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56,227</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54,086</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Deferred revenue, net of current portion</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5,749</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4,678</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Operating lease liabilities, net of current portion</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17,173</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17,357</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40"/>
              <w:spacing w:after="0"/>
              <w:rPr>
                <w:sz w:val="20"/>
                <w:szCs w:val="20"/>
                <w:color w:val="auto"/>
              </w:rPr>
            </w:pPr>
            <w:r>
              <w:rPr>
                <w:rFonts w:ascii="Arial" w:cs="Arial" w:eastAsia="Arial" w:hAnsi="Arial"/>
                <w:sz w:val="16"/>
                <w:szCs w:val="16"/>
                <w:color w:val="auto"/>
              </w:rPr>
              <w:t>Other liabilities</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9,339</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10,866</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88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tcBorders>
              <w:bottom w:val="single" w:sz="8" w:color="auto"/>
            </w:tcBorders>
            <w:shd w:val="clear" w:color="auto" w:fill="F4F4F4"/>
          </w:tcPr>
          <w:p>
            <w:pPr>
              <w:spacing w:after="0"/>
              <w:rPr>
                <w:sz w:val="21"/>
                <w:szCs w:val="21"/>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1,498,088</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1,618,584</w:t>
            </w:r>
          </w:p>
        </w:tc>
        <w:tc>
          <w:tcPr>
            <w:tcW w:w="20" w:type="dxa"/>
            <w:vAlign w:val="bottom"/>
          </w:tcPr>
          <w:p>
            <w:pPr>
              <w:spacing w:after="0"/>
              <w:rPr>
                <w:sz w:val="21"/>
                <w:szCs w:val="21"/>
                <w:color w:val="auto"/>
              </w:rPr>
            </w:pPr>
          </w:p>
        </w:tc>
      </w:tr>
      <w:tr>
        <w:trPr>
          <w:trHeight w:val="213"/>
        </w:trPr>
        <w:tc>
          <w:tcPr>
            <w:tcW w:w="7920" w:type="dxa"/>
            <w:vAlign w:val="bottom"/>
          </w:tcPr>
          <w:p>
            <w:pPr>
              <w:ind w:left="240"/>
              <w:spacing w:after="0"/>
              <w:rPr>
                <w:sz w:val="20"/>
                <w:szCs w:val="20"/>
                <w:color w:val="auto"/>
              </w:rPr>
            </w:pPr>
            <w:r>
              <w:rPr>
                <w:rFonts w:ascii="Arial" w:cs="Arial" w:eastAsia="Arial" w:hAnsi="Arial"/>
                <w:sz w:val="16"/>
                <w:szCs w:val="16"/>
                <w:color w:val="auto"/>
              </w:rPr>
              <w:t>Commitments and contingencies (see Note 9)</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Stockholders’ equity:</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Preferred stock; 20,000,000 shares authorized, none outstanding</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Common stock, $0.001 par value; 180,000,000 shares authorized, 62,332,714 and 60,904,638 shares</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issued at June 30, 2021 and December 31, 2020, respectively</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62</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605,486</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544,963</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Treasury stock, at cost; 13,451,524 and 12,054,268 shares at June 30, 2021 and December 31, 2020,</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respectively</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(449,877)</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(353,091)</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Accumulated other comprehensive income (loss)</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6,291</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(2,497)</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F4F4F4"/>
          </w:tcPr>
          <w:p>
            <w:pPr>
              <w:spacing w:after="0"/>
              <w:rPr>
                <w:sz w:val="21"/>
                <w:szCs w:val="21"/>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243,312</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236,714</w:t>
            </w:r>
          </w:p>
        </w:tc>
        <w:tc>
          <w:tcPr>
            <w:tcW w:w="20" w:type="dxa"/>
            <w:vAlign w:val="bottom"/>
          </w:tcPr>
          <w:p>
            <w:pPr>
              <w:spacing w:after="0"/>
              <w:rPr>
                <w:sz w:val="21"/>
                <w:szCs w:val="21"/>
                <w:color w:val="auto"/>
              </w:rPr>
            </w:pPr>
          </w:p>
        </w:tc>
      </w:tr>
      <w:tr>
        <w:trPr>
          <w:trHeight w:val="230"/>
        </w:trPr>
        <w:tc>
          <w:tcPr>
            <w:tcW w:w="7920" w:type="dxa"/>
            <w:vAlign w:val="bottom"/>
            <w:tcBorders>
              <w:bottom w:val="single" w:sz="8" w:color="F4F4F4"/>
            </w:tcBorders>
          </w:tcPr>
          <w:p>
            <w:pPr>
              <w:ind w:left="880"/>
              <w:spacing w:after="0"/>
              <w:rPr>
                <w:sz w:val="20"/>
                <w:szCs w:val="20"/>
                <w:color w:val="auto"/>
              </w:rPr>
            </w:pPr>
            <w:r>
              <w:rPr>
                <w:rFonts w:ascii="Arial" w:cs="Arial" w:eastAsia="Arial" w:hAnsi="Arial"/>
                <w:sz w:val="16"/>
                <w:szCs w:val="16"/>
                <w:b w:val="1"/>
                <w:bCs w:val="1"/>
                <w:color w:val="auto"/>
              </w:rPr>
              <w:t>Total stockholders’ equity</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405,274</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426,150</w:t>
            </w:r>
          </w:p>
        </w:tc>
        <w:tc>
          <w:tcPr>
            <w:tcW w:w="20" w:type="dxa"/>
            <w:vAlign w:val="bottom"/>
          </w:tcPr>
          <w:p>
            <w:pPr>
              <w:spacing w:after="0"/>
              <w:rPr>
                <w:sz w:val="20"/>
                <w:szCs w:val="20"/>
                <w:color w:val="auto"/>
              </w:rPr>
            </w:pPr>
          </w:p>
        </w:tc>
      </w:tr>
      <w:tr>
        <w:trPr>
          <w:trHeight w:val="237"/>
        </w:trPr>
        <w:tc>
          <w:tcPr>
            <w:tcW w:w="7920" w:type="dxa"/>
            <w:vAlign w:val="bottom"/>
            <w:tcBorders>
              <w:bottom w:val="single" w:sz="8" w:color="71BF43"/>
            </w:tcBorders>
            <w:shd w:val="clear" w:color="auto" w:fill="F4F4F4"/>
          </w:tcPr>
          <w:p>
            <w:pPr>
              <w:ind w:left="880"/>
              <w:spacing w:after="0"/>
              <w:rPr>
                <w:sz w:val="20"/>
                <w:szCs w:val="20"/>
                <w:color w:val="auto"/>
              </w:rPr>
            </w:pPr>
            <w:r>
              <w:rPr>
                <w:rFonts w:ascii="Arial" w:cs="Arial" w:eastAsia="Arial" w:hAnsi="Arial"/>
                <w:sz w:val="16"/>
                <w:szCs w:val="16"/>
                <w:b w:val="1"/>
                <w:bCs w:val="1"/>
                <w:color w:val="auto"/>
              </w:rPr>
              <w:t>Total liabilities and stockholders’ equity</w:t>
            </w:r>
          </w:p>
        </w:tc>
        <w:tc>
          <w:tcPr>
            <w:tcW w:w="480" w:type="dxa"/>
            <w:vAlign w:val="bottom"/>
            <w:tcBorders>
              <w:bottom w:val="single" w:sz="8" w:color="71BF43"/>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1,903,362</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2,044,734</w:t>
            </w:r>
          </w:p>
        </w:tc>
        <w:tc>
          <w:tcPr>
            <w:tcW w:w="20" w:type="dxa"/>
            <w:vAlign w:val="bottom"/>
          </w:tcPr>
          <w:p>
            <w:pPr>
              <w:spacing w:after="0"/>
              <w:rPr>
                <w:sz w:val="20"/>
                <w:szCs w:val="20"/>
                <w:color w:val="auto"/>
              </w:rPr>
            </w:pPr>
          </w:p>
        </w:tc>
      </w:tr>
    </w:tbl>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302260</wp:posOffset>
            </wp:positionV>
            <wp:extent cx="6769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16"/>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 w:name="page5"/>
    <w:bookmarkEnd w:id="4"/>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Borders>
              <w:top w:val="single" w:sz="8" w:color="ACACAC"/>
            </w:tcBorders>
            <w:shd w:val="clear" w:color="auto" w:fill="ACACAC"/>
          </w:tcPr>
          <w:p>
            <w:pPr>
              <w:spacing w:after="0"/>
              <w:rPr>
                <w:sz w:val="16"/>
                <w:szCs w:val="16"/>
                <w:color w:val="auto"/>
              </w:rPr>
            </w:pPr>
          </w:p>
        </w:tc>
        <w:tc>
          <w:tcPr>
            <w:tcW w:w="2620" w:type="dxa"/>
            <w:vAlign w:val="bottom"/>
            <w:tcBorders>
              <w:top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Borders>
              <w:top w:val="single" w:sz="8" w:color="ACACAC"/>
            </w:tcBorders>
          </w:tcPr>
          <w:p>
            <w:pPr>
              <w:spacing w:after="0"/>
              <w:rPr>
                <w:sz w:val="16"/>
                <w:szCs w:val="16"/>
                <w:color w:val="auto"/>
              </w:rPr>
            </w:pPr>
          </w:p>
        </w:tc>
        <w:tc>
          <w:tcPr>
            <w:tcW w:w="1320" w:type="dxa"/>
            <w:vAlign w:val="bottom"/>
            <w:tcBorders>
              <w:top w:val="single" w:sz="8" w:color="ACACAC"/>
            </w:tcBorders>
            <w:shd w:val="clear" w:color="auto" w:fill="ACACAC"/>
          </w:tcPr>
          <w:p>
            <w:pPr>
              <w:spacing w:after="0"/>
              <w:rPr>
                <w:sz w:val="16"/>
                <w:szCs w:val="16"/>
                <w:color w:val="auto"/>
              </w:rPr>
            </w:pPr>
          </w:p>
        </w:tc>
        <w:tc>
          <w:tcPr>
            <w:tcW w:w="1320" w:type="dxa"/>
            <w:vAlign w:val="bottom"/>
            <w:tcBorders>
              <w:top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r>
      <w:tr>
        <w:trPr>
          <w:trHeight w:val="190"/>
        </w:trPr>
        <w:tc>
          <w:tcPr>
            <w:tcW w:w="5900" w:type="dxa"/>
            <w:vAlign w:val="bottom"/>
            <w:shd w:val="clear" w:color="auto" w:fill="ACACAC"/>
          </w:tcPr>
          <w:p>
            <w:pPr>
              <w:spacing w:after="0"/>
              <w:rPr>
                <w:sz w:val="16"/>
                <w:szCs w:val="16"/>
                <w:color w:val="auto"/>
              </w:rPr>
            </w:pPr>
          </w:p>
        </w:tc>
        <w:tc>
          <w:tcPr>
            <w:tcW w:w="1310" w:type="dxa"/>
            <w:vAlign w:val="bottom"/>
            <w:shd w:val="clear" w:color="auto" w:fill="ACACAC"/>
          </w:tcPr>
          <w:p>
            <w:pPr>
              <w:spacing w:after="0"/>
              <w:rPr>
                <w:sz w:val="16"/>
                <w:szCs w:val="16"/>
                <w:color w:val="auto"/>
              </w:rPr>
            </w:pP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132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30"/>
        </w:trPr>
        <w:tc>
          <w:tcPr>
            <w:tcW w:w="59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6"/>
        </w:trPr>
        <w:tc>
          <w:tcPr>
            <w:tcW w:w="590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shd w:val="clear" w:color="auto" w:fill="ACACAC"/>
          </w:tcPr>
          <w:p>
            <w:pPr>
              <w:spacing w:after="0"/>
              <w:rPr>
                <w:sz w:val="2"/>
                <w:szCs w:val="2"/>
                <w:color w:val="auto"/>
              </w:rPr>
            </w:pPr>
          </w:p>
        </w:tc>
        <w:tc>
          <w:tcPr>
            <w:tcW w:w="1320" w:type="dxa"/>
            <w:vAlign w:val="bottom"/>
            <w:shd w:val="clear" w:color="auto" w:fill="ACACA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3402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Revenue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ind w:left="240"/>
              <w:spacing w:after="0"/>
              <w:rPr>
                <w:sz w:val="20"/>
                <w:szCs w:val="20"/>
                <w:color w:val="auto"/>
              </w:rPr>
            </w:pPr>
            <w:r>
              <w:rPr>
                <w:rFonts w:ascii="Arial" w:cs="Arial" w:eastAsia="Arial" w:hAnsi="Arial"/>
                <w:sz w:val="16"/>
                <w:szCs w:val="16"/>
                <w:color w:val="auto"/>
              </w:rPr>
              <w:t>Recurring</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216,986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216,260</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423,736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421,127</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One-time services and other</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12,454</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15,731</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24,895</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34,485</w:t>
            </w:r>
          </w:p>
        </w:tc>
      </w:tr>
      <w:tr>
        <w:trPr>
          <w:trHeight w:val="227"/>
        </w:trPr>
        <w:tc>
          <w:tcPr>
            <w:tcW w:w="5900" w:type="dxa"/>
            <w:vAlign w:val="bottom"/>
          </w:tcPr>
          <w:p>
            <w:pPr>
              <w:ind w:left="46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229,440</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231,991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448,631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455,612</w:t>
            </w:r>
          </w:p>
        </w:tc>
      </w:tr>
      <w:tr>
        <w:trPr>
          <w:trHeight w:val="25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Cost of revenue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Cost of recurring</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94,435</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91,370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183,300</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180,921</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Cost of one-time services and other</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13,635</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13,569</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28,155</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28,883</w:t>
            </w:r>
          </w:p>
        </w:tc>
      </w:tr>
      <w:tr>
        <w:trPr>
          <w:trHeight w:val="230"/>
        </w:trPr>
        <w:tc>
          <w:tcPr>
            <w:tcW w:w="590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cost of revenue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108,070</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104,939</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211,455</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209,804</w:t>
            </w:r>
          </w:p>
        </w:tc>
      </w:tr>
      <w:tr>
        <w:trPr>
          <w:trHeight w:val="24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121,370</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127,052</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237,176</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245,808</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Sales, marketing and customer success</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45,452</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51,954</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94,245</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110,689</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30,222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59,401</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49,872</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32,008</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29,842</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62,595</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55,697</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567</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1,116</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1,470</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Restructuring</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78</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132</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74</w:t>
            </w:r>
          </w:p>
        </w:tc>
      </w:tr>
      <w:tr>
        <w:trPr>
          <w:trHeight w:val="230"/>
        </w:trPr>
        <w:tc>
          <w:tcPr>
            <w:tcW w:w="590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108,327</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107,470</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217,489</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217,802</w:t>
            </w:r>
          </w:p>
        </w:tc>
      </w:tr>
      <w:tr>
        <w:trPr>
          <w:trHeight w:val="24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13,043</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19,582</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19,687</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28,006</w:t>
            </w:r>
          </w:p>
        </w:tc>
      </w:tr>
      <w:tr>
        <w:trPr>
          <w:trHeight w:val="227"/>
        </w:trPr>
        <w:tc>
          <w:tcPr>
            <w:tcW w:w="59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(5,054)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(10,168)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(8,052)</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487</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(523)</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1,700</w:t>
            </w:r>
          </w:p>
        </w:tc>
      </w:tr>
      <w:tr>
        <w:trPr>
          <w:trHeight w:val="227"/>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Income before provision for income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8,476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8,996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21,654</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1,745</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4,496</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2,429</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5,192</w:t>
            </w:r>
          </w:p>
        </w:tc>
      </w:tr>
      <w:tr>
        <w:trPr>
          <w:trHeight w:val="230"/>
        </w:trPr>
        <w:tc>
          <w:tcPr>
            <w:tcW w:w="5900" w:type="dxa"/>
            <w:vAlign w:val="bottom"/>
            <w:tcBorders>
              <w:bottom w:val="single" w:sz="8" w:color="F4F4F4"/>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11,823</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16,462</w:t>
            </w:r>
          </w:p>
        </w:tc>
      </w:tr>
      <w:tr>
        <w:trPr>
          <w:trHeight w:val="230"/>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0.34</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0.14</w:t>
            </w:r>
          </w:p>
        </w:tc>
        <w:tc>
          <w:tcPr>
            <w:tcW w:w="28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0.14</w:t>
            </w:r>
          </w:p>
        </w:tc>
        <w:tc>
          <w:tcPr>
            <w:tcW w:w="28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0.34</w:t>
            </w:r>
          </w:p>
        </w:tc>
      </w:tr>
      <w:tr>
        <w:trPr>
          <w:trHeight w:val="23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Common shares and equivalents outstanding</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Basic weighted average shares</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47,756,326</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48,239,928</w:t>
            </w: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47,560,847</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48,138,125</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Diluted weighted average shares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48,444,874</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48,418,378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48,444,658</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48,465,077</w:t>
            </w:r>
          </w:p>
        </w:tc>
      </w:tr>
      <w:tr>
        <w:trPr>
          <w:trHeight w:val="253"/>
        </w:trPr>
        <w:tc>
          <w:tcPr>
            <w:tcW w:w="590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1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1,783</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4,294</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(6,615)</w:t>
            </w:r>
          </w:p>
        </w:tc>
      </w:tr>
      <w:tr>
        <w:trPr>
          <w:trHeight w:val="253"/>
        </w:trPr>
        <w:tc>
          <w:tcPr>
            <w:tcW w:w="5900" w:type="dxa"/>
            <w:vAlign w:val="bottom"/>
            <w:shd w:val="clear" w:color="auto" w:fill="F4F4F4"/>
          </w:tcPr>
          <w:p>
            <w:pPr>
              <w:ind w:left="240"/>
              <w:spacing w:after="0"/>
              <w:rPr>
                <w:sz w:val="20"/>
                <w:szCs w:val="20"/>
                <w:color w:val="auto"/>
              </w:rPr>
            </w:pPr>
            <w:r>
              <w:rPr>
                <w:rFonts w:ascii="Arial" w:cs="Arial" w:eastAsia="Arial" w:hAnsi="Arial"/>
                <w:sz w:val="16"/>
                <w:szCs w:val="16"/>
                <w:color w:val="auto"/>
              </w:rPr>
              <w:t>Unrealized gain (loss) on derivative instruments, net of tax</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345</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F4F4F4"/>
          </w:tcPr>
          <w:p>
            <w:pPr>
              <w:spacing w:after="0"/>
              <w:rPr>
                <w:sz w:val="21"/>
                <w:szCs w:val="21"/>
                <w:color w:val="auto"/>
              </w:rPr>
            </w:pP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4,494</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(2,571)</w:t>
            </w:r>
          </w:p>
        </w:tc>
      </w:tr>
      <w:tr>
        <w:trPr>
          <w:trHeight w:val="230"/>
        </w:trPr>
        <w:tc>
          <w:tcPr>
            <w:tcW w:w="590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other comprehensive income (loss)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F4F4F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8,788</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(9,186)</w:t>
            </w:r>
          </w:p>
        </w:tc>
      </w:tr>
      <w:tr>
        <w:trPr>
          <w:trHeight w:val="237"/>
        </w:trPr>
        <w:tc>
          <w:tcPr>
            <w:tcW w:w="59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6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8,859</w:t>
            </w:r>
          </w:p>
        </w:tc>
        <w:tc>
          <w:tcPr>
            <w:tcW w:w="28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11,487</w:t>
            </w:r>
          </w:p>
        </w:tc>
        <w:tc>
          <w:tcPr>
            <w:tcW w:w="100" w:type="dxa"/>
            <w:vAlign w:val="bottom"/>
            <w:tcBorders>
              <w:bottom w:val="single" w:sz="8" w:color="71BF43"/>
            </w:tcBorders>
            <w:shd w:val="clear" w:color="auto" w:fill="F4F4F4"/>
          </w:tcPr>
          <w:p>
            <w:pPr>
              <w:spacing w:after="0"/>
              <w:rPr>
                <w:sz w:val="20"/>
                <w:szCs w:val="20"/>
                <w:color w:val="auto"/>
              </w:rPr>
            </w:pPr>
          </w:p>
        </w:tc>
        <w:tc>
          <w:tcPr>
            <w:tcW w:w="26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15,355</w:t>
            </w:r>
          </w:p>
        </w:tc>
        <w:tc>
          <w:tcPr>
            <w:tcW w:w="28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7,276</w:t>
            </w:r>
          </w:p>
        </w:tc>
      </w:tr>
    </w:tbl>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auto"/>
        </w:rPr>
        <w:t>4</w:t>
      </w:r>
      <w:r>
        <w:rPr>
          <w:sz w:val="20"/>
          <w:szCs w:val="20"/>
          <w:color w:val="auto"/>
        </w:rPr>
        <w:tab/>
      </w:r>
      <w:r>
        <w:rPr>
          <w:sz w:val="1"/>
          <w:szCs w:val="1"/>
          <w:color w:val="auto"/>
        </w:rPr>
        <w:drawing>
          <wp:inline distT="0" distB="0" distL="0" distR="0">
            <wp:extent cx="67691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 w:name="page6"/>
    <w:bookmarkEnd w:id="5"/>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78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0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878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88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87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0"/>
                <w:szCs w:val="20"/>
                <w:color w:val="auto"/>
              </w:rPr>
            </w:pPr>
          </w:p>
        </w:tc>
        <w:tc>
          <w:tcPr>
            <w:tcW w:w="8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tcBorders>
              <w:bottom w:val="single" w:sz="8" w:color="ACACAC"/>
            </w:tcBorders>
            <w:shd w:val="clear" w:color="auto" w:fill="ACACAC"/>
          </w:tcPr>
          <w:p>
            <w:pPr>
              <w:spacing w:after="0"/>
              <w:rPr>
                <w:sz w:val="20"/>
                <w:szCs w:val="20"/>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43"/>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7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6,567</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16,462</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40,742</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46,088</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Provision for credit losses and sales returns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4,418</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6,677</w:t>
            </w: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60,554</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33,713</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Deferred taxes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276</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1,945</w:t>
            </w: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Amortization of deferred financing costs and discount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879</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Other non-cash adjustments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155</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477</w:t>
            </w: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Changes in operating assets and liabilities, net of acquisition and disposal of businesses: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(27,134)</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(48,167)</w:t>
            </w:r>
          </w:p>
        </w:tc>
        <w:tc>
          <w:tcPr>
            <w:tcW w:w="20" w:type="dxa"/>
            <w:vAlign w:val="bottom"/>
          </w:tcPr>
          <w:p>
            <w:pPr>
              <w:spacing w:after="0"/>
              <w:rPr>
                <w:sz w:val="21"/>
                <w:szCs w:val="21"/>
                <w:color w:val="auto"/>
              </w:rPr>
            </w:pPr>
          </w:p>
        </w:tc>
      </w:tr>
      <w:tr>
        <w:trPr>
          <w:trHeight w:val="233"/>
        </w:trPr>
        <w:tc>
          <w:tcPr>
            <w:tcW w:w="878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(18,162)</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(7,068)</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Trade accounts payable</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2,356</w:t>
            </w: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(8,984)</w:t>
            </w:r>
          </w:p>
        </w:tc>
        <w:tc>
          <w:tcPr>
            <w:tcW w:w="20" w:type="dxa"/>
            <w:vAlign w:val="bottom"/>
          </w:tcPr>
          <w:p>
            <w:pPr>
              <w:spacing w:after="0"/>
              <w:rPr>
                <w:sz w:val="21"/>
                <w:szCs w:val="21"/>
                <w:color w:val="auto"/>
              </w:rPr>
            </w:pPr>
          </w:p>
        </w:tc>
      </w:tr>
      <w:tr>
        <w:trPr>
          <w:trHeight w:val="233"/>
        </w:trPr>
        <w:tc>
          <w:tcPr>
            <w:tcW w:w="8780" w:type="dxa"/>
            <w:vAlign w:val="bottom"/>
          </w:tcPr>
          <w:p>
            <w:pPr>
              <w:ind w:left="66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1,443</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(26,520)</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auto"/>
            </w:tcBorders>
            <w:shd w:val="clear" w:color="auto" w:fill="F4F4F4"/>
          </w:tcPr>
          <w:p>
            <w:pPr>
              <w:spacing w:after="0"/>
              <w:rPr>
                <w:sz w:val="21"/>
                <w:szCs w:val="21"/>
                <w:color w:val="auto"/>
              </w:rPr>
            </w:pPr>
          </w:p>
        </w:tc>
        <w:tc>
          <w:tcPr>
            <w:tcW w:w="8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27,828</w:t>
            </w:r>
          </w:p>
        </w:tc>
        <w:tc>
          <w:tcPr>
            <w:tcW w:w="340" w:type="dxa"/>
            <w:vAlign w:val="bottom"/>
            <w:tcBorders>
              <w:bottom w:val="single" w:sz="8" w:color="auto"/>
            </w:tcBorders>
            <w:shd w:val="clear" w:color="auto" w:fill="F4F4F4"/>
          </w:tcPr>
          <w:p>
            <w:pPr>
              <w:spacing w:after="0"/>
              <w:rPr>
                <w:sz w:val="21"/>
                <w:szCs w:val="21"/>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22,489</w:t>
            </w:r>
          </w:p>
        </w:tc>
        <w:tc>
          <w:tcPr>
            <w:tcW w:w="20" w:type="dxa"/>
            <w:vAlign w:val="bottom"/>
          </w:tcPr>
          <w:p>
            <w:pPr>
              <w:spacing w:after="0"/>
              <w:rPr>
                <w:sz w:val="21"/>
                <w:szCs w:val="21"/>
                <w:color w:val="auto"/>
              </w:rPr>
            </w:pPr>
          </w:p>
        </w:tc>
      </w:tr>
      <w:tr>
        <w:trPr>
          <w:trHeight w:val="227"/>
        </w:trPr>
        <w:tc>
          <w:tcPr>
            <w:tcW w:w="8780" w:type="dxa"/>
            <w:vAlign w:val="bottom"/>
          </w:tcPr>
          <w:p>
            <w:pPr>
              <w:ind w:left="88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99,922</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37,488</w:t>
            </w:r>
          </w:p>
        </w:tc>
        <w:tc>
          <w:tcPr>
            <w:tcW w:w="20" w:type="dxa"/>
            <w:vAlign w:val="bottom"/>
          </w:tcPr>
          <w:p>
            <w:pPr>
              <w:spacing w:after="0"/>
              <w:rPr>
                <w:sz w:val="19"/>
                <w:szCs w:val="19"/>
                <w:color w:val="auto"/>
              </w:rPr>
            </w:pPr>
          </w:p>
        </w:tc>
      </w:tr>
      <w:tr>
        <w:trPr>
          <w:trHeight w:val="253"/>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780" w:type="dxa"/>
            <w:vAlign w:val="bottom"/>
          </w:tcPr>
          <w:p>
            <w:pPr>
              <w:ind w:left="24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(6,128)</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(5,887)</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Capitalized software development costs</w:t>
            </w:r>
          </w:p>
        </w:tc>
        <w:tc>
          <w:tcPr>
            <w:tcW w:w="340" w:type="dxa"/>
            <w:vAlign w:val="bottom"/>
            <w:tcBorders>
              <w:bottom w:val="single" w:sz="8" w:color="auto"/>
            </w:tcBorders>
            <w:shd w:val="clear" w:color="auto" w:fill="F4F4F4"/>
          </w:tcPr>
          <w:p>
            <w:pPr>
              <w:spacing w:after="0"/>
              <w:rPr>
                <w:sz w:val="21"/>
                <w:szCs w:val="21"/>
                <w:color w:val="auto"/>
              </w:rPr>
            </w:pPr>
          </w:p>
        </w:tc>
        <w:tc>
          <w:tcPr>
            <w:tcW w:w="8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(19,862)</w:t>
            </w:r>
          </w:p>
        </w:tc>
        <w:tc>
          <w:tcPr>
            <w:tcW w:w="340" w:type="dxa"/>
            <w:vAlign w:val="bottom"/>
            <w:tcBorders>
              <w:bottom w:val="single" w:sz="8" w:color="auto"/>
            </w:tcBorders>
            <w:shd w:val="clear" w:color="auto" w:fill="F4F4F4"/>
          </w:tcPr>
          <w:p>
            <w:pPr>
              <w:spacing w:after="0"/>
              <w:rPr>
                <w:sz w:val="21"/>
                <w:szCs w:val="21"/>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(21,679)</w:t>
            </w:r>
          </w:p>
        </w:tc>
        <w:tc>
          <w:tcPr>
            <w:tcW w:w="20" w:type="dxa"/>
            <w:vAlign w:val="bottom"/>
          </w:tcPr>
          <w:p>
            <w:pPr>
              <w:spacing w:after="0"/>
              <w:rPr>
                <w:sz w:val="21"/>
                <w:szCs w:val="21"/>
                <w:color w:val="auto"/>
              </w:rPr>
            </w:pPr>
          </w:p>
        </w:tc>
      </w:tr>
      <w:tr>
        <w:trPr>
          <w:trHeight w:val="227"/>
        </w:trPr>
        <w:tc>
          <w:tcPr>
            <w:tcW w:w="8780" w:type="dxa"/>
            <w:vAlign w:val="bottom"/>
          </w:tcPr>
          <w:p>
            <w:pPr>
              <w:ind w:left="88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(25,990)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(27,566)</w:t>
            </w:r>
          </w:p>
        </w:tc>
        <w:tc>
          <w:tcPr>
            <w:tcW w:w="20" w:type="dxa"/>
            <w:vAlign w:val="bottom"/>
          </w:tcPr>
          <w:p>
            <w:pPr>
              <w:spacing w:after="0"/>
              <w:rPr>
                <w:sz w:val="19"/>
                <w:szCs w:val="19"/>
                <w:color w:val="auto"/>
              </w:rPr>
            </w:pPr>
          </w:p>
        </w:tc>
      </w:tr>
      <w:tr>
        <w:trPr>
          <w:trHeight w:val="253"/>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40" w:type="dxa"/>
            <w:vAlign w:val="bottom"/>
            <w:shd w:val="clear" w:color="auto" w:fill="F4F4F4"/>
          </w:tcPr>
          <w:p>
            <w:pPr>
              <w:spacing w:after="0"/>
              <w:rPr>
                <w:sz w:val="21"/>
                <w:szCs w:val="21"/>
                <w:color w:val="auto"/>
              </w:rPr>
            </w:pPr>
          </w:p>
        </w:tc>
        <w:tc>
          <w:tcPr>
            <w:tcW w:w="86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-3411220</wp:posOffset>
            </wp:positionV>
            <wp:extent cx="155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Payments on debt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Employee taxes paid for withheld shares upon equity award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Proceeds from exercise of stock options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Change in 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Change in customer funds receivable</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Dividend payments to stockholders</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on cash, cash equivalents and restricted cash</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beginning of period</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40"/>
        <w:spacing w:after="0"/>
        <w:tabs>
          <w:tab w:leader="none" w:pos="1720" w:val="left"/>
        </w:tabs>
        <w:rPr>
          <w:sz w:val="20"/>
          <w:szCs w:val="20"/>
          <w:color w:val="auto"/>
        </w:rPr>
      </w:pPr>
      <w:r>
        <w:rPr>
          <w:rFonts w:ascii="Arial" w:cs="Arial" w:eastAsia="Arial" w:hAnsi="Arial"/>
          <w:sz w:val="16"/>
          <w:szCs w:val="16"/>
          <w:color w:val="auto"/>
        </w:rPr>
        <w:t>128,300</w:t>
      </w:r>
      <w:r>
        <w:rPr>
          <w:sz w:val="20"/>
          <w:szCs w:val="20"/>
          <w:color w:val="auto"/>
        </w:rPr>
        <w:tab/>
      </w:r>
      <w:r>
        <w:rPr>
          <w:rFonts w:ascii="Arial" w:cs="Arial" w:eastAsia="Arial" w:hAnsi="Arial"/>
          <w:sz w:val="16"/>
          <w:szCs w:val="16"/>
          <w:color w:val="auto"/>
        </w:rPr>
        <w:t>202,100</w:t>
      </w:r>
    </w:p>
    <w:p>
      <w:pPr>
        <w:spacing w:after="0" w:line="59" w:lineRule="exact"/>
        <w:rPr>
          <w:sz w:val="20"/>
          <w:szCs w:val="20"/>
          <w:color w:val="auto"/>
        </w:rPr>
      </w:pPr>
    </w:p>
    <w:p>
      <w:pPr>
        <w:jc w:val="both"/>
        <w:ind w:left="480"/>
        <w:spacing w:after="0"/>
        <w:tabs>
          <w:tab w:leader="none" w:pos="1660" w:val="left"/>
        </w:tabs>
        <w:rPr>
          <w:sz w:val="20"/>
          <w:szCs w:val="20"/>
          <w:color w:val="auto"/>
        </w:rPr>
      </w:pPr>
      <w:r>
        <w:rPr>
          <w:rFonts w:ascii="Arial" w:cs="Arial" w:eastAsia="Arial" w:hAnsi="Arial"/>
          <w:sz w:val="16"/>
          <w:szCs w:val="16"/>
          <w:color w:val="auto"/>
        </w:rPr>
        <w:t>(113,477)</w:t>
      </w:r>
      <w:r>
        <w:rPr>
          <w:sz w:val="20"/>
          <w:szCs w:val="20"/>
          <w:color w:val="auto"/>
        </w:rPr>
        <w:tab/>
      </w:r>
      <w:r>
        <w:rPr>
          <w:rFonts w:ascii="Arial" w:cs="Arial" w:eastAsia="Arial" w:hAnsi="Arial"/>
          <w:sz w:val="16"/>
          <w:szCs w:val="16"/>
          <w:color w:val="auto"/>
        </w:rPr>
        <w:t>(185,250)</w:t>
      </w:r>
    </w:p>
    <w:p>
      <w:pPr>
        <w:spacing w:after="0" w:line="59" w:lineRule="exact"/>
        <w:rPr>
          <w:sz w:val="20"/>
          <w:szCs w:val="20"/>
          <w:color w:val="auto"/>
        </w:rPr>
      </w:pPr>
    </w:p>
    <w:p>
      <w:pPr>
        <w:jc w:val="both"/>
        <w:ind w:left="560"/>
        <w:spacing w:after="0"/>
        <w:tabs>
          <w:tab w:leader="none" w:pos="1760" w:val="left"/>
        </w:tabs>
        <w:rPr>
          <w:sz w:val="20"/>
          <w:szCs w:val="20"/>
          <w:color w:val="auto"/>
        </w:rPr>
      </w:pPr>
      <w:r>
        <w:rPr>
          <w:rFonts w:ascii="Arial" w:cs="Arial" w:eastAsia="Arial" w:hAnsi="Arial"/>
          <w:sz w:val="16"/>
          <w:szCs w:val="16"/>
          <w:color w:val="auto"/>
        </w:rPr>
        <w:t>(38,712)</w:t>
      </w:r>
      <w:r>
        <w:rPr>
          <w:sz w:val="20"/>
          <w:szCs w:val="20"/>
          <w:color w:val="auto"/>
        </w:rPr>
        <w:tab/>
      </w:r>
      <w:r>
        <w:rPr>
          <w:rFonts w:ascii="Arial" w:cs="Arial" w:eastAsia="Arial" w:hAnsi="Arial"/>
          <w:sz w:val="16"/>
          <w:szCs w:val="16"/>
          <w:color w:val="auto"/>
        </w:rPr>
        <w:t>(20,996)</w:t>
      </w:r>
    </w:p>
    <w:p>
      <w:pPr>
        <w:spacing w:after="0" w:line="5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—4</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(170,061)(121,612)</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(5,014)(828)</w:t>
      </w:r>
    </w:p>
    <w:p>
      <w:pPr>
        <w:spacing w:after="0" w:line="59" w:lineRule="exact"/>
        <w:rPr>
          <w:sz w:val="20"/>
          <w:szCs w:val="20"/>
          <w:color w:val="auto"/>
        </w:rPr>
      </w:pPr>
    </w:p>
    <w:p>
      <w:pPr>
        <w:ind w:left="560"/>
        <w:spacing w:after="0"/>
        <w:tabs>
          <w:tab w:leader="none" w:pos="2160" w:val="left"/>
        </w:tabs>
        <w:rPr>
          <w:sz w:val="20"/>
          <w:szCs w:val="20"/>
          <w:color w:val="auto"/>
        </w:rPr>
      </w:pPr>
      <w:r>
        <w:rPr>
          <w:rFonts w:ascii="Arial" w:cs="Arial" w:eastAsia="Arial" w:hAnsi="Arial"/>
          <w:sz w:val="16"/>
          <w:szCs w:val="16"/>
          <w:color w:val="auto"/>
        </w:rPr>
        <w:t>(58,074)</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—(5,960)</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(257,038)(132,542)</w:t>
      </w:r>
    </w:p>
    <w:p>
      <w:pPr>
        <w:spacing w:after="0" w:line="59" w:lineRule="exact"/>
        <w:rPr>
          <w:sz w:val="20"/>
          <w:szCs w:val="20"/>
          <w:color w:val="auto"/>
        </w:rPr>
      </w:pPr>
    </w:p>
    <w:p>
      <w:pPr>
        <w:ind w:left="840"/>
        <w:spacing w:after="0"/>
        <w:rPr>
          <w:sz w:val="20"/>
          <w:szCs w:val="20"/>
          <w:color w:val="auto"/>
        </w:rPr>
      </w:pPr>
      <w:r>
        <w:rPr>
          <w:rFonts w:ascii="Arial" w:cs="Arial" w:eastAsia="Arial" w:hAnsi="Arial"/>
          <w:sz w:val="16"/>
          <w:szCs w:val="16"/>
          <w:color w:val="auto"/>
        </w:rPr>
        <w:t>992(2,229)</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(182,114)(124,849)</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644,969577,295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19050</wp:posOffset>
            </wp:positionV>
            <wp:extent cx="15430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-297180</wp:posOffset>
            </wp:positionV>
            <wp:extent cx="15430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-614680</wp:posOffset>
            </wp:positionV>
            <wp:extent cx="15430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53" w:lineRule="exact"/>
        <w:rPr>
          <w:sz w:val="20"/>
          <w:szCs w:val="20"/>
          <w:color w:val="auto"/>
        </w:rPr>
      </w:pPr>
    </w:p>
    <w:p>
      <w:pPr>
        <w:spacing w:after="0"/>
        <w:tabs>
          <w:tab w:leader="none" w:pos="520" w:val="left"/>
          <w:tab w:leader="none" w:pos="1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462,855 $</w:t>
      </w:r>
      <w:r>
        <w:rPr>
          <w:sz w:val="20"/>
          <w:szCs w:val="20"/>
          <w:color w:val="auto"/>
        </w:rPr>
        <w:tab/>
      </w:r>
      <w:r>
        <w:rPr>
          <w:rFonts w:ascii="Arial" w:cs="Arial" w:eastAsia="Arial" w:hAnsi="Arial"/>
          <w:sz w:val="16"/>
          <w:szCs w:val="16"/>
          <w:color w:val="auto"/>
        </w:rPr>
        <w:t>452,446</w:t>
      </w:r>
    </w:p>
    <w:p>
      <w:pPr>
        <w:spacing w:after="0" w:line="200" w:lineRule="exact"/>
        <w:rPr>
          <w:sz w:val="20"/>
          <w:szCs w:val="20"/>
          <w:color w:val="auto"/>
        </w:rPr>
      </w:pPr>
    </w:p>
    <w:p>
      <w:pPr>
        <w:sectPr>
          <w:pgSz w:w="11900" w:h="16838" w:orient="portrait"/>
          <w:cols w:equalWidth="0" w:num="2">
            <w:col w:w="8100" w:space="720"/>
            <w:col w:w="2440"/>
          </w:cols>
          <w:pgMar w:left="320" w:top="1440" w:right="319" w:bottom="1440" w:gutter="0" w:footer="0" w:header="0"/>
          <w:type w:val="continuous"/>
        </w:sectPr>
      </w:pPr>
    </w:p>
    <w:p>
      <w:pPr>
        <w:spacing w:after="0" w:line="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shd w:val="clear" w:color="auto" w:fill="ACACAC"/>
          </w:tcPr>
          <w:p>
            <w:pPr>
              <w:spacing w:after="0"/>
              <w:rPr>
                <w:sz w:val="16"/>
                <w:szCs w:val="16"/>
                <w:color w:val="auto"/>
              </w:rPr>
            </w:pPr>
          </w:p>
        </w:tc>
        <w:tc>
          <w:tcPr>
            <w:tcW w:w="5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tcBorders>
              <w:bottom w:val="single" w:sz="8" w:color="ACACAC"/>
            </w:tcBorders>
            <w:shd w:val="clear" w:color="auto" w:fill="ACACAC"/>
          </w:tcPr>
          <w:p>
            <w:pPr>
              <w:spacing w:after="0"/>
              <w:rPr>
                <w:sz w:val="17"/>
                <w:szCs w:val="17"/>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17"/>
                <w:szCs w:val="17"/>
                <w:color w:val="auto"/>
              </w:rPr>
            </w:pPr>
          </w:p>
        </w:tc>
        <w:tc>
          <w:tcPr>
            <w:tcW w:w="12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3"/>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F4F4F4"/>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28,288</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35,750</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0"/>
              <w:spacing w:after="0"/>
              <w:rPr>
                <w:sz w:val="20"/>
                <w:szCs w:val="20"/>
                <w:color w:val="auto"/>
              </w:rPr>
            </w:pPr>
            <w:r>
              <w:rPr>
                <w:rFonts w:ascii="Arial" w:cs="Arial" w:eastAsia="Arial" w:hAnsi="Arial"/>
                <w:sz w:val="16"/>
                <w:szCs w:val="16"/>
                <w:color w:val="auto"/>
              </w:rPr>
              <w:t>Restricted cash</w:t>
            </w: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434,567</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609,219</w:t>
            </w:r>
          </w:p>
        </w:tc>
        <w:tc>
          <w:tcPr>
            <w:tcW w:w="20" w:type="dxa"/>
            <w:vAlign w:val="bottom"/>
          </w:tcPr>
          <w:p>
            <w:pPr>
              <w:spacing w:after="0"/>
              <w:rPr>
                <w:sz w:val="20"/>
                <w:szCs w:val="20"/>
                <w:color w:val="auto"/>
              </w:rPr>
            </w:pPr>
          </w:p>
        </w:tc>
      </w:tr>
      <w:tr>
        <w:trPr>
          <w:trHeight w:val="236"/>
        </w:trPr>
        <w:tc>
          <w:tcPr>
            <w:tcW w:w="792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6"/>
                <w:szCs w:val="16"/>
                <w:color w:val="auto"/>
              </w:rPr>
              <w:t>Total cash, cash equivalents and restricted cash in the statement of cash flows</w:t>
            </w:r>
          </w:p>
        </w:tc>
        <w:tc>
          <w:tcPr>
            <w:tcW w:w="560" w:type="dxa"/>
            <w:vAlign w:val="bottom"/>
            <w:tcBorders>
              <w:bottom w:val="single" w:sz="8" w:color="71BF43"/>
            </w:tcBorders>
            <w:shd w:val="clear" w:color="auto" w:fill="F4F4F4"/>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462,855</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644,969</w:t>
            </w:r>
          </w:p>
        </w:tc>
        <w:tc>
          <w:tcPr>
            <w:tcW w:w="20" w:type="dxa"/>
            <w:vAlign w:val="bottom"/>
          </w:tcPr>
          <w:p>
            <w:pPr>
              <w:spacing w:after="0"/>
              <w:rPr>
                <w:sz w:val="20"/>
                <w:szCs w:val="20"/>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559435</wp:posOffset>
            </wp:positionV>
            <wp:extent cx="67691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16"/>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shd w:val="clear" w:color="auto" w:fill="ACACAC"/>
          </w:tcPr>
          <w:p>
            <w:pPr>
              <w:spacing w:after="0"/>
              <w:rPr>
                <w:sz w:val="19"/>
                <w:szCs w:val="19"/>
                <w:color w:val="auto"/>
              </w:rPr>
            </w:pPr>
          </w:p>
        </w:tc>
        <w:tc>
          <w:tcPr>
            <w:tcW w:w="9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ACACAC"/>
          </w:tcPr>
          <w:p>
            <w:pPr>
              <w:spacing w:after="0"/>
              <w:rPr>
                <w:sz w:val="14"/>
                <w:szCs w:val="14"/>
                <w:color w:val="auto"/>
              </w:rPr>
            </w:pPr>
          </w:p>
        </w:tc>
        <w:tc>
          <w:tcPr>
            <w:tcW w:w="16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Additional</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other</w:t>
            </w:r>
          </w:p>
        </w:tc>
        <w:tc>
          <w:tcPr>
            <w:tcW w:w="2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580" w:type="dxa"/>
            <w:vAlign w:val="bottom"/>
            <w:shd w:val="clear" w:color="auto" w:fill="ACACAC"/>
          </w:tcPr>
          <w:p>
            <w:pPr>
              <w:spacing w:after="0"/>
              <w:rPr>
                <w:sz w:val="10"/>
                <w:szCs w:val="10"/>
                <w:color w:val="auto"/>
              </w:rPr>
            </w:pPr>
          </w:p>
        </w:tc>
        <w:tc>
          <w:tcPr>
            <w:tcW w:w="1680" w:type="dxa"/>
            <w:vAlign w:val="bottom"/>
            <w:gridSpan w:val="3"/>
            <w:vMerge w:val="continue"/>
            <w:shd w:val="clear" w:color="auto" w:fill="ACACAC"/>
          </w:tcPr>
          <w:p>
            <w:pPr>
              <w:spacing w:after="0"/>
              <w:rPr>
                <w:sz w:val="10"/>
                <w:szCs w:val="10"/>
                <w:color w:val="auto"/>
              </w:rPr>
            </w:pP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paid-in</w:t>
            </w: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16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200" w:type="dxa"/>
            <w:vAlign w:val="bottom"/>
            <w:shd w:val="clear" w:color="auto" w:fill="ACACAC"/>
          </w:tcPr>
          <w:p>
            <w:pPr>
              <w:spacing w:after="0"/>
              <w:rPr>
                <w:sz w:val="10"/>
                <w:szCs w:val="10"/>
                <w:color w:val="auto"/>
              </w:rPr>
            </w:pPr>
          </w:p>
        </w:tc>
        <w:tc>
          <w:tcPr>
            <w:tcW w:w="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100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580" w:type="dxa"/>
            <w:vAlign w:val="bottom"/>
            <w:shd w:val="clear" w:color="auto" w:fill="ACACAC"/>
          </w:tcPr>
          <w:p>
            <w:pPr>
              <w:spacing w:after="0"/>
              <w:rPr>
                <w:sz w:val="3"/>
                <w:szCs w:val="3"/>
                <w:color w:val="auto"/>
              </w:rPr>
            </w:pPr>
          </w:p>
        </w:tc>
        <w:tc>
          <w:tcPr>
            <w:tcW w:w="980" w:type="dxa"/>
            <w:vAlign w:val="bottom"/>
            <w:shd w:val="clear" w:color="auto" w:fill="ACACAC"/>
          </w:tcPr>
          <w:p>
            <w:pPr>
              <w:spacing w:after="0"/>
              <w:rPr>
                <w:sz w:val="3"/>
                <w:szCs w:val="3"/>
                <w:color w:val="auto"/>
              </w:rPr>
            </w:pPr>
          </w:p>
        </w:tc>
        <w:tc>
          <w:tcPr>
            <w:tcW w:w="120" w:type="dxa"/>
            <w:vAlign w:val="bottom"/>
            <w:shd w:val="clear" w:color="auto" w:fill="ACACAC"/>
          </w:tcPr>
          <w:p>
            <w:pPr>
              <w:spacing w:after="0"/>
              <w:rPr>
                <w:sz w:val="3"/>
                <w:szCs w:val="3"/>
                <w:color w:val="auto"/>
              </w:rPr>
            </w:pPr>
          </w:p>
        </w:tc>
        <w:tc>
          <w:tcPr>
            <w:tcW w:w="580" w:type="dxa"/>
            <w:vAlign w:val="bottom"/>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160" w:type="dxa"/>
            <w:vAlign w:val="bottom"/>
            <w:gridSpan w:val="2"/>
            <w:vMerge w:val="continue"/>
            <w:shd w:val="clear" w:color="auto" w:fill="ACACAC"/>
          </w:tcPr>
          <w:p>
            <w:pPr>
              <w:spacing w:after="0"/>
              <w:rPr>
                <w:sz w:val="3"/>
                <w:szCs w:val="3"/>
                <w:color w:val="auto"/>
              </w:rPr>
            </w:pPr>
          </w:p>
        </w:tc>
        <w:tc>
          <w:tcPr>
            <w:tcW w:w="200" w:type="dxa"/>
            <w:vAlign w:val="bottom"/>
            <w:shd w:val="clear" w:color="auto" w:fill="ACACAC"/>
          </w:tcPr>
          <w:p>
            <w:pPr>
              <w:spacing w:after="0"/>
              <w:rPr>
                <w:sz w:val="3"/>
                <w:szCs w:val="3"/>
                <w:color w:val="auto"/>
              </w:rPr>
            </w:pPr>
          </w:p>
        </w:tc>
        <w:tc>
          <w:tcPr>
            <w:tcW w:w="740" w:type="dxa"/>
            <w:vAlign w:val="bottom"/>
            <w:vMerge w:val="continue"/>
            <w:shd w:val="clear" w:color="auto" w:fill="ACACAC"/>
          </w:tcPr>
          <w:p>
            <w:pPr>
              <w:spacing w:after="0"/>
              <w:rPr>
                <w:sz w:val="3"/>
                <w:szCs w:val="3"/>
                <w:color w:val="auto"/>
              </w:rPr>
            </w:pPr>
          </w:p>
        </w:tc>
        <w:tc>
          <w:tcPr>
            <w:tcW w:w="1000" w:type="dxa"/>
            <w:vAlign w:val="bottom"/>
            <w:gridSpan w:val="2"/>
            <w:vMerge w:val="continue"/>
            <w:shd w:val="clear" w:color="auto" w:fill="ACACAC"/>
          </w:tcPr>
          <w:p>
            <w:pPr>
              <w:spacing w:after="0"/>
              <w:rPr>
                <w:sz w:val="3"/>
                <w:szCs w:val="3"/>
                <w:color w:val="auto"/>
              </w:rPr>
            </w:pPr>
          </w:p>
        </w:tc>
        <w:tc>
          <w:tcPr>
            <w:tcW w:w="20" w:type="dxa"/>
            <w:vAlign w:val="bottom"/>
            <w:shd w:val="clear" w:color="auto" w:fill="ACAC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bottom w:val="single" w:sz="8" w:color="ACACAC"/>
            </w:tcBorders>
            <w:shd w:val="clear" w:color="auto" w:fill="ACACAC"/>
          </w:tcPr>
          <w:p>
            <w:pPr>
              <w:spacing w:after="0"/>
              <w:rPr>
                <w:sz w:val="17"/>
                <w:szCs w:val="17"/>
                <w:color w:val="auto"/>
              </w:rPr>
            </w:pPr>
          </w:p>
        </w:tc>
        <w:tc>
          <w:tcPr>
            <w:tcW w:w="5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ACACAC"/>
            </w:tcBorders>
            <w:shd w:val="clear" w:color="auto" w:fill="ACACAC"/>
          </w:tcPr>
          <w:p>
            <w:pPr>
              <w:spacing w:after="0"/>
              <w:rPr>
                <w:sz w:val="17"/>
                <w:szCs w:val="17"/>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income (loss)</w:t>
            </w:r>
          </w:p>
        </w:tc>
        <w:tc>
          <w:tcPr>
            <w:tcW w:w="200" w:type="dxa"/>
            <w:vAlign w:val="bottom"/>
            <w:tcBorders>
              <w:bottom w:val="single" w:sz="8" w:color="ACACAC"/>
            </w:tcBorders>
            <w:shd w:val="clear" w:color="auto" w:fill="ACACAC"/>
          </w:tcPr>
          <w:p>
            <w:pPr>
              <w:spacing w:after="0"/>
              <w:rPr>
                <w:sz w:val="17"/>
                <w:szCs w:val="17"/>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22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80" w:type="dxa"/>
            <w:vAlign w:val="bottom"/>
          </w:tcPr>
          <w:p>
            <w:pPr>
              <w:jc w:val="right"/>
              <w:spacing w:after="0"/>
              <w:rPr>
                <w:sz w:val="20"/>
                <w:szCs w:val="20"/>
                <w:color w:val="auto"/>
              </w:rPr>
            </w:pPr>
            <w:r>
              <w:rPr>
                <w:rFonts w:ascii="Arial" w:cs="Arial" w:eastAsia="Arial" w:hAnsi="Arial"/>
                <w:sz w:val="16"/>
                <w:szCs w:val="16"/>
                <w:color w:val="auto"/>
              </w:rPr>
              <w:t>60,904,638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544,963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(353,091)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(2,497)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236,714</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426,150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Purchase of 465,821 treasury shares under stock repurchase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program</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206,418</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Employee taxes paid for 240,867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(18,426)</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29,995</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spacing w:after="0"/>
              <w:rPr>
                <w:sz w:val="20"/>
                <w:szCs w:val="20"/>
                <w:color w:val="auto"/>
              </w:rPr>
            </w:pPr>
            <w:r>
              <w:rPr>
                <w:rFonts w:ascii="Arial" w:cs="Arial" w:eastAsia="Arial" w:hAnsi="Arial"/>
                <w:sz w:val="16"/>
                <w:szCs w:val="16"/>
                <w:color w:val="auto"/>
              </w:rPr>
              <w:t>519,009</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(34,789)</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61,595,276</w:t>
            </w:r>
          </w:p>
        </w:tc>
        <w:tc>
          <w:tcPr>
            <w:tcW w:w="12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62</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574,958</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(399,583)</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4,163</w:t>
            </w:r>
          </w:p>
        </w:tc>
        <w:tc>
          <w:tcPr>
            <w:tcW w:w="20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236,560</w:t>
            </w:r>
          </w:p>
        </w:tc>
        <w:tc>
          <w:tcPr>
            <w:tcW w:w="220" w:type="dxa"/>
            <w:vAlign w:val="bottom"/>
            <w:shd w:val="clear" w:color="auto" w:fill="F4F4F4"/>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416,160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6,731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Purchase of 405,047 treasury shares under stock repurchase</w:t>
            </w:r>
          </w:p>
        </w:tc>
        <w:tc>
          <w:tcPr>
            <w:tcW w:w="98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program</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8"/>
                <w:szCs w:val="18"/>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(30,008)</w:t>
            </w:r>
          </w:p>
        </w:tc>
        <w:tc>
          <w:tcPr>
            <w:tcW w:w="16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8"/>
                <w:szCs w:val="18"/>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6"/>
                <w:szCs w:val="16"/>
                <w:color w:val="auto"/>
              </w:rPr>
              <w:t>804,323</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Employee taxes paid for 285,521 withheld shares upon equity</w:t>
            </w:r>
          </w:p>
        </w:tc>
        <w:tc>
          <w:tcPr>
            <w:tcW w:w="98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8"/>
                <w:szCs w:val="18"/>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(20,286)</w:t>
            </w:r>
          </w:p>
        </w:tc>
        <w:tc>
          <w:tcPr>
            <w:tcW w:w="160" w:type="dxa"/>
            <w:vAlign w:val="bottom"/>
            <w:shd w:val="clear" w:color="auto" w:fill="F4F4F4"/>
          </w:tcPr>
          <w:p>
            <w:pPr>
              <w:spacing w:after="0"/>
              <w:rPr>
                <w:sz w:val="18"/>
                <w:szCs w:val="18"/>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8"/>
                <w:szCs w:val="18"/>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30,528</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9,431</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tcPr>
          <w:p>
            <w:pPr>
              <w:jc w:val="right"/>
              <w:spacing w:after="0"/>
              <w:rPr>
                <w:sz w:val="20"/>
                <w:szCs w:val="20"/>
                <w:color w:val="auto"/>
              </w:rPr>
            </w:pPr>
            <w:r>
              <w:rPr>
                <w:rFonts w:ascii="Arial" w:cs="Arial" w:eastAsia="Arial" w:hAnsi="Arial"/>
                <w:sz w:val="16"/>
                <w:szCs w:val="16"/>
                <w:color w:val="auto"/>
              </w:rPr>
              <w:t>(76,316)</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F4F4F4"/>
          </w:tcPr>
          <w:p>
            <w:pPr>
              <w:spacing w:after="0"/>
              <w:rPr>
                <w:sz w:val="21"/>
                <w:szCs w:val="21"/>
                <w:color w:val="auto"/>
              </w:rPr>
            </w:pPr>
          </w:p>
        </w:tc>
        <w:tc>
          <w:tcPr>
            <w:tcW w:w="5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21"/>
                <w:szCs w:val="21"/>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21"/>
                <w:szCs w:val="21"/>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F4F4F4"/>
          </w:tcPr>
          <w:p>
            <w:pPr>
              <w:spacing w:after="0"/>
              <w:rPr>
                <w:sz w:val="21"/>
                <w:szCs w:val="21"/>
                <w:color w:val="auto"/>
              </w:rPr>
            </w:pPr>
          </w:p>
        </w:tc>
        <w:tc>
          <w:tcPr>
            <w:tcW w:w="10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2,128</w:t>
            </w:r>
          </w:p>
        </w:tc>
        <w:tc>
          <w:tcPr>
            <w:tcW w:w="200" w:type="dxa"/>
            <w:vAlign w:val="bottom"/>
            <w:tcBorders>
              <w:bottom w:val="single" w:sz="8" w:color="auto"/>
            </w:tcBorders>
            <w:shd w:val="clear" w:color="auto" w:fill="F4F4F4"/>
          </w:tcPr>
          <w:p>
            <w:pPr>
              <w:spacing w:after="0"/>
              <w:rPr>
                <w:sz w:val="21"/>
                <w:szCs w:val="21"/>
                <w:color w:val="auto"/>
              </w:rPr>
            </w:pPr>
          </w:p>
        </w:tc>
        <w:tc>
          <w:tcPr>
            <w:tcW w:w="7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F4F4F4"/>
          </w:tcPr>
          <w:p>
            <w:pPr>
              <w:spacing w:after="0"/>
              <w:rPr>
                <w:sz w:val="21"/>
                <w:szCs w:val="21"/>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2,128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71BF43"/>
            </w:tcBorders>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98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62,332,714</w:t>
            </w:r>
          </w:p>
        </w:tc>
        <w:tc>
          <w:tcPr>
            <w:tcW w:w="12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605,486</w:t>
            </w:r>
          </w:p>
        </w:tc>
        <w:tc>
          <w:tcPr>
            <w:tcW w:w="16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(449,877)</w:t>
            </w:r>
          </w:p>
        </w:tc>
        <w:tc>
          <w:tcPr>
            <w:tcW w:w="16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6,291</w:t>
            </w:r>
          </w:p>
        </w:tc>
        <w:tc>
          <w:tcPr>
            <w:tcW w:w="200" w:type="dxa"/>
            <w:vAlign w:val="bottom"/>
            <w:tcBorders>
              <w:bottom w:val="single" w:sz="8" w:color="71BF43"/>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243,312</w:t>
            </w:r>
          </w:p>
        </w:tc>
        <w:tc>
          <w:tcPr>
            <w:tcW w:w="220" w:type="dxa"/>
            <w:vAlign w:val="bottom"/>
            <w:tcBorders>
              <w:bottom w:val="single" w:sz="8" w:color="71BF43"/>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405,274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-3590925</wp:posOffset>
            </wp:positionV>
            <wp:extent cx="10718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hanging="314"/>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651510"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shd w:val="clear" w:color="auto" w:fill="ACACAC"/>
          </w:tcPr>
          <w:p>
            <w:pPr>
              <w:spacing w:after="0"/>
              <w:rPr>
                <w:sz w:val="19"/>
                <w:szCs w:val="19"/>
                <w:color w:val="auto"/>
              </w:rPr>
            </w:pPr>
          </w:p>
        </w:tc>
        <w:tc>
          <w:tcPr>
            <w:tcW w:w="9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ACACAC"/>
          </w:tcPr>
          <w:p>
            <w:pPr>
              <w:spacing w:after="0"/>
              <w:rPr>
                <w:sz w:val="14"/>
                <w:szCs w:val="14"/>
                <w:color w:val="auto"/>
              </w:rPr>
            </w:pPr>
          </w:p>
        </w:tc>
        <w:tc>
          <w:tcPr>
            <w:tcW w:w="16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Additional</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other</w:t>
            </w:r>
          </w:p>
        </w:tc>
        <w:tc>
          <w:tcPr>
            <w:tcW w:w="2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580" w:type="dxa"/>
            <w:vAlign w:val="bottom"/>
            <w:shd w:val="clear" w:color="auto" w:fill="ACACAC"/>
          </w:tcPr>
          <w:p>
            <w:pPr>
              <w:spacing w:after="0"/>
              <w:rPr>
                <w:sz w:val="10"/>
                <w:szCs w:val="10"/>
                <w:color w:val="auto"/>
              </w:rPr>
            </w:pPr>
          </w:p>
        </w:tc>
        <w:tc>
          <w:tcPr>
            <w:tcW w:w="1680" w:type="dxa"/>
            <w:vAlign w:val="bottom"/>
            <w:gridSpan w:val="3"/>
            <w:vMerge w:val="continue"/>
            <w:shd w:val="clear" w:color="auto" w:fill="ACACAC"/>
          </w:tcPr>
          <w:p>
            <w:pPr>
              <w:spacing w:after="0"/>
              <w:rPr>
                <w:sz w:val="10"/>
                <w:szCs w:val="10"/>
                <w:color w:val="auto"/>
              </w:rPr>
            </w:pP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paid-in</w:t>
            </w: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16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200" w:type="dxa"/>
            <w:vAlign w:val="bottom"/>
            <w:shd w:val="clear" w:color="auto" w:fill="ACACAC"/>
          </w:tcPr>
          <w:p>
            <w:pPr>
              <w:spacing w:after="0"/>
              <w:rPr>
                <w:sz w:val="10"/>
                <w:szCs w:val="10"/>
                <w:color w:val="auto"/>
              </w:rPr>
            </w:pPr>
          </w:p>
        </w:tc>
        <w:tc>
          <w:tcPr>
            <w:tcW w:w="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100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580" w:type="dxa"/>
            <w:vAlign w:val="bottom"/>
            <w:shd w:val="clear" w:color="auto" w:fill="ACACAC"/>
          </w:tcPr>
          <w:p>
            <w:pPr>
              <w:spacing w:after="0"/>
              <w:rPr>
                <w:sz w:val="3"/>
                <w:szCs w:val="3"/>
                <w:color w:val="auto"/>
              </w:rPr>
            </w:pPr>
          </w:p>
        </w:tc>
        <w:tc>
          <w:tcPr>
            <w:tcW w:w="980" w:type="dxa"/>
            <w:vAlign w:val="bottom"/>
            <w:shd w:val="clear" w:color="auto" w:fill="ACACAC"/>
          </w:tcPr>
          <w:p>
            <w:pPr>
              <w:spacing w:after="0"/>
              <w:rPr>
                <w:sz w:val="3"/>
                <w:szCs w:val="3"/>
                <w:color w:val="auto"/>
              </w:rPr>
            </w:pPr>
          </w:p>
        </w:tc>
        <w:tc>
          <w:tcPr>
            <w:tcW w:w="120" w:type="dxa"/>
            <w:vAlign w:val="bottom"/>
            <w:shd w:val="clear" w:color="auto" w:fill="ACACAC"/>
          </w:tcPr>
          <w:p>
            <w:pPr>
              <w:spacing w:after="0"/>
              <w:rPr>
                <w:sz w:val="3"/>
                <w:szCs w:val="3"/>
                <w:color w:val="auto"/>
              </w:rPr>
            </w:pPr>
          </w:p>
        </w:tc>
        <w:tc>
          <w:tcPr>
            <w:tcW w:w="580" w:type="dxa"/>
            <w:vAlign w:val="bottom"/>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160" w:type="dxa"/>
            <w:vAlign w:val="bottom"/>
            <w:gridSpan w:val="2"/>
            <w:vMerge w:val="continue"/>
            <w:shd w:val="clear" w:color="auto" w:fill="ACACAC"/>
          </w:tcPr>
          <w:p>
            <w:pPr>
              <w:spacing w:after="0"/>
              <w:rPr>
                <w:sz w:val="3"/>
                <w:szCs w:val="3"/>
                <w:color w:val="auto"/>
              </w:rPr>
            </w:pPr>
          </w:p>
        </w:tc>
        <w:tc>
          <w:tcPr>
            <w:tcW w:w="200" w:type="dxa"/>
            <w:vAlign w:val="bottom"/>
            <w:shd w:val="clear" w:color="auto" w:fill="ACACAC"/>
          </w:tcPr>
          <w:p>
            <w:pPr>
              <w:spacing w:after="0"/>
              <w:rPr>
                <w:sz w:val="3"/>
                <w:szCs w:val="3"/>
                <w:color w:val="auto"/>
              </w:rPr>
            </w:pPr>
          </w:p>
        </w:tc>
        <w:tc>
          <w:tcPr>
            <w:tcW w:w="740" w:type="dxa"/>
            <w:vAlign w:val="bottom"/>
            <w:vMerge w:val="continue"/>
            <w:shd w:val="clear" w:color="auto" w:fill="ACACAC"/>
          </w:tcPr>
          <w:p>
            <w:pPr>
              <w:spacing w:after="0"/>
              <w:rPr>
                <w:sz w:val="3"/>
                <w:szCs w:val="3"/>
                <w:color w:val="auto"/>
              </w:rPr>
            </w:pPr>
          </w:p>
        </w:tc>
        <w:tc>
          <w:tcPr>
            <w:tcW w:w="1000" w:type="dxa"/>
            <w:vAlign w:val="bottom"/>
            <w:gridSpan w:val="2"/>
            <w:vMerge w:val="continue"/>
            <w:shd w:val="clear" w:color="auto" w:fill="ACACAC"/>
          </w:tcPr>
          <w:p>
            <w:pPr>
              <w:spacing w:after="0"/>
              <w:rPr>
                <w:sz w:val="3"/>
                <w:szCs w:val="3"/>
                <w:color w:val="auto"/>
              </w:rPr>
            </w:pPr>
          </w:p>
        </w:tc>
        <w:tc>
          <w:tcPr>
            <w:tcW w:w="20" w:type="dxa"/>
            <w:vAlign w:val="bottom"/>
            <w:shd w:val="clear" w:color="auto" w:fill="ACAC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bottom w:val="single" w:sz="8" w:color="ACACAC"/>
            </w:tcBorders>
            <w:shd w:val="clear" w:color="auto" w:fill="ACACAC"/>
          </w:tcPr>
          <w:p>
            <w:pPr>
              <w:spacing w:after="0"/>
              <w:rPr>
                <w:sz w:val="17"/>
                <w:szCs w:val="17"/>
                <w:color w:val="auto"/>
              </w:rPr>
            </w:pPr>
          </w:p>
        </w:tc>
        <w:tc>
          <w:tcPr>
            <w:tcW w:w="5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ACACAC"/>
            </w:tcBorders>
            <w:shd w:val="clear" w:color="auto" w:fill="ACACAC"/>
          </w:tcPr>
          <w:p>
            <w:pPr>
              <w:spacing w:after="0"/>
              <w:rPr>
                <w:sz w:val="17"/>
                <w:szCs w:val="17"/>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income (loss)</w:t>
            </w:r>
          </w:p>
        </w:tc>
        <w:tc>
          <w:tcPr>
            <w:tcW w:w="200" w:type="dxa"/>
            <w:vAlign w:val="bottom"/>
            <w:tcBorders>
              <w:bottom w:val="single" w:sz="8" w:color="ACACAC"/>
            </w:tcBorders>
            <w:shd w:val="clear" w:color="auto" w:fill="ACACAC"/>
          </w:tcPr>
          <w:p>
            <w:pPr>
              <w:spacing w:after="0"/>
              <w:rPr>
                <w:sz w:val="17"/>
                <w:szCs w:val="17"/>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22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80" w:type="dxa"/>
            <w:vAlign w:val="bottom"/>
          </w:tcPr>
          <w:p>
            <w:pPr>
              <w:jc w:val="right"/>
              <w:spacing w:after="0"/>
              <w:rPr>
                <w:sz w:val="20"/>
                <w:szCs w:val="20"/>
                <w:color w:val="auto"/>
              </w:rPr>
            </w:pPr>
            <w:r>
              <w:rPr>
                <w:rFonts w:ascii="Arial" w:cs="Arial" w:eastAsia="Arial" w:hAnsi="Arial"/>
                <w:sz w:val="16"/>
                <w:szCs w:val="16"/>
                <w:color w:val="auto"/>
              </w:rPr>
              <w:t>60,206,091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457,804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(290,665)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234,855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396,764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4,639</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4,639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Payment of dividends ($0.12 per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(5,960)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Exercise of stock options and vesting of restricted stock units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210,057</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Employee taxes paid for 245,358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(19,782)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13,539</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13,580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spacing w:after="0"/>
              <w:rPr>
                <w:sz w:val="20"/>
                <w:szCs w:val="20"/>
                <w:color w:val="auto"/>
              </w:rPr>
            </w:pPr>
            <w:r>
              <w:rPr>
                <w:rFonts w:ascii="Arial" w:cs="Arial" w:eastAsia="Arial" w:hAnsi="Arial"/>
                <w:sz w:val="16"/>
                <w:szCs w:val="16"/>
                <w:color w:val="auto"/>
              </w:rPr>
              <w:t>563,947</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(47,456)</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loss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60,932,639</w:t>
            </w:r>
          </w:p>
        </w:tc>
        <w:tc>
          <w:tcPr>
            <w:tcW w:w="12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471,344</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(310,447)</w:t>
            </w:r>
          </w:p>
        </w:tc>
        <w:tc>
          <w:tcPr>
            <w:tcW w:w="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(14,140)</w:t>
            </w:r>
          </w:p>
        </w:tc>
        <w:tc>
          <w:tcPr>
            <w:tcW w:w="200" w:type="dxa"/>
            <w:vAlign w:val="bottom"/>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233,575</w:t>
            </w:r>
          </w:p>
        </w:tc>
        <w:tc>
          <w:tcPr>
            <w:tcW w:w="220" w:type="dxa"/>
            <w:vAlign w:val="bottom"/>
            <w:shd w:val="clear" w:color="auto" w:fill="F4F4F4"/>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380,393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11,823</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Exercise of stock options and vesting of restricted stock units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7,111</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Employee taxes paid for 21,200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20,103</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20,133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spacing w:after="0"/>
              <w:rPr>
                <w:sz w:val="20"/>
                <w:szCs w:val="20"/>
                <w:color w:val="auto"/>
              </w:rPr>
            </w:pPr>
            <w:r>
              <w:rPr>
                <w:rFonts w:ascii="Arial" w:cs="Arial" w:eastAsia="Arial" w:hAnsi="Arial"/>
                <w:sz w:val="16"/>
                <w:szCs w:val="16"/>
                <w:color w:val="auto"/>
              </w:rPr>
              <w:t>20,776</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(59,426)</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loss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9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60,901,100</w:t>
            </w:r>
          </w:p>
        </w:tc>
        <w:tc>
          <w:tcPr>
            <w:tcW w:w="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491,450</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(311,661)</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(14,476)</w:t>
            </w:r>
          </w:p>
        </w:tc>
        <w:tc>
          <w:tcPr>
            <w:tcW w:w="200" w:type="dxa"/>
            <w:vAlign w:val="bottom"/>
            <w:tcBorders>
              <w:bottom w:val="single" w:sz="8" w:color="71BF43"/>
            </w:tcBorders>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245,428</w:t>
            </w:r>
          </w:p>
        </w:tc>
        <w:tc>
          <w:tcPr>
            <w:tcW w:w="220" w:type="dxa"/>
            <w:vAlign w:val="bottom"/>
            <w:tcBorders>
              <w:bottom w:val="single" w:sz="8" w:color="71BF43"/>
            </w:tcBorders>
            <w:shd w:val="clear" w:color="auto" w:fill="F4F4F4"/>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410,802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-3196590</wp:posOffset>
            </wp:positionV>
            <wp:extent cx="10718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816610</wp:posOffset>
            </wp:positionV>
            <wp:extent cx="65976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480" w:type="dxa"/>
            <w:vAlign w:val="bottom"/>
          </w:tcPr>
          <w:p>
            <w:pPr>
              <w:ind w:left="7720"/>
              <w:spacing w:after="0"/>
              <w:rPr>
                <w:sz w:val="20"/>
                <w:szCs w:val="20"/>
                <w:color w:val="auto"/>
              </w:rPr>
            </w:pPr>
            <w:r>
              <w:rPr>
                <w:rFonts w:ascii="Arial" w:cs="Arial" w:eastAsia="Arial" w:hAnsi="Arial"/>
                <w:sz w:val="14"/>
                <w:szCs w:val="14"/>
                <w:color w:val="auto"/>
              </w:rPr>
              <w:t>Second Quarter 2021 Form 10-Q</w:t>
            </w: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29"/>
        </w:trPr>
        <w:tc>
          <w:tcPr>
            <w:tcW w:w="10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four decades, we are headquartered in Charleston, South Carolina, and have operations in the United States, Australia, Canada, Costa Rica and the United Kingdom.</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financial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condensed consolidated interim financial statements have been prepared pursuant to the rules and regulations of the United States Securities and Exchange Commission ("SEC") for interim financial reporting. These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consolidated balance sheet at December 31, 2020 has been derived from the audited consolidated financial statements at that date. Operating results and cash flows for the six months ended June 30, 2021 are not necessarily indicative of the results that may be expected for the fiscal year ending December 31, 2021, or any other future period. Certain information and footnote disclosures normally included in annual financial statements prepared in accordance with GAAP have been omitted in accordance with the rules and regulations for interim reporting of the SEC. These condensed consolidated interim financial statements should be read in conjunction with the consolidated financial statements and notes thereto included in our Annual Report on Form 10-K for the year ended December 31, 2020, and other forms filed with the SEC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Blackbaud, Inc. and its wholly owned subsidiaries.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 ("CEO").</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discussed in Note 13, beginning in the second quarter of 2021, we combined our General Markets Group ("GMG") and Enterprise Markets Group ("EMG") into a single U.S. Markets Group ("UMG") and moved our Corporations vertical under our International Markets Group ("IMG"). This change was made to better align our resources toward customer retention and growth which, are key objectives as we progress toward our long-term aspirational goals. The change did not impact our conclusion that we have one operating and reportable segment and one goodwill reporting unit.</w:t>
      </w:r>
    </w:p>
    <w:p>
      <w:pPr>
        <w:spacing w:after="0" w:line="32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8</w:t>
      </w:r>
      <w:r>
        <w:rPr>
          <w:sz w:val="20"/>
          <w:szCs w:val="20"/>
          <w:color w:val="auto"/>
        </w:rPr>
        <w:tab/>
      </w:r>
      <w:r>
        <w:rPr>
          <w:sz w:val="1"/>
          <w:szCs w:val="1"/>
          <w:color w:val="auto"/>
        </w:rPr>
        <w:drawing>
          <wp:inline distT="0" distB="0" distL="0" distR="0">
            <wp:extent cx="651510" cy="171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 related to COVID-19</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are subject to risks and uncertainties as a result of the global COVID-19 pandemic. We believe that COVID-19 may continue to significantly impact our vertical markets and geographies, but the magnitude of the impact on our business cannot be determined at this time due to numerous uncertainties, including the duration of the outbreak, the severity of variants which may develop, travel restrictions and business closures, the effectiveness of vaccination programs and other actions taken to contain the disease and other unforeseeable consequences.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and loss contingencies, among others. Changes in the facts or circumstances underlying these estimates, including due to COVID-19, could result in material changes and actual results could materially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are no recently issued accounting pronouncements that we expect to have a material impact on our consolidated financial statements when adopted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There have been no new or material changes to our significant accounting policies described in our Annual Report on Form 10-K for the year ended December 31, 2020, filed with the SEC on February 23, 2021.</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change in goodwill during the six months ended June 30, 2021,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tcBorders>
              <w:bottom w:val="single" w:sz="8" w:color="ACACAC"/>
            </w:tcBorders>
            <w:shd w:val="clear" w:color="auto" w:fill="ACACAC"/>
          </w:tcPr>
          <w:p>
            <w:pPr>
              <w:spacing w:after="0"/>
              <w:rPr>
                <w:sz w:val="19"/>
                <w:szCs w:val="19"/>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ACACAC"/>
            </w:tcBorders>
            <w:shd w:val="clear" w:color="auto" w:fill="ACACAC"/>
          </w:tcPr>
          <w:p>
            <w:pPr>
              <w:spacing w:after="0"/>
              <w:rPr>
                <w:sz w:val="19"/>
                <w:szCs w:val="19"/>
                <w:color w:val="auto"/>
              </w:rPr>
            </w:pPr>
          </w:p>
        </w:tc>
      </w:tr>
      <w:tr>
        <w:trPr>
          <w:trHeight w:val="250"/>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635,854</w:t>
            </w:r>
          </w:p>
        </w:tc>
        <w:tc>
          <w:tcPr>
            <w:tcW w:w="20" w:type="dxa"/>
            <w:vAlign w:val="bottom"/>
          </w:tcPr>
          <w:p>
            <w:pPr>
              <w:spacing w:after="0"/>
              <w:rPr>
                <w:sz w:val="21"/>
                <w:szCs w:val="21"/>
                <w:color w:val="auto"/>
              </w:rPr>
            </w:pP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Effect of foreign currency translation</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1,656</w:t>
            </w:r>
          </w:p>
        </w:tc>
        <w:tc>
          <w:tcPr>
            <w:tcW w:w="20" w:type="dxa"/>
            <w:vAlign w:val="bottom"/>
          </w:tcPr>
          <w:p>
            <w:pPr>
              <w:spacing w:after="0"/>
              <w:rPr>
                <w:sz w:val="21"/>
                <w:szCs w:val="21"/>
                <w:color w:val="auto"/>
              </w:rPr>
            </w:pPr>
          </w:p>
        </w:tc>
      </w:tr>
      <w:tr>
        <w:trPr>
          <w:trHeight w:val="27"/>
        </w:trPr>
        <w:tc>
          <w:tcPr>
            <w:tcW w:w="980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637,510</w:t>
            </w:r>
          </w:p>
        </w:tc>
        <w:tc>
          <w:tcPr>
            <w:tcW w:w="20" w:type="dxa"/>
            <w:vAlign w:val="bottom"/>
          </w:tcPr>
          <w:p>
            <w:pPr>
              <w:spacing w:after="0"/>
              <w:rPr>
                <w:sz w:val="21"/>
                <w:szCs w:val="21"/>
                <w:color w:val="auto"/>
              </w:rPr>
            </w:pPr>
          </w:p>
        </w:tc>
      </w:tr>
      <w:tr>
        <w:trPr>
          <w:trHeight w:val="20"/>
        </w:trPr>
        <w:tc>
          <w:tcPr>
            <w:tcW w:w="9800" w:type="dxa"/>
            <w:vAlign w:val="bottom"/>
            <w:shd w:val="clear" w:color="auto" w:fill="71BF43"/>
          </w:tcPr>
          <w:p>
            <w:pPr>
              <w:spacing w:after="0" w:line="20" w:lineRule="exact"/>
              <w:rPr>
                <w:sz w:val="1"/>
                <w:szCs w:val="1"/>
                <w:color w:val="auto"/>
              </w:rPr>
            </w:pPr>
          </w:p>
        </w:tc>
        <w:tc>
          <w:tcPr>
            <w:tcW w:w="42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compute basic earnings per share by dividing net income available to common stockholders by the weighted average number of common shares outstanding during the period. Diluted earnings per share is computed by dividing net income available to common stockholders by the weighted average number of common shares and dilutive potential common shares outstanding during the period. Diluted earnings per share reflect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218440</wp:posOffset>
            </wp:positionV>
            <wp:extent cx="65976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32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26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132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r>
      <w:tr>
        <w:trPr>
          <w:trHeight w:val="190"/>
        </w:trPr>
        <w:tc>
          <w:tcPr>
            <w:tcW w:w="5900" w:type="dxa"/>
            <w:vAlign w:val="bottom"/>
            <w:shd w:val="clear" w:color="auto" w:fill="ACACAC"/>
          </w:tcPr>
          <w:p>
            <w:pPr>
              <w:spacing w:after="0"/>
              <w:rPr>
                <w:sz w:val="16"/>
                <w:szCs w:val="16"/>
                <w:color w:val="auto"/>
              </w:rPr>
            </w:pPr>
          </w:p>
        </w:tc>
        <w:tc>
          <w:tcPr>
            <w:tcW w:w="1310" w:type="dxa"/>
            <w:vAlign w:val="bottom"/>
            <w:shd w:val="clear" w:color="auto" w:fill="ACACAC"/>
          </w:tcPr>
          <w:p>
            <w:pPr>
              <w:spacing w:after="0"/>
              <w:rPr>
                <w:sz w:val="16"/>
                <w:szCs w:val="16"/>
                <w:color w:val="auto"/>
              </w:rPr>
            </w:pP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132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29"/>
        </w:trPr>
        <w:tc>
          <w:tcPr>
            <w:tcW w:w="59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Pr>
          <w:p>
            <w:pPr>
              <w:spacing w:after="0"/>
              <w:rPr>
                <w:sz w:val="19"/>
                <w:szCs w:val="19"/>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6"/>
        </w:trPr>
        <w:tc>
          <w:tcPr>
            <w:tcW w:w="590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shd w:val="clear" w:color="auto" w:fill="ACACAC"/>
          </w:tcPr>
          <w:p>
            <w:pPr>
              <w:spacing w:after="0"/>
              <w:rPr>
                <w:sz w:val="2"/>
                <w:szCs w:val="2"/>
                <w:color w:val="auto"/>
              </w:rPr>
            </w:pPr>
          </w:p>
        </w:tc>
        <w:tc>
          <w:tcPr>
            <w:tcW w:w="1320" w:type="dxa"/>
            <w:vAlign w:val="bottom"/>
            <w:shd w:val="clear" w:color="auto" w:fill="ACACA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34029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6,731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11,823</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6,567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16,462</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5900" w:type="dxa"/>
            <w:vAlign w:val="bottom"/>
          </w:tcPr>
          <w:p>
            <w:pPr>
              <w:ind w:left="14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47,756,326</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48,239,928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47,560,847</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48,138,125</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auto"/>
              </w:rPr>
              <w:t>Stock-based awards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688,548</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883,811</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326,952</w:t>
            </w:r>
          </w:p>
        </w:tc>
      </w:tr>
      <w:tr>
        <w:trPr>
          <w:trHeight w:val="27"/>
        </w:trPr>
        <w:tc>
          <w:tcPr>
            <w:tcW w:w="590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Weighted average common shares assuming dilution</w:t>
            </w:r>
          </w:p>
        </w:tc>
        <w:tc>
          <w:tcPr>
            <w:tcW w:w="220" w:type="dxa"/>
            <w:vAlign w:val="bottom"/>
            <w:tcBorders>
              <w:bottom w:val="single" w:sz="8" w:color="F4F4F4"/>
            </w:tcBorders>
            <w:shd w:val="clear" w:color="auto" w:fill="F4F4F4"/>
          </w:tcPr>
          <w:p>
            <w:pPr>
              <w:spacing w:after="0"/>
              <w:rPr>
                <w:sz w:val="22"/>
                <w:szCs w:val="22"/>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48,444,874</w:t>
            </w:r>
          </w:p>
        </w:tc>
        <w:tc>
          <w:tcPr>
            <w:tcW w:w="24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48,418,378</w:t>
            </w:r>
          </w:p>
        </w:tc>
        <w:tc>
          <w:tcPr>
            <w:tcW w:w="100" w:type="dxa"/>
            <w:vAlign w:val="bottom"/>
            <w:tcBorders>
              <w:bottom w:val="single" w:sz="8" w:color="F4F4F4"/>
            </w:tcBorders>
            <w:shd w:val="clear" w:color="auto" w:fill="F4F4F4"/>
          </w:tcPr>
          <w:p>
            <w:pPr>
              <w:spacing w:after="0"/>
              <w:rPr>
                <w:sz w:val="22"/>
                <w:szCs w:val="22"/>
                <w:color w:val="auto"/>
              </w:rPr>
            </w:pPr>
          </w:p>
        </w:tc>
        <w:tc>
          <w:tcPr>
            <w:tcW w:w="220" w:type="dxa"/>
            <w:vAlign w:val="bottom"/>
            <w:tcBorders>
              <w:bottom w:val="single" w:sz="8" w:color="F4F4F4"/>
            </w:tcBorders>
            <w:shd w:val="clear" w:color="auto" w:fill="F4F4F4"/>
          </w:tcPr>
          <w:p>
            <w:pPr>
              <w:spacing w:after="0"/>
              <w:rPr>
                <w:sz w:val="22"/>
                <w:szCs w:val="22"/>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48,444,658</w:t>
            </w:r>
          </w:p>
        </w:tc>
        <w:tc>
          <w:tcPr>
            <w:tcW w:w="26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48,465,077</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0.34</w:t>
            </w:r>
          </w:p>
        </w:tc>
      </w:tr>
      <w:tr>
        <w:trPr>
          <w:trHeight w:val="243"/>
        </w:trPr>
        <w:tc>
          <w:tcPr>
            <w:tcW w:w="59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9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240" w:type="dxa"/>
            <w:vAlign w:val="bottom"/>
            <w:shd w:val="clear" w:color="auto" w:fill="F4F4F4"/>
          </w:tcPr>
          <w:p>
            <w:pPr>
              <w:spacing w:after="0"/>
              <w:rPr>
                <w:sz w:val="23"/>
                <w:szCs w:val="23"/>
                <w:color w:val="auto"/>
              </w:rPr>
            </w:pPr>
          </w:p>
        </w:tc>
        <w:tc>
          <w:tcPr>
            <w:tcW w:w="110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26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r>
      <w:tr>
        <w:trPr>
          <w:trHeight w:val="242"/>
        </w:trPr>
        <w:tc>
          <w:tcPr>
            <w:tcW w:w="5900" w:type="dxa"/>
            <w:vAlign w:val="bottom"/>
          </w:tcPr>
          <w:p>
            <w:pPr>
              <w:ind w:left="20"/>
              <w:spacing w:after="0"/>
              <w:rPr>
                <w:sz w:val="20"/>
                <w:szCs w:val="20"/>
                <w:color w:val="auto"/>
              </w:rPr>
            </w:pPr>
            <w:r>
              <w:rPr>
                <w:rFonts w:ascii="Arial" w:cs="Arial" w:eastAsia="Arial" w:hAnsi="Arial"/>
                <w:sz w:val="18"/>
                <w:szCs w:val="18"/>
                <w:color w:val="auto"/>
              </w:rPr>
              <w:t>Anti-dilutive shares excluded from calculations of diluted earnings per</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5900" w:type="dxa"/>
            <w:vAlign w:val="bottom"/>
          </w:tcPr>
          <w:p>
            <w:pPr>
              <w:ind w:left="20"/>
              <w:spacing w:after="0"/>
              <w:rPr>
                <w:sz w:val="20"/>
                <w:szCs w:val="20"/>
                <w:color w:val="auto"/>
              </w:rPr>
            </w:pPr>
            <w:r>
              <w:rPr>
                <w:rFonts w:ascii="Arial" w:cs="Arial" w:eastAsia="Arial" w:hAnsi="Arial"/>
                <w:sz w:val="18"/>
                <w:szCs w:val="18"/>
                <w:color w:val="auto"/>
              </w:rPr>
              <w:t>share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907,210</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1,484,976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1,032,655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1,329,519</w:t>
            </w:r>
          </w:p>
        </w:tc>
      </w:tr>
      <w:tr>
        <w:trPr>
          <w:trHeight w:val="27"/>
        </w:trPr>
        <w:tc>
          <w:tcPr>
            <w:tcW w:w="590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26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r>
    </w:tbl>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We use a three-tier fair value hierarchy to measure fair value. This hierarchy prioritizes the inputs into three broad levels as follows:</w:t>
      </w:r>
    </w:p>
    <w:p>
      <w:pPr>
        <w:spacing w:after="0" w:line="171" w:lineRule="exact"/>
        <w:rPr>
          <w:sz w:val="20"/>
          <w:szCs w:val="20"/>
          <w:color w:val="auto"/>
        </w:rPr>
      </w:pPr>
    </w:p>
    <w:p>
      <w:pPr>
        <w:ind w:left="700" w:hanging="28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171" w:lineRule="exact"/>
        <w:rPr>
          <w:rFonts w:ascii="Arial" w:cs="Arial" w:eastAsia="Arial" w:hAnsi="Arial"/>
          <w:sz w:val="18"/>
          <w:szCs w:val="18"/>
          <w:color w:val="auto"/>
        </w:rPr>
      </w:pPr>
    </w:p>
    <w:p>
      <w:pPr>
        <w:jc w:val="both"/>
        <w:ind w:left="740" w:right="20" w:hanging="327"/>
        <w:spacing w:after="0" w:line="256" w:lineRule="auto"/>
        <w:tabs>
          <w:tab w:leader="none" w:pos="708"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147" w:lineRule="exact"/>
        <w:rPr>
          <w:rFonts w:ascii="Arial" w:cs="Arial" w:eastAsia="Arial" w:hAnsi="Arial"/>
          <w:sz w:val="18"/>
          <w:szCs w:val="18"/>
          <w:color w:val="auto"/>
        </w:rPr>
      </w:pPr>
    </w:p>
    <w:p>
      <w:pPr>
        <w:ind w:left="700" w:hanging="28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34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10</w:t>
      </w:r>
      <w:r>
        <w:rPr>
          <w:sz w:val="20"/>
          <w:szCs w:val="20"/>
          <w:color w:val="auto"/>
        </w:rPr>
        <w:tab/>
      </w:r>
      <w:r>
        <w:rPr>
          <w:sz w:val="1"/>
          <w:szCs w:val="1"/>
          <w:color w:val="auto"/>
        </w:rPr>
        <w:drawing>
          <wp:inline distT="0" distB="0" distL="0" distR="0">
            <wp:extent cx="651510" cy="171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that are measured at fair value on a recurring basis consisted of the following, as of the dates indicated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shd w:val="clear" w:color="auto" w:fill="ACACAC"/>
          </w:tcPr>
          <w:p>
            <w:pPr>
              <w:spacing w:after="0"/>
              <w:rPr>
                <w:sz w:val="18"/>
                <w:szCs w:val="18"/>
                <w:color w:val="auto"/>
              </w:rPr>
            </w:pPr>
          </w:p>
        </w:tc>
        <w:tc>
          <w:tcPr>
            <w:tcW w:w="560" w:type="dxa"/>
            <w:vAlign w:val="bottom"/>
            <w:shd w:val="clear" w:color="auto" w:fill="ACACAC"/>
          </w:tcPr>
          <w:p>
            <w:pPr>
              <w:spacing w:after="0"/>
              <w:rPr>
                <w:sz w:val="18"/>
                <w:szCs w:val="18"/>
                <w:color w:val="auto"/>
              </w:rPr>
            </w:pPr>
          </w:p>
        </w:tc>
        <w:tc>
          <w:tcPr>
            <w:tcW w:w="94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560" w:type="dxa"/>
            <w:vAlign w:val="bottom"/>
            <w:shd w:val="clear" w:color="auto" w:fill="ACACAC"/>
          </w:tcPr>
          <w:p>
            <w:pPr>
              <w:spacing w:after="0"/>
              <w:rPr>
                <w:sz w:val="18"/>
                <w:szCs w:val="18"/>
                <w:color w:val="auto"/>
              </w:rPr>
            </w:pPr>
          </w:p>
        </w:tc>
        <w:tc>
          <w:tcPr>
            <w:tcW w:w="2560" w:type="dxa"/>
            <w:vAlign w:val="bottom"/>
            <w:gridSpan w:val="4"/>
            <w:shd w:val="clear" w:color="auto" w:fill="ACACAC"/>
          </w:tcPr>
          <w:p>
            <w:pPr>
              <w:jc w:val="right"/>
              <w:spacing w:after="0"/>
              <w:rPr>
                <w:sz w:val="20"/>
                <w:szCs w:val="20"/>
                <w:color w:val="auto"/>
              </w:rPr>
            </w:pPr>
            <w:r>
              <w:rPr>
                <w:rFonts w:ascii="Arial" w:cs="Arial" w:eastAsia="Arial" w:hAnsi="Arial"/>
                <w:sz w:val="14"/>
                <w:szCs w:val="14"/>
                <w:b w:val="1"/>
                <w:bCs w:val="1"/>
                <w:color w:val="FFFFFF"/>
              </w:rPr>
              <w:t>Fair value measurement using</w:t>
            </w:r>
          </w:p>
        </w:tc>
        <w:tc>
          <w:tcPr>
            <w:tcW w:w="100" w:type="dxa"/>
            <w:vAlign w:val="bottom"/>
            <w:shd w:val="clear" w:color="auto" w:fill="ACACAC"/>
          </w:tcPr>
          <w:p>
            <w:pPr>
              <w:spacing w:after="0"/>
              <w:rPr>
                <w:sz w:val="18"/>
                <w:szCs w:val="18"/>
                <w:color w:val="auto"/>
              </w:rPr>
            </w:pPr>
          </w:p>
        </w:tc>
        <w:tc>
          <w:tcPr>
            <w:tcW w:w="540" w:type="dxa"/>
            <w:vAlign w:val="bottom"/>
            <w:shd w:val="clear" w:color="auto" w:fill="ACACAC"/>
          </w:tcPr>
          <w:p>
            <w:pPr>
              <w:spacing w:after="0"/>
              <w:rPr>
                <w:sz w:val="18"/>
                <w:szCs w:val="18"/>
                <w:color w:val="auto"/>
              </w:rPr>
            </w:pPr>
          </w:p>
        </w:tc>
        <w:tc>
          <w:tcPr>
            <w:tcW w:w="96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r>
      <w:tr>
        <w:trPr>
          <w:trHeight w:val="235"/>
        </w:trPr>
        <w:tc>
          <w:tcPr>
            <w:tcW w:w="4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ind w:left="440"/>
              <w:spacing w:after="0"/>
              <w:rPr>
                <w:sz w:val="20"/>
                <w:szCs w:val="20"/>
                <w:color w:val="auto"/>
              </w:rPr>
            </w:pPr>
            <w:r>
              <w:rPr>
                <w:rFonts w:ascii="Arial" w:cs="Arial" w:eastAsia="Arial" w:hAnsi="Arial"/>
                <w:sz w:val="14"/>
                <w:szCs w:val="14"/>
                <w:b w:val="1"/>
                <w:bCs w:val="1"/>
                <w:color w:val="FFFFFF"/>
              </w:rPr>
              <w:t>Level 1</w:t>
            </w:r>
          </w:p>
        </w:tc>
        <w:tc>
          <w:tcPr>
            <w:tcW w:w="100" w:type="dxa"/>
            <w:vAlign w:val="bottom"/>
            <w:tcBorders>
              <w:bottom w:val="single" w:sz="8" w:color="ACACAC"/>
            </w:tcBorders>
            <w:shd w:val="clear" w:color="auto" w:fill="ACACAC"/>
          </w:tcPr>
          <w:p>
            <w:pPr>
              <w:spacing w:after="0"/>
              <w:rPr>
                <w:sz w:val="20"/>
                <w:szCs w:val="20"/>
                <w:color w:val="auto"/>
              </w:rPr>
            </w:pPr>
          </w:p>
        </w:tc>
        <w:tc>
          <w:tcPr>
            <w:tcW w:w="56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Level 2</w:t>
            </w:r>
          </w:p>
        </w:tc>
        <w:tc>
          <w:tcPr>
            <w:tcW w:w="120" w:type="dxa"/>
            <w:vAlign w:val="bottom"/>
            <w:tcBorders>
              <w:bottom w:val="single" w:sz="8" w:color="ACACAC"/>
            </w:tcBorders>
            <w:shd w:val="clear" w:color="auto" w:fill="ACACAC"/>
          </w:tcPr>
          <w:p>
            <w:pPr>
              <w:spacing w:after="0"/>
              <w:rPr>
                <w:sz w:val="20"/>
                <w:szCs w:val="20"/>
                <w:color w:val="auto"/>
              </w:rPr>
            </w:pPr>
          </w:p>
        </w:tc>
        <w:tc>
          <w:tcPr>
            <w:tcW w:w="56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Level 3</w:t>
            </w:r>
          </w:p>
        </w:tc>
        <w:tc>
          <w:tcPr>
            <w:tcW w:w="100" w:type="dxa"/>
            <w:vAlign w:val="bottom"/>
            <w:tcBorders>
              <w:bottom w:val="single" w:sz="8" w:color="ACACAC"/>
            </w:tcBorders>
            <w:shd w:val="clear" w:color="auto" w:fill="ACACAC"/>
          </w:tcPr>
          <w:p>
            <w:pPr>
              <w:spacing w:after="0"/>
              <w:rPr>
                <w:sz w:val="20"/>
                <w:szCs w:val="20"/>
                <w:color w:val="auto"/>
              </w:rPr>
            </w:pPr>
          </w:p>
        </w:tc>
        <w:tc>
          <w:tcPr>
            <w:tcW w:w="54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49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Fair value as of June 30, 2021</w:t>
            </w: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4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Borders>
              <w:bottom w:val="single" w:sz="8" w:color="F4F4F4"/>
            </w:tcBorders>
            <w:shd w:val="clear" w:color="auto" w:fill="F4F4F4"/>
          </w:tcPr>
          <w:p>
            <w:pPr>
              <w:spacing w:after="0"/>
              <w:rPr>
                <w:sz w:val="23"/>
                <w:szCs w:val="23"/>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2,061</w:t>
            </w:r>
          </w:p>
        </w:tc>
        <w:tc>
          <w:tcPr>
            <w:tcW w:w="20" w:type="dxa"/>
            <w:vAlign w:val="bottom"/>
          </w:tcPr>
          <w:p>
            <w:pPr>
              <w:spacing w:after="0"/>
              <w:rPr>
                <w:sz w:val="23"/>
                <w:szCs w:val="23"/>
                <w:color w:val="auto"/>
              </w:rPr>
            </w:pPr>
          </w:p>
        </w:tc>
      </w:tr>
      <w:tr>
        <w:trPr>
          <w:trHeight w:val="237"/>
        </w:trPr>
        <w:tc>
          <w:tcPr>
            <w:tcW w:w="4920" w:type="dxa"/>
            <w:vAlign w:val="bottom"/>
          </w:tcPr>
          <w:p>
            <w:pPr>
              <w:ind w:left="240"/>
              <w:spacing w:after="0"/>
              <w:rPr>
                <w:sz w:val="20"/>
                <w:szCs w:val="20"/>
                <w:color w:val="auto"/>
              </w:rPr>
            </w:pPr>
            <w:r>
              <w:rPr>
                <w:rFonts w:ascii="Arial" w:cs="Arial" w:eastAsia="Arial" w:hAnsi="Arial"/>
                <w:sz w:val="18"/>
                <w:szCs w:val="18"/>
                <w:color w:val="auto"/>
              </w:rPr>
              <w:t>Total financial assets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F4F4F4"/>
            </w:tcBorders>
            <w:shd w:val="clear" w:color="auto" w:fill="F4F4F4"/>
          </w:tcPr>
          <w:p>
            <w:pPr>
              <w:spacing w:after="0"/>
              <w:rPr>
                <w:sz w:val="23"/>
                <w:szCs w:val="23"/>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3"/>
                <w:szCs w:val="23"/>
                <w:color w:val="auto"/>
              </w:rPr>
            </w:pPr>
          </w:p>
        </w:tc>
      </w:tr>
      <w:tr>
        <w:trPr>
          <w:trHeight w:val="237"/>
        </w:trPr>
        <w:tc>
          <w:tcPr>
            <w:tcW w:w="4920" w:type="dxa"/>
            <w:vAlign w:val="bottom"/>
          </w:tcPr>
          <w:p>
            <w:pPr>
              <w:ind w:left="240"/>
              <w:spacing w:after="0"/>
              <w:rPr>
                <w:sz w:val="20"/>
                <w:szCs w:val="20"/>
                <w:color w:val="auto"/>
              </w:rPr>
            </w:pPr>
            <w:r>
              <w:rPr>
                <w:rFonts w:ascii="Arial" w:cs="Arial" w:eastAsia="Arial" w:hAnsi="Arial"/>
                <w:sz w:val="18"/>
                <w:szCs w:val="18"/>
                <w:color w:val="auto"/>
              </w:rPr>
              <w:t>Total financial liabilities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Fair value as of December 31, 2020</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9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Financial liabilities:</w:t>
            </w: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4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2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21"/>
                <w:szCs w:val="21"/>
                <w:color w:val="auto"/>
              </w:rPr>
            </w:pPr>
          </w:p>
        </w:tc>
      </w:tr>
      <w:tr>
        <w:trPr>
          <w:trHeight w:val="27"/>
        </w:trPr>
        <w:tc>
          <w:tcPr>
            <w:tcW w:w="492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92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color w:val="auto"/>
              </w:rPr>
              <w:t>Total financial liabilities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4,159</w:t>
            </w: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21"/>
                <w:szCs w:val="21"/>
                <w:color w:val="auto"/>
              </w:rPr>
            </w:pPr>
          </w:p>
        </w:tc>
      </w:tr>
      <w:tr>
        <w:trPr>
          <w:trHeight w:val="20"/>
        </w:trPr>
        <w:tc>
          <w:tcPr>
            <w:tcW w:w="492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4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-2416810</wp:posOffset>
            </wp:positionV>
            <wp:extent cx="3000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Our derivative instruments within the scope of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required to be recorded at fair value. Our derivative instruments that are recorded at fair value include interest rate swaps.</w:t>
      </w:r>
    </w:p>
    <w:p>
      <w:pPr>
        <w:spacing w:after="0" w:line="12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fair value of our interest rate swaps was based on model-driven valuations using LIBOR rates, which are observable at commonly quoted intervals. Accordingly, our interest rate swaps are classified within Level 2 of the fair value hierarchy. The Financial Conduct Authority in the U.K. has stated that it plans to phase out all tenors of LIBOR by June 2023.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the carrying amounts of our cash and cash equivalents, restricted cash, accounts receivable, trade accounts payable, accrued expenses and other current liabilities and due to customers approximate their fair values at June 30, 2021 and December 31, 2020, due to the immediate or short-term maturity of these instruments.</w:t>
      </w:r>
    </w:p>
    <w:p>
      <w:pPr>
        <w:spacing w:after="0" w:line="1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believe the carrying amount of our debt approximates its fair value at June 30, 2021 and December 31, 2020, as the debt bears interest rates that approximate market value. As LIBOR rates are observable at commonly quoted intervals, our debt under the 2020 Credit Facility (as defined below) is classified within Level 2 of the fair value hierarchy. Our fixed rate debt is also classified within Level 2 of the fair value hierarchy.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did not transfer any assets or liabilities among the levels within the fair value hierarchy during the six months ended June 30,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did not hold any Level 3 assets or liabilities during the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229235</wp:posOffset>
            </wp:positionV>
            <wp:extent cx="65976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5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were no non-recurring fair value adjustments to our long-lived assets, intangible assets, goodwill and operating lease ROU assets during the six months ended June 30, 2021.</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202"/>
        </w:trPr>
        <w:tc>
          <w:tcPr>
            <w:tcW w:w="79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7"/>
                <w:szCs w:val="17"/>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Restricted cash due to customers</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433,243</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607,943</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Real estate escrow balances</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1,324</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79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restricted cash</w:t>
            </w:r>
          </w:p>
        </w:tc>
        <w:tc>
          <w:tcPr>
            <w:tcW w:w="520" w:type="dxa"/>
            <w:vAlign w:val="bottom"/>
            <w:tcBorders>
              <w:bottom w:val="single" w:sz="8" w:color="F4F4F4"/>
            </w:tcBorders>
            <w:shd w:val="clear" w:color="auto" w:fill="F4F4F4"/>
          </w:tcPr>
          <w:p>
            <w:pPr>
              <w:spacing w:after="0"/>
              <w:rPr>
                <w:sz w:val="22"/>
                <w:szCs w:val="22"/>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434,567</w:t>
            </w:r>
          </w:p>
        </w:tc>
        <w:tc>
          <w:tcPr>
            <w:tcW w:w="400" w:type="dxa"/>
            <w:vAlign w:val="bottom"/>
            <w:tcBorders>
              <w:bottom w:val="single" w:sz="8" w:color="F4F4F4"/>
            </w:tcBorders>
            <w:shd w:val="clear" w:color="auto" w:fill="F4F4F4"/>
          </w:tcPr>
          <w:p>
            <w:pPr>
              <w:spacing w:after="0"/>
              <w:rPr>
                <w:sz w:val="22"/>
                <w:szCs w:val="22"/>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609,219</w:t>
            </w:r>
          </w:p>
        </w:tc>
        <w:tc>
          <w:tcPr>
            <w:tcW w:w="20" w:type="dxa"/>
            <w:vAlign w:val="bottom"/>
          </w:tcPr>
          <w:p>
            <w:pPr>
              <w:spacing w:after="0"/>
              <w:rPr>
                <w:sz w:val="22"/>
                <w:szCs w:val="22"/>
                <w:color w:val="auto"/>
              </w:rPr>
            </w:pPr>
          </w:p>
        </w:tc>
      </w:tr>
      <w:tr>
        <w:trPr>
          <w:trHeight w:val="453"/>
        </w:trPr>
        <w:tc>
          <w:tcPr>
            <w:tcW w:w="7940" w:type="dxa"/>
            <w:vAlign w:val="bottom"/>
            <w:tcBorders>
              <w:top w:val="single" w:sz="8" w:color="8CBE4F"/>
            </w:tcBorders>
          </w:tcPr>
          <w:p>
            <w:pPr>
              <w:spacing w:after="0"/>
              <w:rPr>
                <w:sz w:val="20"/>
                <w:szCs w:val="20"/>
                <w:color w:val="auto"/>
              </w:rPr>
            </w:pPr>
            <w:r>
              <w:rPr>
                <w:rFonts w:ascii="Arial" w:cs="Arial" w:eastAsia="Arial" w:hAnsi="Arial"/>
                <w:sz w:val="18"/>
                <w:szCs w:val="18"/>
                <w:b w:val="1"/>
                <w:bCs w:val="1"/>
                <w:color w:val="auto"/>
              </w:rPr>
              <w:t>Prepaid expenses and other assets</w:t>
            </w:r>
          </w:p>
        </w:tc>
        <w:tc>
          <w:tcPr>
            <w:tcW w:w="520" w:type="dxa"/>
            <w:vAlign w:val="bottom"/>
            <w:tcBorders>
              <w:top w:val="single" w:sz="8" w:color="8CBE4F"/>
            </w:tcBorders>
          </w:tcPr>
          <w:p>
            <w:pPr>
              <w:spacing w:after="0"/>
              <w:rPr>
                <w:sz w:val="24"/>
                <w:szCs w:val="24"/>
                <w:color w:val="auto"/>
              </w:rPr>
            </w:pPr>
          </w:p>
        </w:tc>
        <w:tc>
          <w:tcPr>
            <w:tcW w:w="1140" w:type="dxa"/>
            <w:vAlign w:val="bottom"/>
            <w:tcBorders>
              <w:top w:val="single" w:sz="8" w:color="8CBE4F"/>
            </w:tcBorders>
          </w:tcPr>
          <w:p>
            <w:pPr>
              <w:spacing w:after="0"/>
              <w:rPr>
                <w:sz w:val="24"/>
                <w:szCs w:val="24"/>
                <w:color w:val="auto"/>
              </w:rPr>
            </w:pPr>
          </w:p>
        </w:tc>
        <w:tc>
          <w:tcPr>
            <w:tcW w:w="400" w:type="dxa"/>
            <w:vAlign w:val="bottom"/>
            <w:tcBorders>
              <w:top w:val="single" w:sz="8" w:color="8CBE4F"/>
            </w:tcBorders>
          </w:tcPr>
          <w:p>
            <w:pPr>
              <w:spacing w:after="0"/>
              <w:rPr>
                <w:sz w:val="24"/>
                <w:szCs w:val="24"/>
                <w:color w:val="auto"/>
              </w:rPr>
            </w:pPr>
          </w:p>
        </w:tc>
        <w:tc>
          <w:tcPr>
            <w:tcW w:w="1240" w:type="dxa"/>
            <w:vAlign w:val="bottom"/>
            <w:tcBorders>
              <w:top w:val="single" w:sz="8" w:color="8CBE4F"/>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89"/>
        </w:trPr>
        <w:tc>
          <w:tcPr>
            <w:tcW w:w="794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tcBorders>
              <w:bottom w:val="single" w:sz="8" w:color="ACACAC"/>
            </w:tcBorders>
            <w:shd w:val="clear" w:color="auto" w:fill="ACACAC"/>
          </w:tcPr>
          <w:p>
            <w:pPr>
              <w:spacing w:after="0"/>
              <w:rPr>
                <w:sz w:val="17"/>
                <w:szCs w:val="17"/>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Costs of obtaining contracts</w:t>
            </w:r>
            <w:r>
              <w:rPr>
                <w:rFonts w:ascii="Arial" w:cs="Arial" w:eastAsia="Arial" w:hAnsi="Arial"/>
                <w:sz w:val="23"/>
                <w:szCs w:val="23"/>
                <w:color w:val="auto"/>
                <w:vertAlign w:val="superscript"/>
              </w:rPr>
              <w:t>(1)(2)</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81,478</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84,914</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Prepaid software maintenance and subscriptions</w:t>
            </w:r>
            <w:r>
              <w:rPr>
                <w:rFonts w:ascii="Arial" w:cs="Arial" w:eastAsia="Arial" w:hAnsi="Arial"/>
                <w:sz w:val="23"/>
                <w:szCs w:val="23"/>
                <w:color w:val="auto"/>
                <w:vertAlign w:val="superscript"/>
              </w:rPr>
              <w:t>(3)</w:t>
            </w: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32,599</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24,471</w:t>
            </w:r>
          </w:p>
        </w:tc>
        <w:tc>
          <w:tcPr>
            <w:tcW w:w="20" w:type="dxa"/>
            <w:vAlign w:val="bottom"/>
          </w:tcPr>
          <w:p>
            <w:pPr>
              <w:spacing w:after="0"/>
              <w:rPr>
                <w:sz w:val="24"/>
                <w:szCs w:val="24"/>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Receivables for probable insurance recoveries</w:t>
            </w:r>
            <w:r>
              <w:rPr>
                <w:rFonts w:ascii="Arial" w:cs="Arial" w:eastAsia="Arial" w:hAnsi="Arial"/>
                <w:sz w:val="23"/>
                <w:szCs w:val="23"/>
                <w:color w:val="auto"/>
                <w:vertAlign w:val="superscript"/>
              </w:rPr>
              <w:t>(4)</w:t>
            </w:r>
          </w:p>
        </w:tc>
        <w:tc>
          <w:tcPr>
            <w:tcW w:w="520" w:type="dxa"/>
            <w:vAlign w:val="bottom"/>
            <w:shd w:val="clear" w:color="auto" w:fill="F4F4F4"/>
          </w:tcPr>
          <w:p>
            <w:pPr>
              <w:spacing w:after="0"/>
              <w:rPr>
                <w:sz w:val="24"/>
                <w:szCs w:val="24"/>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23,373</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Implementation costs for cloud computing arrangements, net</w:t>
            </w:r>
            <w:r>
              <w:rPr>
                <w:rFonts w:ascii="Arial" w:cs="Arial" w:eastAsia="Arial" w:hAnsi="Arial"/>
                <w:sz w:val="23"/>
                <w:szCs w:val="23"/>
                <w:color w:val="auto"/>
                <w:vertAlign w:val="superscript"/>
              </w:rPr>
              <w:t>(5)(6)</w:t>
            </w: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12,068</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11,298</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Unbilled accounts receivable</w:t>
            </w:r>
          </w:p>
        </w:tc>
        <w:tc>
          <w:tcPr>
            <w:tcW w:w="5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5,579</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10,385</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4,991</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5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2,061</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Taxes, prepaid and receivable</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F4F4F4"/>
            </w:tcBorders>
            <w:shd w:val="clear" w:color="auto" w:fill="F4F4F4"/>
          </w:tcPr>
          <w:p>
            <w:pPr>
              <w:spacing w:after="0"/>
              <w:rPr>
                <w:sz w:val="23"/>
                <w:szCs w:val="23"/>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10,536</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10,332</w:t>
            </w:r>
          </w:p>
        </w:tc>
        <w:tc>
          <w:tcPr>
            <w:tcW w:w="20" w:type="dxa"/>
            <w:vAlign w:val="bottom"/>
          </w:tcPr>
          <w:p>
            <w:pPr>
              <w:spacing w:after="0"/>
              <w:rPr>
                <w:sz w:val="23"/>
                <w:szCs w:val="23"/>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8"/>
                <w:szCs w:val="18"/>
                <w:color w:val="auto"/>
              </w:rPr>
              <w:t>Total prepaid expenses and other assets</w:t>
            </w:r>
          </w:p>
        </w:tc>
        <w:tc>
          <w:tcPr>
            <w:tcW w:w="5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174,159</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151,005</w:t>
            </w:r>
          </w:p>
        </w:tc>
        <w:tc>
          <w:tcPr>
            <w:tcW w:w="2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Less: Long-term portion</w:t>
            </w:r>
          </w:p>
        </w:tc>
        <w:tc>
          <w:tcPr>
            <w:tcW w:w="520" w:type="dxa"/>
            <w:vAlign w:val="bottom"/>
            <w:tcBorders>
              <w:bottom w:val="single" w:sz="8" w:color="F4F4F4"/>
            </w:tcBorders>
            <w:shd w:val="clear" w:color="auto" w:fill="F4F4F4"/>
          </w:tcPr>
          <w:p>
            <w:pPr>
              <w:spacing w:after="0"/>
              <w:rPr>
                <w:sz w:val="23"/>
                <w:szCs w:val="23"/>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70,666</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72,639</w:t>
            </w:r>
          </w:p>
        </w:tc>
        <w:tc>
          <w:tcPr>
            <w:tcW w:w="20" w:type="dxa"/>
            <w:vAlign w:val="bottom"/>
          </w:tcPr>
          <w:p>
            <w:pPr>
              <w:spacing w:after="0"/>
              <w:rPr>
                <w:sz w:val="23"/>
                <w:szCs w:val="23"/>
                <w:color w:val="auto"/>
              </w:rPr>
            </w:pP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103,493</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78,366</w:t>
            </w:r>
          </w:p>
        </w:tc>
        <w:tc>
          <w:tcPr>
            <w:tcW w:w="20" w:type="dxa"/>
            <w:vAlign w:val="bottom"/>
          </w:tcPr>
          <w:p>
            <w:pPr>
              <w:spacing w:after="0"/>
              <w:rPr>
                <w:sz w:val="20"/>
                <w:szCs w:val="20"/>
                <w:color w:val="auto"/>
              </w:rPr>
            </w:pPr>
          </w:p>
        </w:tc>
      </w:tr>
      <w:tr>
        <w:trPr>
          <w:trHeight w:val="27"/>
        </w:trPr>
        <w:tc>
          <w:tcPr>
            <w:tcW w:w="7940" w:type="dxa"/>
            <w:vAlign w:val="bottom"/>
            <w:tcBorders>
              <w:bottom w:val="single" w:sz="8" w:color="71BF43"/>
            </w:tcBorders>
          </w:tcPr>
          <w:p>
            <w:pPr>
              <w:spacing w:after="0"/>
              <w:rPr>
                <w:sz w:val="2"/>
                <w:szCs w:val="2"/>
                <w:color w:val="auto"/>
              </w:rPr>
            </w:pPr>
          </w:p>
        </w:tc>
        <w:tc>
          <w:tcPr>
            <w:tcW w:w="520" w:type="dxa"/>
            <w:vAlign w:val="bottom"/>
            <w:tcBorders>
              <w:bottom w:val="single" w:sz="8" w:color="71BF43"/>
            </w:tcBorders>
          </w:tcPr>
          <w:p>
            <w:pPr>
              <w:spacing w:after="0"/>
              <w:rPr>
                <w:sz w:val="2"/>
                <w:szCs w:val="2"/>
                <w:color w:val="auto"/>
              </w:rPr>
            </w:pPr>
          </w:p>
        </w:tc>
        <w:tc>
          <w:tcPr>
            <w:tcW w:w="114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124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99" w:lineRule="exact"/>
        <w:rPr>
          <w:sz w:val="20"/>
          <w:szCs w:val="20"/>
          <w:color w:val="auto"/>
        </w:rPr>
      </w:pPr>
    </w:p>
    <w:p>
      <w:pPr>
        <w:ind w:left="340" w:right="20" w:hanging="332"/>
        <w:spacing w:after="0" w:line="241" w:lineRule="auto"/>
        <w:tabs>
          <w:tab w:leader="none" w:pos="354"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expense from costs of obtaining contracts was $9.0 million and $18.2 million for the three and six months ended June 30, 2021, respectively, and $9.4 million and $18.9 million for the three and six months ended June 30, 2020, respectively.</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current portion of costs of obtaining contracts as of June 30, 2021 and December 31, 2020 was $31.0 million and $31.9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current portion of prepaid software maintenance and subscriptions as of June 30, 2021 and December 31, 2020 was $28.2 million and $19.8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discussion of the Security Incident at Note 9.</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costs primarily relate to the multi-year implementations of our new global enterprise resource planning and customer relationship management systems.</w:t>
      </w:r>
    </w:p>
    <w:p>
      <w:pPr>
        <w:spacing w:after="0" w:line="1" w:lineRule="exact"/>
        <w:rPr>
          <w:rFonts w:ascii="Arial" w:cs="Arial" w:eastAsia="Arial" w:hAnsi="Arial"/>
          <w:sz w:val="14"/>
          <w:szCs w:val="14"/>
          <w:color w:val="auto"/>
        </w:rPr>
      </w:pPr>
    </w:p>
    <w:p>
      <w:pPr>
        <w:jc w:val="both"/>
        <w:ind w:left="340" w:right="20" w:hanging="332"/>
        <w:spacing w:after="0" w:line="249" w:lineRule="auto"/>
        <w:tabs>
          <w:tab w:leader="none" w:pos="354"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expense from capitalized cloud computing implementation costs was insignificant and $0.9 million for the three and six months ended June 30, 2021, respectively, and insignificant for the three and six months ended June 30, 2020. Accumulated amortization for these costs was $2.0 million as of June 30, 2021 and $1.1 million as of December 31, 2020.</w:t>
      </w:r>
    </w:p>
    <w:p>
      <w:pPr>
        <w:spacing w:after="0" w:line="30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12</w:t>
      </w:r>
      <w:r>
        <w:rPr>
          <w:sz w:val="20"/>
          <w:szCs w:val="20"/>
          <w:color w:val="auto"/>
        </w:rPr>
        <w:tab/>
      </w:r>
      <w:r>
        <w:rPr>
          <w:sz w:val="1"/>
          <w:szCs w:val="1"/>
          <w:color w:val="auto"/>
        </w:rPr>
        <w:drawing>
          <wp:inline distT="0" distB="0" distL="0" distR="0">
            <wp:extent cx="651510" cy="171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58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80" w:type="dxa"/>
            <w:vAlign w:val="bottom"/>
            <w:tcBorders>
              <w:bottom w:val="single" w:sz="8" w:color="ACACAC"/>
            </w:tcBorders>
            <w:shd w:val="clear" w:color="auto" w:fill="ACACAC"/>
          </w:tcPr>
          <w:p>
            <w:pPr>
              <w:spacing w:after="0"/>
              <w:rPr>
                <w:sz w:val="17"/>
                <w:szCs w:val="17"/>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Taxes payable</w:t>
            </w:r>
            <w:r>
              <w:rPr>
                <w:rFonts w:ascii="Arial" w:cs="Arial" w:eastAsia="Arial" w:hAnsi="Arial"/>
                <w:sz w:val="23"/>
                <w:szCs w:val="23"/>
                <w:color w:val="auto"/>
                <w:vertAlign w:val="superscript"/>
              </w:rPr>
              <w:t>(1)</w:t>
            </w:r>
          </w:p>
        </w:tc>
        <w:tc>
          <w:tcPr>
            <w:tcW w:w="580" w:type="dxa"/>
            <w:vAlign w:val="bottom"/>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14,310</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19,577</w:t>
            </w:r>
          </w:p>
        </w:tc>
        <w:tc>
          <w:tcPr>
            <w:tcW w:w="20" w:type="dxa"/>
            <w:vAlign w:val="bottom"/>
          </w:tcPr>
          <w:p>
            <w:pPr>
              <w:spacing w:after="0"/>
              <w:rPr>
                <w:sz w:val="24"/>
                <w:szCs w:val="2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legal costs</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17,796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4,808</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58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7,856</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9,359</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Customer credit balances</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5,874</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commissions and salaries</w:t>
            </w:r>
          </w:p>
        </w:tc>
        <w:tc>
          <w:tcPr>
            <w:tcW w:w="58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4,970</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5,010</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Unrecognized tax benefit</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3,351</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health care costs</w:t>
            </w:r>
          </w:p>
        </w:tc>
        <w:tc>
          <w:tcPr>
            <w:tcW w:w="58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2,526</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vacation costs</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58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138</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6,304</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accrued expenses and other liabilities</w:t>
            </w:r>
          </w:p>
        </w:tc>
        <w:tc>
          <w:tcPr>
            <w:tcW w:w="58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65,147</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63,094</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9,339</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10,866</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580" w:type="dxa"/>
            <w:vAlign w:val="bottom"/>
            <w:tcBorders>
              <w:bottom w:val="single" w:sz="8" w:color="F4F4F4"/>
            </w:tcBorders>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55,808</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52,228</w:t>
            </w:r>
          </w:p>
        </w:tc>
        <w:tc>
          <w:tcPr>
            <w:tcW w:w="20" w:type="dxa"/>
            <w:vAlign w:val="bottom"/>
          </w:tcPr>
          <w:p>
            <w:pPr>
              <w:spacing w:after="0"/>
              <w:rPr>
                <w:sz w:val="21"/>
                <w:szCs w:val="21"/>
                <w:color w:val="auto"/>
              </w:rPr>
            </w:pPr>
          </w:p>
        </w:tc>
      </w:tr>
      <w:tr>
        <w:trPr>
          <w:trHeight w:val="20"/>
        </w:trPr>
        <w:tc>
          <w:tcPr>
            <w:tcW w:w="7940" w:type="dxa"/>
            <w:vAlign w:val="bottom"/>
            <w:shd w:val="clear" w:color="auto" w:fill="71BF43"/>
          </w:tcPr>
          <w:p>
            <w:pPr>
              <w:spacing w:after="0" w:line="20" w:lineRule="exact"/>
              <w:rPr>
                <w:sz w:val="1"/>
                <w:szCs w:val="1"/>
                <w:color w:val="auto"/>
              </w:rPr>
            </w:pPr>
          </w:p>
        </w:tc>
        <w:tc>
          <w:tcPr>
            <w:tcW w:w="580" w:type="dxa"/>
            <w:vAlign w:val="bottom"/>
            <w:shd w:val="clear" w:color="auto" w:fill="71BF43"/>
          </w:tcPr>
          <w:p>
            <w:pPr>
              <w:spacing w:after="0" w:line="20" w:lineRule="exact"/>
              <w:rPr>
                <w:sz w:val="1"/>
                <w:szCs w:val="1"/>
                <w:color w:val="auto"/>
              </w:rPr>
            </w:pPr>
          </w:p>
        </w:tc>
        <w:tc>
          <w:tcPr>
            <w:tcW w:w="108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20" w:hanging="332"/>
        <w:spacing w:after="0" w:line="258" w:lineRule="auto"/>
        <w:tabs>
          <w:tab w:leader="none" w:pos="354"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deferred payments of the employer's portion of Social Security taxes during 2020 under the Coronavirus, Aid, Relief and Economic Security Act ("CARES Act"), half of which is due by the end of calendar year 2021 with the remainder due by the end of calendar year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shd w:val="clear" w:color="auto" w:fill="ACACAC"/>
          </w:tcPr>
          <w:p>
            <w:pPr>
              <w:spacing w:after="0"/>
              <w:rPr>
                <w:sz w:val="16"/>
                <w:szCs w:val="16"/>
                <w:color w:val="auto"/>
              </w:rPr>
            </w:pPr>
          </w:p>
        </w:tc>
        <w:tc>
          <w:tcPr>
            <w:tcW w:w="68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14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64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4600" w:type="dxa"/>
            <w:vAlign w:val="bottom"/>
            <w:shd w:val="clear" w:color="auto" w:fill="ACACAC"/>
          </w:tcPr>
          <w:p>
            <w:pPr>
              <w:spacing w:after="0"/>
              <w:rPr>
                <w:sz w:val="16"/>
                <w:szCs w:val="16"/>
                <w:color w:val="auto"/>
              </w:rPr>
            </w:pPr>
          </w:p>
        </w:tc>
        <w:tc>
          <w:tcPr>
            <w:tcW w:w="68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14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640" w:type="dxa"/>
            <w:vAlign w:val="bottom"/>
            <w:shd w:val="clear" w:color="auto" w:fill="ACACAC"/>
          </w:tcPr>
          <w:p>
            <w:pPr>
              <w:spacing w:after="0"/>
              <w:rPr>
                <w:sz w:val="16"/>
                <w:szCs w:val="16"/>
                <w:color w:val="auto"/>
              </w:rPr>
            </w:pPr>
          </w:p>
        </w:tc>
        <w:tc>
          <w:tcPr>
            <w:tcW w:w="98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3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4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8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60" w:type="dxa"/>
            <w:vAlign w:val="bottom"/>
            <w:tcBorders>
              <w:bottom w:val="single" w:sz="8" w:color="ACACAC"/>
            </w:tcBorders>
            <w:shd w:val="clear" w:color="auto" w:fill="ACACAC"/>
          </w:tcPr>
          <w:p>
            <w:pPr>
              <w:spacing w:after="0"/>
              <w:rPr>
                <w:sz w:val="20"/>
                <w:szCs w:val="20"/>
                <w:color w:val="auto"/>
              </w:rPr>
            </w:pPr>
          </w:p>
        </w:tc>
        <w:tc>
          <w:tcPr>
            <w:tcW w:w="148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Borders>
              <w:bottom w:val="single" w:sz="8" w:color="F4F4F4"/>
            </w:tcBorders>
          </w:tcPr>
          <w:p>
            <w:pPr>
              <w:spacing w:after="0"/>
              <w:rPr>
                <w:sz w:val="20"/>
                <w:szCs w:val="20"/>
                <w:color w:val="auto"/>
              </w:rPr>
            </w:pPr>
          </w:p>
        </w:tc>
        <w:tc>
          <w:tcPr>
            <w:tcW w:w="640" w:type="dxa"/>
            <w:vAlign w:val="bottom"/>
            <w:tcBorders>
              <w:bottom w:val="single" w:sz="8" w:color="ACACAC"/>
            </w:tcBorders>
            <w:shd w:val="clear" w:color="auto" w:fill="ACACAC"/>
          </w:tcPr>
          <w:p>
            <w:pPr>
              <w:spacing w:after="0"/>
              <w:rPr>
                <w:sz w:val="20"/>
                <w:szCs w:val="20"/>
                <w:color w:val="auto"/>
              </w:rPr>
            </w:pP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tcBorders>
              <w:bottom w:val="single" w:sz="8" w:color="ACACAC"/>
            </w:tcBorders>
            <w:shd w:val="clear" w:color="auto" w:fill="ACACAC"/>
          </w:tcPr>
          <w:p>
            <w:pPr>
              <w:spacing w:after="0"/>
              <w:rPr>
                <w:sz w:val="20"/>
                <w:szCs w:val="20"/>
                <w:color w:val="auto"/>
              </w:rPr>
            </w:pPr>
          </w:p>
        </w:tc>
        <w:tc>
          <w:tcPr>
            <w:tcW w:w="13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46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income</w:t>
            </w:r>
          </w:p>
        </w:tc>
        <w:tc>
          <w:tcPr>
            <w:tcW w:w="680" w:type="dxa"/>
            <w:vAlign w:val="bottom"/>
            <w:tcBorders>
              <w:bottom w:val="single" w:sz="8" w:color="F4F4F4"/>
            </w:tcBorders>
            <w:shd w:val="clear" w:color="auto" w:fill="F4F4F4"/>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F4F4F4"/>
              <w:right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110</w:t>
            </w:r>
          </w:p>
        </w:tc>
        <w:tc>
          <w:tcPr>
            <w:tcW w:w="740" w:type="dxa"/>
            <w:vAlign w:val="bottom"/>
            <w:tcBorders>
              <w:bottom w:val="single" w:sz="8" w:color="F4F4F4"/>
            </w:tcBorders>
            <w:gridSpan w:val="2"/>
            <w:shd w:val="clear" w:color="auto" w:fill="F4F4F4"/>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6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21"/>
                <w:szCs w:val="21"/>
                <w:color w:val="auto"/>
              </w:rPr>
            </w:pPr>
          </w:p>
        </w:tc>
      </w:tr>
      <w:tr>
        <w:trPr>
          <w:trHeight w:val="27"/>
        </w:trPr>
        <w:tc>
          <w:tcPr>
            <w:tcW w:w="4600" w:type="dxa"/>
            <w:vAlign w:val="bottom"/>
            <w:tcBorders>
              <w:bottom w:val="single" w:sz="8" w:color="F4F4F4"/>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6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Other income (expense), net</w:t>
            </w:r>
          </w:p>
        </w:tc>
        <w:tc>
          <w:tcPr>
            <w:tcW w:w="680" w:type="dxa"/>
            <w:vAlign w:val="bottom"/>
            <w:tcBorders>
              <w:bottom w:val="single" w:sz="8" w:color="F4F4F4"/>
            </w:tcBorders>
            <w:shd w:val="clear" w:color="auto" w:fill="F4F4F4"/>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F4F4F4"/>
              <w:right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630</w:t>
            </w:r>
          </w:p>
        </w:tc>
        <w:tc>
          <w:tcPr>
            <w:tcW w:w="740" w:type="dxa"/>
            <w:vAlign w:val="bottom"/>
            <w:tcBorders>
              <w:bottom w:val="single" w:sz="8" w:color="F4F4F4"/>
            </w:tcBorders>
            <w:gridSpan w:val="2"/>
            <w:shd w:val="clear" w:color="auto" w:fill="F4F4F4"/>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(523)</w:t>
            </w:r>
          </w:p>
        </w:tc>
        <w:tc>
          <w:tcPr>
            <w:tcW w:w="26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21"/>
                <w:szCs w:val="21"/>
                <w:color w:val="auto"/>
              </w:rPr>
            </w:pPr>
          </w:p>
        </w:tc>
      </w:tr>
      <w:tr>
        <w:trPr>
          <w:trHeight w:val="20"/>
        </w:trPr>
        <w:tc>
          <w:tcPr>
            <w:tcW w:w="4600" w:type="dxa"/>
            <w:vAlign w:val="bottom"/>
            <w:shd w:val="clear" w:color="auto" w:fill="71BF43"/>
          </w:tcPr>
          <w:p>
            <w:pPr>
              <w:spacing w:after="0" w:line="20" w:lineRule="exact"/>
              <w:rPr>
                <w:sz w:val="1"/>
                <w:szCs w:val="1"/>
                <w:color w:val="auto"/>
              </w:rPr>
            </w:pPr>
          </w:p>
        </w:tc>
        <w:tc>
          <w:tcPr>
            <w:tcW w:w="68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160" w:type="dxa"/>
            <w:vAlign w:val="bottom"/>
            <w:shd w:val="clear" w:color="auto" w:fill="71BF43"/>
          </w:tcPr>
          <w:p>
            <w:pPr>
              <w:spacing w:after="0" w:line="20" w:lineRule="exact"/>
              <w:rPr>
                <w:sz w:val="1"/>
                <w:szCs w:val="1"/>
                <w:color w:val="auto"/>
              </w:rPr>
            </w:pPr>
          </w:p>
        </w:tc>
        <w:tc>
          <w:tcPr>
            <w:tcW w:w="1480" w:type="dxa"/>
            <w:vAlign w:val="bottom"/>
            <w:tcBorders>
              <w:right w:val="single" w:sz="8" w:color="71BF43"/>
            </w:tcBorders>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640" w:type="dxa"/>
            <w:vAlign w:val="bottom"/>
            <w:shd w:val="clear" w:color="auto" w:fill="71BF43"/>
          </w:tcPr>
          <w:p>
            <w:pPr>
              <w:spacing w:after="0" w:line="20" w:lineRule="exact"/>
              <w:rPr>
                <w:sz w:val="1"/>
                <w:szCs w:val="1"/>
                <w:color w:val="auto"/>
              </w:rPr>
            </w:pPr>
          </w:p>
        </w:tc>
        <w:tc>
          <w:tcPr>
            <w:tcW w:w="980" w:type="dxa"/>
            <w:vAlign w:val="bottom"/>
            <w:shd w:val="clear" w:color="auto" w:fill="71BF43"/>
          </w:tcPr>
          <w:p>
            <w:pPr>
              <w:spacing w:after="0" w:line="20" w:lineRule="exact"/>
              <w:rPr>
                <w:sz w:val="1"/>
                <w:szCs w:val="1"/>
                <w:color w:val="auto"/>
              </w:rPr>
            </w:pPr>
          </w:p>
        </w:tc>
        <w:tc>
          <w:tcPr>
            <w:tcW w:w="260" w:type="dxa"/>
            <w:vAlign w:val="bottom"/>
            <w:shd w:val="clear" w:color="auto" w:fill="71BF43"/>
          </w:tcPr>
          <w:p>
            <w:pPr>
              <w:spacing w:after="0" w:line="20" w:lineRule="exact"/>
              <w:rPr>
                <w:sz w:val="1"/>
                <w:szCs w:val="1"/>
                <w:color w:val="auto"/>
              </w:rPr>
            </w:pPr>
          </w:p>
        </w:tc>
        <w:tc>
          <w:tcPr>
            <w:tcW w:w="138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-685165</wp:posOffset>
            </wp:positionV>
            <wp:extent cx="4225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our debt balances and the related weighted average effective interest rates, which includes the effect of interest rate swap agreements.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1260" w:type="dxa"/>
            <w:vAlign w:val="bottom"/>
            <w:tcBorders>
              <w:right w:val="single" w:sz="8" w:color="ACACAC"/>
            </w:tcBorders>
            <w:shd w:val="clear" w:color="auto" w:fill="ACACAC"/>
          </w:tcPr>
          <w:p>
            <w:pPr>
              <w:spacing w:after="0"/>
              <w:rPr>
                <w:sz w:val="16"/>
                <w:szCs w:val="16"/>
                <w:color w:val="auto"/>
              </w:rPr>
            </w:pPr>
          </w:p>
        </w:tc>
        <w:tc>
          <w:tcPr>
            <w:tcW w:w="80" w:type="dxa"/>
            <w:vAlign w:val="bottom"/>
          </w:tcPr>
          <w:p>
            <w:pPr>
              <w:spacing w:after="0"/>
              <w:rPr>
                <w:sz w:val="16"/>
                <w:szCs w:val="16"/>
                <w:color w:val="auto"/>
              </w:rPr>
            </w:pPr>
          </w:p>
        </w:tc>
        <w:tc>
          <w:tcPr>
            <w:tcW w:w="1650" w:type="dxa"/>
            <w:vAlign w:val="bottom"/>
            <w:shd w:val="clear" w:color="auto" w:fill="ACACAC"/>
          </w:tcPr>
          <w:p>
            <w:pPr>
              <w:spacing w:after="0"/>
              <w:rPr>
                <w:sz w:val="16"/>
                <w:szCs w:val="16"/>
                <w:color w:val="auto"/>
              </w:rPr>
            </w:pPr>
          </w:p>
        </w:tc>
        <w:tc>
          <w:tcPr>
            <w:tcW w:w="230" w:type="dxa"/>
            <w:vAlign w:val="bottom"/>
            <w:shd w:val="clear" w:color="auto" w:fill="ACACAC"/>
          </w:tcPr>
          <w:p>
            <w:pPr>
              <w:spacing w:after="0"/>
              <w:rPr>
                <w:sz w:val="16"/>
                <w:szCs w:val="16"/>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40" w:type="dxa"/>
            <w:vAlign w:val="bottom"/>
            <w:tcBorders>
              <w:left w:val="single" w:sz="8" w:color="ACACAC"/>
            </w:tcBorders>
          </w:tcPr>
          <w:p>
            <w:pPr>
              <w:spacing w:after="0"/>
              <w:rPr>
                <w:sz w:val="16"/>
                <w:szCs w:val="16"/>
                <w:color w:val="auto"/>
              </w:rPr>
            </w:pPr>
          </w:p>
        </w:tc>
      </w:tr>
      <w:tr>
        <w:trPr>
          <w:trHeight w:val="190"/>
        </w:trPr>
        <w:tc>
          <w:tcPr>
            <w:tcW w:w="478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12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Debt balance at</w:t>
            </w:r>
          </w:p>
        </w:tc>
        <w:tc>
          <w:tcPr>
            <w:tcW w:w="80" w:type="dxa"/>
            <w:vAlign w:val="bottom"/>
          </w:tcPr>
          <w:p>
            <w:pPr>
              <w:spacing w:after="0"/>
              <w:rPr>
                <w:sz w:val="16"/>
                <w:szCs w:val="16"/>
                <w:color w:val="auto"/>
              </w:rPr>
            </w:pPr>
          </w:p>
        </w:tc>
        <w:tc>
          <w:tcPr>
            <w:tcW w:w="1650" w:type="dxa"/>
            <w:vAlign w:val="bottom"/>
            <w:shd w:val="clear" w:color="auto" w:fill="ACACAC"/>
          </w:tcPr>
          <w:p>
            <w:pPr>
              <w:spacing w:after="0"/>
              <w:rPr>
                <w:sz w:val="16"/>
                <w:szCs w:val="16"/>
                <w:color w:val="auto"/>
              </w:rPr>
            </w:pPr>
          </w:p>
        </w:tc>
        <w:tc>
          <w:tcPr>
            <w:tcW w:w="165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40" w:type="dxa"/>
            <w:vAlign w:val="bottom"/>
            <w:tcBorders>
              <w:left w:val="single" w:sz="8" w:color="ACACAC"/>
            </w:tcBorders>
          </w:tcPr>
          <w:p>
            <w:pPr>
              <w:spacing w:after="0"/>
              <w:rPr>
                <w:sz w:val="16"/>
                <w:szCs w:val="16"/>
                <w:color w:val="auto"/>
              </w:rPr>
            </w:pPr>
          </w:p>
        </w:tc>
      </w:tr>
      <w:tr>
        <w:trPr>
          <w:trHeight w:val="201"/>
        </w:trPr>
        <w:tc>
          <w:tcPr>
            <w:tcW w:w="4780" w:type="dxa"/>
            <w:vAlign w:val="bottom"/>
            <w:shd w:val="clear" w:color="auto" w:fill="ACACAC"/>
          </w:tcPr>
          <w:p>
            <w:pPr>
              <w:spacing w:after="0"/>
              <w:rPr>
                <w:sz w:val="17"/>
                <w:szCs w:val="17"/>
                <w:color w:val="auto"/>
              </w:rPr>
            </w:pPr>
          </w:p>
        </w:tc>
        <w:tc>
          <w:tcPr>
            <w:tcW w:w="44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80" w:type="dxa"/>
            <w:vAlign w:val="bottom"/>
            <w:shd w:val="clear" w:color="auto" w:fill="ACACAC"/>
          </w:tcPr>
          <w:p>
            <w:pPr>
              <w:spacing w:after="0"/>
              <w:rPr>
                <w:sz w:val="17"/>
                <w:szCs w:val="17"/>
                <w:color w:val="auto"/>
              </w:rPr>
            </w:pPr>
          </w:p>
        </w:tc>
        <w:tc>
          <w:tcPr>
            <w:tcW w:w="12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80" w:type="dxa"/>
            <w:vAlign w:val="bottom"/>
          </w:tcPr>
          <w:p>
            <w:pPr>
              <w:spacing w:after="0"/>
              <w:rPr>
                <w:sz w:val="17"/>
                <w:szCs w:val="17"/>
                <w:color w:val="auto"/>
              </w:rPr>
            </w:pPr>
          </w:p>
        </w:tc>
        <w:tc>
          <w:tcPr>
            <w:tcW w:w="165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30" w:type="dxa"/>
            <w:vAlign w:val="bottom"/>
            <w:shd w:val="clear" w:color="auto" w:fill="ACACAC"/>
          </w:tcPr>
          <w:p>
            <w:pPr>
              <w:spacing w:after="0"/>
              <w:rPr>
                <w:sz w:val="17"/>
                <w:szCs w:val="17"/>
                <w:color w:val="auto"/>
              </w:rPr>
            </w:pPr>
          </w:p>
        </w:tc>
        <w:tc>
          <w:tcPr>
            <w:tcW w:w="14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 w:type="dxa"/>
            <w:vAlign w:val="bottom"/>
            <w:tcBorders>
              <w:left w:val="single" w:sz="8" w:color="ACACAC"/>
            </w:tcBorders>
          </w:tcPr>
          <w:p>
            <w:pPr>
              <w:spacing w:after="0"/>
              <w:rPr>
                <w:sz w:val="17"/>
                <w:szCs w:val="17"/>
                <w:color w:val="auto"/>
              </w:rPr>
            </w:pPr>
          </w:p>
        </w:tc>
      </w:tr>
      <w:tr>
        <w:trPr>
          <w:trHeight w:val="196"/>
        </w:trPr>
        <w:tc>
          <w:tcPr>
            <w:tcW w:w="47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tcBorders>
              <w:bottom w:val="single" w:sz="8" w:color="ACACAC"/>
            </w:tcBorders>
            <w:shd w:val="clear" w:color="auto" w:fill="ACACAC"/>
          </w:tcPr>
          <w:p>
            <w:pPr>
              <w:spacing w:after="0"/>
              <w:rPr>
                <w:sz w:val="17"/>
                <w:szCs w:val="17"/>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80" w:type="dxa"/>
            <w:vAlign w:val="bottom"/>
            <w:tcBorders>
              <w:bottom w:val="single" w:sz="8" w:color="ACACAC"/>
            </w:tcBorders>
            <w:shd w:val="clear" w:color="auto" w:fill="ACACAC"/>
          </w:tcPr>
          <w:p>
            <w:pPr>
              <w:spacing w:after="0"/>
              <w:rPr>
                <w:sz w:val="17"/>
                <w:szCs w:val="17"/>
                <w:color w:val="auto"/>
              </w:rPr>
            </w:pPr>
          </w:p>
        </w:tc>
        <w:tc>
          <w:tcPr>
            <w:tcW w:w="12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80" w:type="dxa"/>
            <w:vAlign w:val="bottom"/>
            <w:tcBorders>
              <w:bottom w:val="single" w:sz="8" w:color="F4F4F4"/>
            </w:tcBorders>
          </w:tcPr>
          <w:p>
            <w:pPr>
              <w:spacing w:after="0"/>
              <w:rPr>
                <w:sz w:val="17"/>
                <w:szCs w:val="17"/>
                <w:color w:val="auto"/>
              </w:rPr>
            </w:pPr>
          </w:p>
        </w:tc>
        <w:tc>
          <w:tcPr>
            <w:tcW w:w="165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30" w:type="dxa"/>
            <w:vAlign w:val="bottom"/>
            <w:tcBorders>
              <w:bottom w:val="single" w:sz="8" w:color="ACACAC"/>
            </w:tcBorders>
            <w:shd w:val="clear" w:color="auto" w:fill="ACACAC"/>
          </w:tcPr>
          <w:p>
            <w:pPr>
              <w:spacing w:after="0"/>
              <w:rPr>
                <w:sz w:val="17"/>
                <w:szCs w:val="17"/>
                <w:color w:val="auto"/>
              </w:rPr>
            </w:pPr>
          </w:p>
        </w:tc>
        <w:tc>
          <w:tcPr>
            <w:tcW w:w="14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 w:type="dxa"/>
            <w:vAlign w:val="bottom"/>
            <w:tcBorders>
              <w:left w:val="single" w:sz="8" w:color="ACACAC"/>
            </w:tcBorders>
          </w:tcPr>
          <w:p>
            <w:pPr>
              <w:spacing w:after="0"/>
              <w:rPr>
                <w:sz w:val="17"/>
                <w:szCs w:val="17"/>
                <w:color w:val="auto"/>
              </w:rPr>
            </w:pPr>
          </w:p>
        </w:tc>
      </w:tr>
      <w:tr>
        <w:trPr>
          <w:trHeight w:val="250"/>
        </w:trPr>
        <w:tc>
          <w:tcPr>
            <w:tcW w:w="4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Credit facility:</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right w:val="single" w:sz="8" w:color="F4F4F4"/>
            </w:tcBorders>
            <w:shd w:val="clear" w:color="auto" w:fill="F4F4F4"/>
          </w:tcPr>
          <w:p>
            <w:pPr>
              <w:spacing w:after="0"/>
              <w:rPr>
                <w:sz w:val="21"/>
                <w:szCs w:val="21"/>
                <w:color w:val="auto"/>
              </w:rPr>
            </w:pPr>
          </w:p>
        </w:tc>
        <w:tc>
          <w:tcPr>
            <w:tcW w:w="80" w:type="dxa"/>
            <w:vAlign w:val="bottom"/>
            <w:tcBorders>
              <w:bottom w:val="single" w:sz="8" w:color="F4F4F4"/>
            </w:tcBorders>
            <w:shd w:val="clear" w:color="auto" w:fill="F4F4F4"/>
          </w:tcPr>
          <w:p>
            <w:pPr>
              <w:spacing w:after="0"/>
              <w:rPr>
                <w:sz w:val="21"/>
                <w:szCs w:val="21"/>
                <w:color w:val="auto"/>
              </w:rPr>
            </w:pPr>
          </w:p>
        </w:tc>
        <w:tc>
          <w:tcPr>
            <w:tcW w:w="1650" w:type="dxa"/>
            <w:vAlign w:val="bottom"/>
            <w:tcBorders>
              <w:bottom w:val="single" w:sz="8" w:color="F4F4F4"/>
            </w:tcBorders>
            <w:shd w:val="clear" w:color="auto" w:fill="F4F4F4"/>
          </w:tcPr>
          <w:p>
            <w:pPr>
              <w:spacing w:after="0"/>
              <w:rPr>
                <w:sz w:val="21"/>
                <w:szCs w:val="21"/>
                <w:color w:val="auto"/>
              </w:rPr>
            </w:pPr>
          </w:p>
        </w:tc>
        <w:tc>
          <w:tcPr>
            <w:tcW w:w="230" w:type="dxa"/>
            <w:vAlign w:val="bottom"/>
            <w:tcBorders>
              <w:bottom w:val="single" w:sz="8" w:color="F4F4F4"/>
            </w:tcBorders>
            <w:shd w:val="clear" w:color="auto" w:fill="F4F4F4"/>
          </w:tcPr>
          <w:p>
            <w:pPr>
              <w:spacing w:after="0"/>
              <w:rPr>
                <w:sz w:val="21"/>
                <w:szCs w:val="21"/>
                <w:color w:val="auto"/>
              </w:rPr>
            </w:pPr>
          </w:p>
        </w:tc>
        <w:tc>
          <w:tcPr>
            <w:tcW w:w="1420" w:type="dxa"/>
            <w:vAlign w:val="bottom"/>
            <w:tcBorders>
              <w:bottom w:val="single" w:sz="8" w:color="F4F4F4"/>
            </w:tcBorders>
            <w:shd w:val="clear" w:color="auto" w:fill="F4F4F4"/>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auto"/>
              </w:rPr>
              <w:t>Revolving credit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90,000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69,625</w:t>
            </w:r>
          </w:p>
        </w:tc>
        <w:tc>
          <w:tcPr>
            <w:tcW w:w="173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23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1.83 %</w:t>
            </w:r>
          </w:p>
        </w:tc>
        <w:tc>
          <w:tcPr>
            <w:tcW w:w="4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50" w:type="dxa"/>
            <w:vAlign w:val="bottom"/>
          </w:tcPr>
          <w:p>
            <w:pPr>
              <w:spacing w:after="0"/>
              <w:rPr>
                <w:sz w:val="2"/>
                <w:szCs w:val="2"/>
                <w:color w:val="auto"/>
              </w:rPr>
            </w:pPr>
          </w:p>
        </w:tc>
        <w:tc>
          <w:tcPr>
            <w:tcW w:w="23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7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Term loans</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395,000</w:t>
            </w:r>
          </w:p>
        </w:tc>
        <w:tc>
          <w:tcPr>
            <w:tcW w:w="2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right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400,000</w:t>
            </w:r>
          </w:p>
        </w:tc>
        <w:tc>
          <w:tcPr>
            <w:tcW w:w="173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2.60 %</w:t>
            </w:r>
          </w:p>
        </w:tc>
        <w:tc>
          <w:tcPr>
            <w:tcW w:w="230" w:type="dxa"/>
            <w:vAlign w:val="bottom"/>
            <w:tcBorders>
              <w:bottom w:val="single" w:sz="8" w:color="F4F4F4"/>
            </w:tcBorders>
            <w:shd w:val="clear" w:color="auto" w:fill="F4F4F4"/>
          </w:tcPr>
          <w:p>
            <w:pPr>
              <w:spacing w:after="0"/>
              <w:rPr>
                <w:sz w:val="21"/>
                <w:szCs w:val="21"/>
                <w:color w:val="auto"/>
              </w:rPr>
            </w:pPr>
          </w:p>
        </w:tc>
        <w:tc>
          <w:tcPr>
            <w:tcW w:w="14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3.12 %</w:t>
            </w:r>
          </w:p>
        </w:tc>
        <w:tc>
          <w:tcPr>
            <w:tcW w:w="40" w:type="dxa"/>
            <w:vAlign w:val="bottom"/>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60,074</w:t>
            </w:r>
          </w:p>
        </w:tc>
        <w:tc>
          <w:tcPr>
            <w:tcW w:w="28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60,626</w:t>
            </w:r>
          </w:p>
        </w:tc>
        <w:tc>
          <w:tcPr>
            <w:tcW w:w="173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23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5.22 %</w:t>
            </w:r>
          </w:p>
        </w:tc>
        <w:tc>
          <w:tcPr>
            <w:tcW w:w="4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50" w:type="dxa"/>
            <w:vAlign w:val="bottom"/>
          </w:tcPr>
          <w:p>
            <w:pPr>
              <w:spacing w:after="0"/>
              <w:rPr>
                <w:sz w:val="2"/>
                <w:szCs w:val="2"/>
                <w:color w:val="auto"/>
              </w:rPr>
            </w:pPr>
          </w:p>
        </w:tc>
        <w:tc>
          <w:tcPr>
            <w:tcW w:w="23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debt</w:t>
            </w:r>
          </w:p>
        </w:tc>
        <w:tc>
          <w:tcPr>
            <w:tcW w:w="440" w:type="dxa"/>
            <w:vAlign w:val="bottom"/>
            <w:tcBorders>
              <w:bottom w:val="single" w:sz="8" w:color="F4F4F4"/>
            </w:tcBorders>
            <w:shd w:val="clear" w:color="auto" w:fill="F4F4F4"/>
          </w:tcPr>
          <w:p>
            <w:pPr>
              <w:spacing w:after="0"/>
              <w:rPr>
                <w:sz w:val="23"/>
                <w:szCs w:val="23"/>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2,232</w:t>
            </w:r>
          </w:p>
        </w:tc>
        <w:tc>
          <w:tcPr>
            <w:tcW w:w="280" w:type="dxa"/>
            <w:vAlign w:val="bottom"/>
            <w:tcBorders>
              <w:bottom w:val="single" w:sz="8" w:color="F4F4F4"/>
            </w:tcBorders>
            <w:shd w:val="clear" w:color="auto" w:fill="F4F4F4"/>
          </w:tcPr>
          <w:p>
            <w:pPr>
              <w:spacing w:after="0"/>
              <w:rPr>
                <w:sz w:val="23"/>
                <w:szCs w:val="23"/>
                <w:color w:val="auto"/>
              </w:rPr>
            </w:pPr>
          </w:p>
        </w:tc>
        <w:tc>
          <w:tcPr>
            <w:tcW w:w="1260" w:type="dxa"/>
            <w:vAlign w:val="bottom"/>
            <w:tcBorders>
              <w:bottom w:val="single" w:sz="8" w:color="F4F4F4"/>
              <w:right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3,926</w:t>
            </w:r>
          </w:p>
        </w:tc>
        <w:tc>
          <w:tcPr>
            <w:tcW w:w="173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230" w:type="dxa"/>
            <w:vAlign w:val="bottom"/>
            <w:tcBorders>
              <w:bottom w:val="single" w:sz="8" w:color="F4F4F4"/>
            </w:tcBorders>
            <w:shd w:val="clear" w:color="auto" w:fill="F4F4F4"/>
          </w:tcPr>
          <w:p>
            <w:pPr>
              <w:spacing w:after="0"/>
              <w:rPr>
                <w:sz w:val="23"/>
                <w:szCs w:val="23"/>
                <w:color w:val="auto"/>
              </w:rPr>
            </w:pPr>
          </w:p>
        </w:tc>
        <w:tc>
          <w:tcPr>
            <w:tcW w:w="14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40" w:type="dxa"/>
            <w:vAlign w:val="bottom"/>
          </w:tcPr>
          <w:p>
            <w:pPr>
              <w:spacing w:after="0"/>
              <w:rPr>
                <w:sz w:val="23"/>
                <w:szCs w:val="23"/>
                <w:color w:val="auto"/>
              </w:rPr>
            </w:pPr>
          </w:p>
        </w:tc>
      </w:tr>
      <w:tr>
        <w:trPr>
          <w:trHeight w:val="236"/>
        </w:trPr>
        <w:tc>
          <w:tcPr>
            <w:tcW w:w="478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547,306</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534,177</w:t>
            </w:r>
          </w:p>
        </w:tc>
        <w:tc>
          <w:tcPr>
            <w:tcW w:w="80" w:type="dxa"/>
            <w:vAlign w:val="bottom"/>
          </w:tcPr>
          <w:p>
            <w:pPr>
              <w:spacing w:after="0"/>
              <w:rPr>
                <w:sz w:val="20"/>
                <w:szCs w:val="20"/>
                <w:color w:val="auto"/>
              </w:rPr>
            </w:pPr>
          </w:p>
        </w:tc>
        <w:tc>
          <w:tcPr>
            <w:tcW w:w="165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2.75 %</w:t>
            </w:r>
          </w:p>
        </w:tc>
        <w:tc>
          <w:tcPr>
            <w:tcW w:w="23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3.21 %</w:t>
            </w:r>
          </w:p>
        </w:tc>
        <w:tc>
          <w:tcPr>
            <w:tcW w:w="4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50" w:type="dxa"/>
            <w:vAlign w:val="bottom"/>
          </w:tcPr>
          <w:p>
            <w:pPr>
              <w:spacing w:after="0"/>
              <w:rPr>
                <w:sz w:val="2"/>
                <w:szCs w:val="2"/>
                <w:color w:val="auto"/>
              </w:rPr>
            </w:pPr>
          </w:p>
        </w:tc>
        <w:tc>
          <w:tcPr>
            <w:tcW w:w="23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2,422</w:t>
            </w:r>
          </w:p>
        </w:tc>
        <w:tc>
          <w:tcPr>
            <w:tcW w:w="2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right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3,144</w:t>
            </w:r>
          </w:p>
        </w:tc>
        <w:tc>
          <w:tcPr>
            <w:tcW w:w="80" w:type="dxa"/>
            <w:vAlign w:val="bottom"/>
            <w:tcBorders>
              <w:bottom w:val="single" w:sz="8" w:color="F4F4F4"/>
            </w:tcBorders>
            <w:shd w:val="clear" w:color="auto" w:fill="F4F4F4"/>
          </w:tcPr>
          <w:p>
            <w:pPr>
              <w:spacing w:after="0"/>
              <w:rPr>
                <w:sz w:val="21"/>
                <w:szCs w:val="21"/>
                <w:color w:val="auto"/>
              </w:rPr>
            </w:pPr>
          </w:p>
        </w:tc>
        <w:tc>
          <w:tcPr>
            <w:tcW w:w="1650" w:type="dxa"/>
            <w:vAlign w:val="bottom"/>
            <w:tcBorders>
              <w:bottom w:val="single" w:sz="8" w:color="F4F4F4"/>
            </w:tcBorders>
            <w:shd w:val="clear" w:color="auto" w:fill="F4F4F4"/>
          </w:tcPr>
          <w:p>
            <w:pPr>
              <w:spacing w:after="0"/>
              <w:rPr>
                <w:sz w:val="21"/>
                <w:szCs w:val="21"/>
                <w:color w:val="auto"/>
              </w:rPr>
            </w:pPr>
          </w:p>
        </w:tc>
        <w:tc>
          <w:tcPr>
            <w:tcW w:w="230" w:type="dxa"/>
            <w:vAlign w:val="bottom"/>
            <w:tcBorders>
              <w:bottom w:val="single" w:sz="8" w:color="F4F4F4"/>
            </w:tcBorders>
            <w:shd w:val="clear" w:color="auto" w:fill="F4F4F4"/>
          </w:tcPr>
          <w:p>
            <w:pPr>
              <w:spacing w:after="0"/>
              <w:rPr>
                <w:sz w:val="21"/>
                <w:szCs w:val="21"/>
                <w:color w:val="auto"/>
              </w:rPr>
            </w:pPr>
          </w:p>
        </w:tc>
        <w:tc>
          <w:tcPr>
            <w:tcW w:w="1420" w:type="dxa"/>
            <w:vAlign w:val="bottom"/>
            <w:tcBorders>
              <w:bottom w:val="single" w:sz="8" w:color="F4F4F4"/>
            </w:tcBorders>
            <w:shd w:val="clear" w:color="auto" w:fill="F4F4F4"/>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Less: Debt, current portion</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12,911</w:t>
            </w:r>
          </w:p>
        </w:tc>
        <w:tc>
          <w:tcPr>
            <w:tcW w:w="28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12,840</w:t>
            </w:r>
          </w:p>
        </w:tc>
        <w:tc>
          <w:tcPr>
            <w:tcW w:w="1730" w:type="dxa"/>
            <w:vAlign w:val="bottom"/>
            <w:gridSpan w:val="2"/>
          </w:tcPr>
          <w:p>
            <w:pPr>
              <w:jc w:val="right"/>
              <w:spacing w:after="0"/>
              <w:rPr>
                <w:sz w:val="20"/>
                <w:szCs w:val="20"/>
                <w:color w:val="auto"/>
              </w:rPr>
            </w:pPr>
            <w:r>
              <w:rPr>
                <w:rFonts w:ascii="Arial" w:cs="Arial" w:eastAsia="Arial" w:hAnsi="Arial"/>
                <w:sz w:val="18"/>
                <w:szCs w:val="18"/>
                <w:color w:val="auto"/>
              </w:rPr>
              <w:t>2.61 %</w:t>
            </w:r>
          </w:p>
        </w:tc>
        <w:tc>
          <w:tcPr>
            <w:tcW w:w="23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2.61 %</w:t>
            </w:r>
          </w:p>
        </w:tc>
        <w:tc>
          <w:tcPr>
            <w:tcW w:w="40" w:type="dxa"/>
            <w:vAlign w:val="bottom"/>
          </w:tcPr>
          <w:p>
            <w:pPr>
              <w:spacing w:after="0"/>
              <w:rPr>
                <w:sz w:val="21"/>
                <w:szCs w:val="21"/>
                <w:color w:val="auto"/>
              </w:rPr>
            </w:pPr>
          </w:p>
        </w:tc>
      </w:tr>
      <w:tr>
        <w:trPr>
          <w:trHeight w:val="27"/>
        </w:trPr>
        <w:tc>
          <w:tcPr>
            <w:tcW w:w="478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1650" w:type="dxa"/>
            <w:vAlign w:val="bottom"/>
            <w:tcBorders>
              <w:bottom w:val="single" w:sz="8" w:color="auto"/>
            </w:tcBorders>
          </w:tcPr>
          <w:p>
            <w:pPr>
              <w:spacing w:after="0"/>
              <w:rPr>
                <w:sz w:val="2"/>
                <w:szCs w:val="2"/>
                <w:color w:val="auto"/>
              </w:rPr>
            </w:pPr>
          </w:p>
        </w:tc>
        <w:tc>
          <w:tcPr>
            <w:tcW w:w="23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7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Debt, net of current portion</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531,973</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F4F4F4"/>
              <w:right w:val="single" w:sz="8" w:color="F4F4F4"/>
            </w:tcBorders>
            <w:shd w:val="clear" w:color="auto" w:fill="F4F4F4"/>
          </w:tcPr>
          <w:p>
            <w:pPr>
              <w:jc w:val="right"/>
              <w:ind w:right="16"/>
              <w:spacing w:after="0"/>
              <w:rPr>
                <w:sz w:val="20"/>
                <w:szCs w:val="20"/>
                <w:color w:val="auto"/>
              </w:rPr>
            </w:pPr>
            <w:r>
              <w:rPr>
                <w:rFonts w:ascii="Arial" w:cs="Arial" w:eastAsia="Arial" w:hAnsi="Arial"/>
                <w:sz w:val="18"/>
                <w:szCs w:val="18"/>
                <w:color w:val="auto"/>
              </w:rPr>
              <w:t>518,193</w:t>
            </w:r>
          </w:p>
        </w:tc>
        <w:tc>
          <w:tcPr>
            <w:tcW w:w="173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2.76 %</w:t>
            </w:r>
          </w:p>
        </w:tc>
        <w:tc>
          <w:tcPr>
            <w:tcW w:w="230" w:type="dxa"/>
            <w:vAlign w:val="bottom"/>
            <w:tcBorders>
              <w:bottom w:val="single" w:sz="8" w:color="F4F4F4"/>
            </w:tcBorders>
            <w:shd w:val="clear" w:color="auto" w:fill="F4F4F4"/>
          </w:tcPr>
          <w:p>
            <w:pPr>
              <w:spacing w:after="0"/>
              <w:rPr>
                <w:sz w:val="21"/>
                <w:szCs w:val="21"/>
                <w:color w:val="auto"/>
              </w:rPr>
            </w:pPr>
          </w:p>
        </w:tc>
        <w:tc>
          <w:tcPr>
            <w:tcW w:w="14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3.22 %</w:t>
            </w:r>
          </w:p>
        </w:tc>
        <w:tc>
          <w:tcPr>
            <w:tcW w:w="40" w:type="dxa"/>
            <w:vAlign w:val="bottom"/>
          </w:tcPr>
          <w:p>
            <w:pPr>
              <w:spacing w:after="0"/>
              <w:rPr>
                <w:sz w:val="21"/>
                <w:szCs w:val="21"/>
                <w:color w:val="auto"/>
              </w:rPr>
            </w:pPr>
          </w:p>
        </w:tc>
      </w:tr>
      <w:tr>
        <w:trPr>
          <w:trHeight w:val="20"/>
        </w:trPr>
        <w:tc>
          <w:tcPr>
            <w:tcW w:w="478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1260" w:type="dxa"/>
            <w:vAlign w:val="bottom"/>
            <w:tcBorders>
              <w:right w:val="single" w:sz="8" w:color="71BF43"/>
            </w:tcBorders>
            <w:shd w:val="clear" w:color="auto" w:fill="71BF43"/>
          </w:tcPr>
          <w:p>
            <w:pPr>
              <w:spacing w:after="0" w:line="20" w:lineRule="exact"/>
              <w:rPr>
                <w:sz w:val="1"/>
                <w:szCs w:val="1"/>
                <w:color w:val="auto"/>
              </w:rPr>
            </w:pPr>
          </w:p>
        </w:tc>
        <w:tc>
          <w:tcPr>
            <w:tcW w:w="80" w:type="dxa"/>
            <w:vAlign w:val="bottom"/>
            <w:shd w:val="clear" w:color="auto" w:fill="71BF43"/>
          </w:tcPr>
          <w:p>
            <w:pPr>
              <w:spacing w:after="0" w:line="20" w:lineRule="exact"/>
              <w:rPr>
                <w:sz w:val="1"/>
                <w:szCs w:val="1"/>
                <w:color w:val="auto"/>
              </w:rPr>
            </w:pPr>
          </w:p>
        </w:tc>
        <w:tc>
          <w:tcPr>
            <w:tcW w:w="1650" w:type="dxa"/>
            <w:vAlign w:val="bottom"/>
            <w:shd w:val="clear" w:color="auto" w:fill="71BF43"/>
          </w:tcPr>
          <w:p>
            <w:pPr>
              <w:spacing w:after="0" w:line="20" w:lineRule="exact"/>
              <w:rPr>
                <w:sz w:val="1"/>
                <w:szCs w:val="1"/>
                <w:color w:val="auto"/>
              </w:rPr>
            </w:pPr>
          </w:p>
        </w:tc>
        <w:tc>
          <w:tcPr>
            <w:tcW w:w="230" w:type="dxa"/>
            <w:vAlign w:val="bottom"/>
            <w:shd w:val="clear" w:color="auto" w:fill="71BF43"/>
          </w:tcPr>
          <w:p>
            <w:pPr>
              <w:spacing w:after="0" w:line="20" w:lineRule="exact"/>
              <w:rPr>
                <w:sz w:val="1"/>
                <w:szCs w:val="1"/>
                <w:color w:val="auto"/>
              </w:rPr>
            </w:pPr>
          </w:p>
        </w:tc>
        <w:tc>
          <w:tcPr>
            <w:tcW w:w="1420" w:type="dxa"/>
            <w:vAlign w:val="bottom"/>
            <w:shd w:val="clear" w:color="auto" w:fill="71BF4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4"/>
        </w:trPr>
        <w:tc>
          <w:tcPr>
            <w:tcW w:w="4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4"/>
          </w:tcPr>
          <w:p>
            <w:pPr>
              <w:ind w:left="920"/>
              <w:spacing w:after="0"/>
              <w:rPr>
                <w:sz w:val="20"/>
                <w:szCs w:val="20"/>
                <w:color w:val="auto"/>
              </w:rPr>
            </w:pPr>
            <w:r>
              <w:rPr>
                <w:rFonts w:ascii="Arial" w:cs="Arial" w:eastAsia="Arial" w:hAnsi="Arial"/>
                <w:sz w:val="14"/>
                <w:szCs w:val="14"/>
                <w:color w:val="auto"/>
              </w:rPr>
              <w:t>Second Quarter 2021 Form 10-Q</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r>
      <w:tr>
        <w:trPr>
          <w:trHeight w:val="329"/>
        </w:trPr>
        <w:tc>
          <w:tcPr>
            <w:tcW w:w="4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50" w:type="dxa"/>
            <w:vAlign w:val="bottom"/>
            <w:tcBorders>
              <w:bottom w:val="single" w:sz="8" w:color="9A9A9A"/>
            </w:tcBorders>
          </w:tcPr>
          <w:p>
            <w:pPr>
              <w:spacing w:after="0"/>
              <w:rPr>
                <w:sz w:val="24"/>
                <w:szCs w:val="24"/>
                <w:color w:val="auto"/>
              </w:rPr>
            </w:pPr>
          </w:p>
        </w:tc>
        <w:tc>
          <w:tcPr>
            <w:tcW w:w="23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-2485390</wp:posOffset>
            </wp:positionV>
            <wp:extent cx="40887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8876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credit facility</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October 2020, we entered into a five-year $900.0 million senior credit facility (the "2020 Credit Facility"). At June 30, 2021, we were in compliance with our debt covenants under the 2020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August 2020, we completed the purchase of our global headquarters facility. As part of the purchase price, we assumed the Seller’s obligations under two senior secured notes with an aggregate outstanding principal amount of $61.1 million (collectively, the “Real Estate Loans”). At June 30, 2021, we were in compliance with our debt covenants under the Real Estate Loans.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currently effective financing agreements as of June 30,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shd w:val="clear" w:color="auto" w:fill="ACACAC"/>
          </w:tcPr>
          <w:p>
            <w:pPr>
              <w:spacing w:after="0"/>
              <w:rPr>
                <w:sz w:val="16"/>
                <w:szCs w:val="16"/>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First Annual</w:t>
            </w:r>
          </w:p>
        </w:tc>
        <w:tc>
          <w:tcPr>
            <w:tcW w:w="360" w:type="dxa"/>
            <w:vAlign w:val="bottom"/>
            <w:shd w:val="clear" w:color="auto" w:fill="ACACAC"/>
          </w:tcPr>
          <w:p>
            <w:pPr>
              <w:spacing w:after="0"/>
              <w:rPr>
                <w:sz w:val="16"/>
                <w:szCs w:val="16"/>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Original Loan</w:t>
            </w:r>
          </w:p>
        </w:tc>
        <w:tc>
          <w:tcPr>
            <w:tcW w:w="20" w:type="dxa"/>
            <w:vAlign w:val="bottom"/>
            <w:shd w:val="clear" w:color="auto" w:fill="ACACAC"/>
          </w:tcPr>
          <w:p>
            <w:pPr>
              <w:spacing w:after="0"/>
              <w:rPr>
                <w:sz w:val="16"/>
                <w:szCs w:val="16"/>
                <w:color w:val="auto"/>
              </w:rPr>
            </w:pPr>
          </w:p>
        </w:tc>
      </w:tr>
      <w:tr>
        <w:trPr>
          <w:trHeight w:val="196"/>
        </w:trPr>
        <w:tc>
          <w:tcPr>
            <w:tcW w:w="48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Annual Payments</w:t>
            </w:r>
          </w:p>
        </w:tc>
        <w:tc>
          <w:tcPr>
            <w:tcW w:w="16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Payment Due</w:t>
            </w:r>
          </w:p>
        </w:tc>
        <w:tc>
          <w:tcPr>
            <w:tcW w:w="360" w:type="dxa"/>
            <w:vAlign w:val="bottom"/>
            <w:tcBorders>
              <w:bottom w:val="single" w:sz="8" w:color="ACACAC"/>
            </w:tcBorders>
            <w:shd w:val="clear" w:color="auto" w:fill="ACACAC"/>
          </w:tcPr>
          <w:p>
            <w:pPr>
              <w:spacing w:after="0"/>
              <w:rPr>
                <w:sz w:val="17"/>
                <w:szCs w:val="17"/>
                <w:color w:val="auto"/>
              </w:rPr>
            </w:pPr>
          </w:p>
        </w:tc>
        <w:tc>
          <w:tcPr>
            <w:tcW w:w="11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48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Effective dates of agreements:</w:t>
            </w:r>
          </w:p>
        </w:tc>
        <w:tc>
          <w:tcPr>
            <w:tcW w:w="152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80" w:type="dxa"/>
            <w:vAlign w:val="bottom"/>
          </w:tcPr>
          <w:p>
            <w:pPr>
              <w:ind w:left="140"/>
              <w:spacing w:after="0"/>
              <w:rPr>
                <w:sz w:val="20"/>
                <w:szCs w:val="20"/>
                <w:color w:val="auto"/>
              </w:rPr>
            </w:pPr>
            <w:r>
              <w:rPr>
                <w:rFonts w:ascii="Arial" w:cs="Arial" w:eastAsia="Arial" w:hAnsi="Arial"/>
                <w:sz w:val="18"/>
                <w:szCs w:val="18"/>
                <w:color w:val="auto"/>
              </w:rPr>
              <w:t>December 2019</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1640" w:type="dxa"/>
            <w:vAlign w:val="bottom"/>
          </w:tcPr>
          <w:p>
            <w:pPr>
              <w:jc w:val="right"/>
              <w:spacing w:after="0"/>
              <w:rPr>
                <w:sz w:val="20"/>
                <w:szCs w:val="20"/>
                <w:color w:val="auto"/>
              </w:rPr>
            </w:pPr>
            <w:r>
              <w:rPr>
                <w:rFonts w:ascii="Arial" w:cs="Arial" w:eastAsia="Arial" w:hAnsi="Arial"/>
                <w:sz w:val="18"/>
                <w:szCs w:val="18"/>
                <w:color w:val="auto"/>
              </w:rPr>
              <w:t>January 2020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2,150</w:t>
            </w:r>
          </w:p>
        </w:tc>
        <w:tc>
          <w:tcPr>
            <w:tcW w:w="2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January 2020</w:t>
            </w:r>
          </w:p>
        </w:tc>
        <w:tc>
          <w:tcPr>
            <w:tcW w:w="15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w:t>
            </w:r>
          </w:p>
        </w:tc>
        <w:tc>
          <w:tcPr>
            <w:tcW w:w="16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March 2020</w:t>
            </w:r>
          </w:p>
        </w:tc>
        <w:tc>
          <w:tcPr>
            <w:tcW w:w="3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3,470</w:t>
            </w:r>
          </w:p>
        </w:tc>
        <w:tc>
          <w:tcPr>
            <w:tcW w:w="20" w:type="dxa"/>
            <w:vAlign w:val="bottom"/>
          </w:tcPr>
          <w:p>
            <w:pPr>
              <w:spacing w:after="0"/>
              <w:rPr>
                <w:sz w:val="21"/>
                <w:szCs w:val="21"/>
                <w:color w:val="auto"/>
              </w:rPr>
            </w:pPr>
          </w:p>
        </w:tc>
      </w:tr>
      <w:tr>
        <w:trPr>
          <w:trHeight w:val="20"/>
        </w:trPr>
        <w:tc>
          <w:tcPr>
            <w:tcW w:w="4880" w:type="dxa"/>
            <w:vAlign w:val="bottom"/>
            <w:shd w:val="clear" w:color="auto" w:fill="8CBE4F"/>
          </w:tcPr>
          <w:p>
            <w:pPr>
              <w:spacing w:after="0" w:line="20" w:lineRule="exact"/>
              <w:rPr>
                <w:sz w:val="1"/>
                <w:szCs w:val="1"/>
                <w:color w:val="auto"/>
              </w:rPr>
            </w:pPr>
          </w:p>
        </w:tc>
        <w:tc>
          <w:tcPr>
            <w:tcW w:w="1520" w:type="dxa"/>
            <w:vAlign w:val="bottom"/>
            <w:shd w:val="clear" w:color="auto" w:fill="8CBE4F"/>
          </w:tcPr>
          <w:p>
            <w:pPr>
              <w:spacing w:after="0" w:line="20" w:lineRule="exact"/>
              <w:rPr>
                <w:sz w:val="1"/>
                <w:szCs w:val="1"/>
                <w:color w:val="auto"/>
              </w:rPr>
            </w:pPr>
          </w:p>
        </w:tc>
        <w:tc>
          <w:tcPr>
            <w:tcW w:w="1660" w:type="dxa"/>
            <w:vAlign w:val="bottom"/>
            <w:shd w:val="clear" w:color="auto" w:fill="8CBE4F"/>
          </w:tcPr>
          <w:p>
            <w:pPr>
              <w:spacing w:after="0" w:line="20" w:lineRule="exact"/>
              <w:rPr>
                <w:sz w:val="1"/>
                <w:szCs w:val="1"/>
                <w:color w:val="auto"/>
              </w:rPr>
            </w:pPr>
          </w:p>
        </w:tc>
        <w:tc>
          <w:tcPr>
            <w:tcW w:w="1640" w:type="dxa"/>
            <w:vAlign w:val="bottom"/>
            <w:shd w:val="clear" w:color="auto" w:fill="8CBE4F"/>
          </w:tcPr>
          <w:p>
            <w:pPr>
              <w:spacing w:after="0" w:line="20" w:lineRule="exact"/>
              <w:rPr>
                <w:sz w:val="1"/>
                <w:szCs w:val="1"/>
                <w:color w:val="auto"/>
              </w:rPr>
            </w:pPr>
          </w:p>
        </w:tc>
        <w:tc>
          <w:tcPr>
            <w:tcW w:w="360" w:type="dxa"/>
            <w:vAlign w:val="bottom"/>
            <w:shd w:val="clear" w:color="auto" w:fill="8CBE4F"/>
          </w:tcPr>
          <w:p>
            <w:pPr>
              <w:spacing w:after="0" w:line="20" w:lineRule="exact"/>
              <w:rPr>
                <w:sz w:val="1"/>
                <w:szCs w:val="1"/>
                <w:color w:val="auto"/>
              </w:rPr>
            </w:pPr>
          </w:p>
        </w:tc>
        <w:tc>
          <w:tcPr>
            <w:tcW w:w="1180" w:type="dxa"/>
            <w:vAlign w:val="bottom"/>
            <w:shd w:val="clear" w:color="auto" w:fill="8CBE4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As of June 30, 2021, the required annual maturities related to the 2020 Credit Facility, the Real Estate Loans and our other debt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Years ending December 31,</w:t>
            </w:r>
          </w:p>
        </w:tc>
        <w:tc>
          <w:tcPr>
            <w:tcW w:w="46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Annual</w:t>
            </w:r>
          </w:p>
        </w:tc>
        <w:tc>
          <w:tcPr>
            <w:tcW w:w="20" w:type="dxa"/>
            <w:vAlign w:val="bottom"/>
            <w:shd w:val="clear" w:color="auto" w:fill="ACACAC"/>
          </w:tcPr>
          <w:p>
            <w:pPr>
              <w:spacing w:after="0"/>
              <w:rPr>
                <w:sz w:val="16"/>
                <w:szCs w:val="16"/>
                <w:color w:val="auto"/>
              </w:rPr>
            </w:pPr>
          </w:p>
        </w:tc>
      </w:tr>
      <w:tr>
        <w:trPr>
          <w:trHeight w:val="196"/>
        </w:trPr>
        <w:tc>
          <w:tcPr>
            <w:tcW w:w="97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tcBorders>
              <w:bottom w:val="single" w:sz="8" w:color="ACACAC"/>
            </w:tcBorders>
            <w:shd w:val="clear" w:color="auto" w:fill="ACACAC"/>
          </w:tcPr>
          <w:p>
            <w:pPr>
              <w:spacing w:after="0"/>
              <w:rPr>
                <w:sz w:val="17"/>
                <w:szCs w:val="17"/>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maturities</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97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2021 - remaining</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5,594</w:t>
            </w:r>
          </w:p>
        </w:tc>
        <w:tc>
          <w:tcPr>
            <w:tcW w:w="20" w:type="dxa"/>
            <w:vAlign w:val="bottom"/>
          </w:tcPr>
          <w:p>
            <w:pPr>
              <w:spacing w:after="0"/>
              <w:rPr>
                <w:sz w:val="21"/>
                <w:szCs w:val="21"/>
                <w:color w:val="auto"/>
              </w:rPr>
            </w:pPr>
          </w:p>
        </w:tc>
      </w:tr>
      <w:tr>
        <w:trPr>
          <w:trHeight w:val="243"/>
        </w:trPr>
        <w:tc>
          <w:tcPr>
            <w:tcW w:w="970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12,985</w:t>
            </w:r>
          </w:p>
        </w:tc>
        <w:tc>
          <w:tcPr>
            <w:tcW w:w="20" w:type="dxa"/>
            <w:vAlign w:val="bottom"/>
          </w:tcPr>
          <w:p>
            <w:pPr>
              <w:spacing w:after="0"/>
              <w:rPr>
                <w:sz w:val="21"/>
                <w:szCs w:val="21"/>
                <w:color w:val="auto"/>
              </w:rPr>
            </w:pPr>
          </w:p>
        </w:tc>
      </w:tr>
      <w:tr>
        <w:trPr>
          <w:trHeight w:val="27"/>
        </w:trPr>
        <w:tc>
          <w:tcPr>
            <w:tcW w:w="9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7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11,983</w:t>
            </w:r>
          </w:p>
        </w:tc>
        <w:tc>
          <w:tcPr>
            <w:tcW w:w="20" w:type="dxa"/>
            <w:vAlign w:val="bottom"/>
          </w:tcPr>
          <w:p>
            <w:pPr>
              <w:spacing w:after="0"/>
              <w:rPr>
                <w:sz w:val="21"/>
                <w:szCs w:val="21"/>
                <w:color w:val="auto"/>
              </w:rPr>
            </w:pPr>
          </w:p>
        </w:tc>
      </w:tr>
      <w:tr>
        <w:trPr>
          <w:trHeight w:val="243"/>
        </w:trPr>
        <w:tc>
          <w:tcPr>
            <w:tcW w:w="970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11,609</w:t>
            </w:r>
          </w:p>
        </w:tc>
        <w:tc>
          <w:tcPr>
            <w:tcW w:w="20" w:type="dxa"/>
            <w:vAlign w:val="bottom"/>
          </w:tcPr>
          <w:p>
            <w:pPr>
              <w:spacing w:after="0"/>
              <w:rPr>
                <w:sz w:val="21"/>
                <w:szCs w:val="21"/>
                <w:color w:val="auto"/>
              </w:rPr>
            </w:pPr>
          </w:p>
        </w:tc>
      </w:tr>
      <w:tr>
        <w:trPr>
          <w:trHeight w:val="27"/>
        </w:trPr>
        <w:tc>
          <w:tcPr>
            <w:tcW w:w="9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7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451,784</w:t>
            </w:r>
          </w:p>
        </w:tc>
        <w:tc>
          <w:tcPr>
            <w:tcW w:w="20" w:type="dxa"/>
            <w:vAlign w:val="bottom"/>
          </w:tcPr>
          <w:p>
            <w:pPr>
              <w:spacing w:after="0"/>
              <w:rPr>
                <w:sz w:val="21"/>
                <w:szCs w:val="21"/>
                <w:color w:val="auto"/>
              </w:rPr>
            </w:pPr>
          </w:p>
        </w:tc>
      </w:tr>
      <w:tr>
        <w:trPr>
          <w:trHeight w:val="243"/>
        </w:trPr>
        <w:tc>
          <w:tcPr>
            <w:tcW w:w="9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53,351</w:t>
            </w:r>
          </w:p>
        </w:tc>
        <w:tc>
          <w:tcPr>
            <w:tcW w:w="20" w:type="dxa"/>
            <w:vAlign w:val="bottom"/>
          </w:tcPr>
          <w:p>
            <w:pPr>
              <w:spacing w:after="0"/>
              <w:rPr>
                <w:sz w:val="21"/>
                <w:szCs w:val="21"/>
                <w:color w:val="auto"/>
              </w:rPr>
            </w:pPr>
          </w:p>
        </w:tc>
      </w:tr>
      <w:tr>
        <w:trPr>
          <w:trHeight w:val="27"/>
        </w:trPr>
        <w:tc>
          <w:tcPr>
            <w:tcW w:w="97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97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required maturities</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547,306</w:t>
            </w:r>
          </w:p>
        </w:tc>
        <w:tc>
          <w:tcPr>
            <w:tcW w:w="20" w:type="dxa"/>
            <w:vAlign w:val="bottom"/>
          </w:tcPr>
          <w:p>
            <w:pPr>
              <w:spacing w:after="0"/>
              <w:rPr>
                <w:sz w:val="21"/>
                <w:szCs w:val="21"/>
                <w:color w:val="auto"/>
              </w:rPr>
            </w:pPr>
          </w:p>
        </w:tc>
      </w:tr>
      <w:tr>
        <w:trPr>
          <w:trHeight w:val="20"/>
        </w:trPr>
        <w:tc>
          <w:tcPr>
            <w:tcW w:w="970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108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generally use derivative instruments to manage our variable interest rate risk. We have entered into interest rate swap agreements, which effectively convert portions of our variable rate debt under the 2020 Credit Facility to a fixed rate for the term of the swap agreements. We designated each of the interest rate swap agreements as a cash flow hedge at the inception of the contracts.</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14</w:t>
      </w:r>
      <w:r>
        <w:rPr>
          <w:sz w:val="20"/>
          <w:szCs w:val="20"/>
          <w:color w:val="auto"/>
        </w:rPr>
        <w:tab/>
      </w:r>
      <w:r>
        <w:rPr>
          <w:sz w:val="1"/>
          <w:szCs w:val="1"/>
          <w:color w:val="auto"/>
        </w:rPr>
        <w:drawing>
          <wp:inline distT="0" distB="0" distL="0" distR="0">
            <wp:extent cx="651510" cy="1714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notional values of our derivative instruments were as follows as of June 30,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shd w:val="clear" w:color="auto" w:fill="ACACAC"/>
          </w:tcPr>
          <w:p>
            <w:pPr>
              <w:spacing w:after="0"/>
              <w:rPr>
                <w:sz w:val="16"/>
                <w:szCs w:val="16"/>
                <w:color w:val="auto"/>
              </w:rPr>
            </w:pPr>
          </w:p>
        </w:tc>
        <w:tc>
          <w:tcPr>
            <w:tcW w:w="2080" w:type="dxa"/>
            <w:vAlign w:val="bottom"/>
            <w:shd w:val="clear" w:color="auto" w:fill="ACACAC"/>
          </w:tcPr>
          <w:p>
            <w:pPr>
              <w:spacing w:after="0"/>
              <w:rPr>
                <w:sz w:val="16"/>
                <w:szCs w:val="16"/>
                <w:color w:val="auto"/>
              </w:rPr>
            </w:pPr>
          </w:p>
        </w:tc>
        <w:tc>
          <w:tcPr>
            <w:tcW w:w="12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Notional</w:t>
            </w:r>
          </w:p>
        </w:tc>
        <w:tc>
          <w:tcPr>
            <w:tcW w:w="20" w:type="dxa"/>
            <w:vAlign w:val="bottom"/>
            <w:shd w:val="clear" w:color="auto" w:fill="ACACAC"/>
          </w:tcPr>
          <w:p>
            <w:pPr>
              <w:spacing w:after="0"/>
              <w:rPr>
                <w:sz w:val="16"/>
                <w:szCs w:val="16"/>
                <w:color w:val="auto"/>
              </w:rPr>
            </w:pPr>
          </w:p>
        </w:tc>
      </w:tr>
      <w:tr>
        <w:trPr>
          <w:trHeight w:val="196"/>
        </w:trPr>
        <w:tc>
          <w:tcPr>
            <w:tcW w:w="65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32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Term of derivative instrument</w:t>
            </w:r>
          </w:p>
        </w:tc>
        <w:tc>
          <w:tcPr>
            <w:tcW w:w="380" w:type="dxa"/>
            <w:vAlign w:val="bottom"/>
            <w:tcBorders>
              <w:bottom w:val="single" w:sz="8" w:color="ACACAC"/>
            </w:tcBorders>
            <w:shd w:val="clear" w:color="auto" w:fill="ACACAC"/>
          </w:tcPr>
          <w:p>
            <w:pPr>
              <w:spacing w:after="0"/>
              <w:rPr>
                <w:sz w:val="17"/>
                <w:szCs w:val="17"/>
                <w:color w:val="auto"/>
              </w:rPr>
            </w:pP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65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08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July 2017 - July 2021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June 2021</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spacing w:after="0"/>
              <w:rPr>
                <w:sz w:val="23"/>
                <w:szCs w:val="23"/>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3"/>
                <w:szCs w:val="23"/>
                <w:color w:val="auto"/>
              </w:rPr>
            </w:pPr>
          </w:p>
        </w:tc>
      </w:tr>
      <w:tr>
        <w:trPr>
          <w:trHeight w:val="237"/>
        </w:trPr>
        <w:tc>
          <w:tcPr>
            <w:tcW w:w="6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390,000</w:t>
            </w:r>
          </w:p>
        </w:tc>
        <w:tc>
          <w:tcPr>
            <w:tcW w:w="2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6560" w:type="dxa"/>
            <w:vAlign w:val="bottom"/>
            <w:shd w:val="clear" w:color="auto" w:fill="F4F4F4"/>
          </w:tcPr>
          <w:p>
            <w:pPr>
              <w:spacing w:after="0"/>
              <w:rPr>
                <w:sz w:val="22"/>
                <w:szCs w:val="22"/>
                <w:color w:val="auto"/>
              </w:rPr>
            </w:pPr>
          </w:p>
        </w:tc>
        <w:tc>
          <w:tcPr>
            <w:tcW w:w="2080" w:type="dxa"/>
            <w:vAlign w:val="bottom"/>
            <w:shd w:val="clear" w:color="auto" w:fill="F4F4F4"/>
          </w:tcPr>
          <w:p>
            <w:pPr>
              <w:spacing w:after="0"/>
              <w:rPr>
                <w:sz w:val="22"/>
                <w:szCs w:val="22"/>
                <w:color w:val="auto"/>
              </w:rPr>
            </w:pPr>
          </w:p>
        </w:tc>
        <w:tc>
          <w:tcPr>
            <w:tcW w:w="1240" w:type="dxa"/>
            <w:vAlign w:val="bottom"/>
            <w:shd w:val="clear" w:color="auto" w:fill="F4F4F4"/>
          </w:tcPr>
          <w:p>
            <w:pPr>
              <w:spacing w:after="0"/>
              <w:rPr>
                <w:sz w:val="22"/>
                <w:szCs w:val="22"/>
                <w:color w:val="auto"/>
              </w:rPr>
            </w:pPr>
          </w:p>
        </w:tc>
        <w:tc>
          <w:tcPr>
            <w:tcW w:w="380" w:type="dxa"/>
            <w:vAlign w:val="bottom"/>
            <w:shd w:val="clear" w:color="auto" w:fill="F4F4F4"/>
          </w:tcPr>
          <w:p>
            <w:pPr>
              <w:spacing w:after="0"/>
              <w:rPr>
                <w:sz w:val="22"/>
                <w:szCs w:val="22"/>
                <w:color w:val="auto"/>
              </w:rPr>
            </w:pPr>
          </w:p>
        </w:tc>
        <w:tc>
          <w:tcPr>
            <w:tcW w:w="980" w:type="dxa"/>
            <w:vAlign w:val="bottom"/>
            <w:shd w:val="clear" w:color="auto" w:fill="F4F4F4"/>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Forward-starting 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1"/>
                <w:szCs w:val="21"/>
                <w:color w:val="auto"/>
              </w:rPr>
            </w:pPr>
          </w:p>
        </w:tc>
      </w:tr>
      <w:tr>
        <w:trPr>
          <w:trHeight w:val="27"/>
        </w:trPr>
        <w:tc>
          <w:tcPr>
            <w:tcW w:w="6560" w:type="dxa"/>
            <w:vAlign w:val="bottom"/>
            <w:tcBorders>
              <w:bottom w:val="single" w:sz="8" w:color="F4F4F4"/>
            </w:tcBorders>
          </w:tcPr>
          <w:p>
            <w:pPr>
              <w:spacing w:after="0"/>
              <w:rPr>
                <w:sz w:val="2"/>
                <w:szCs w:val="2"/>
                <w:color w:val="auto"/>
              </w:rPr>
            </w:pPr>
          </w:p>
        </w:tc>
        <w:tc>
          <w:tcPr>
            <w:tcW w:w="2080" w:type="dxa"/>
            <w:vAlign w:val="bottom"/>
            <w:tcBorders>
              <w:bottom w:val="single" w:sz="8" w:color="F4F4F4"/>
            </w:tcBorders>
          </w:tcPr>
          <w:p>
            <w:pPr>
              <w:spacing w:after="0"/>
              <w:rPr>
                <w:sz w:val="2"/>
                <w:szCs w:val="2"/>
                <w:color w:val="auto"/>
              </w:rPr>
            </w:pPr>
          </w:p>
        </w:tc>
        <w:tc>
          <w:tcPr>
            <w:tcW w:w="12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560" w:type="dxa"/>
            <w:vAlign w:val="bottom"/>
            <w:tcBorders>
              <w:bottom w:val="single" w:sz="8" w:color="F4F4F4"/>
            </w:tcBorders>
            <w:shd w:val="clear" w:color="auto" w:fill="F4F4F4"/>
          </w:tcPr>
          <w:p>
            <w:pPr>
              <w:spacing w:after="0"/>
              <w:rPr>
                <w:sz w:val="21"/>
                <w:szCs w:val="21"/>
                <w:color w:val="auto"/>
              </w:rPr>
            </w:pPr>
          </w:p>
        </w:tc>
        <w:tc>
          <w:tcPr>
            <w:tcW w:w="208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1"/>
                <w:szCs w:val="21"/>
                <w:color w:val="auto"/>
              </w:rPr>
            </w:pPr>
          </w:p>
        </w:tc>
      </w:tr>
      <w:tr>
        <w:trPr>
          <w:trHeight w:val="20"/>
        </w:trPr>
        <w:tc>
          <w:tcPr>
            <w:tcW w:w="6560" w:type="dxa"/>
            <w:vAlign w:val="bottom"/>
            <w:shd w:val="clear" w:color="auto" w:fill="8CBE4F"/>
          </w:tcPr>
          <w:p>
            <w:pPr>
              <w:spacing w:after="0" w:line="20" w:lineRule="exact"/>
              <w:rPr>
                <w:sz w:val="1"/>
                <w:szCs w:val="1"/>
                <w:color w:val="auto"/>
              </w:rPr>
            </w:pPr>
          </w:p>
        </w:tc>
        <w:tc>
          <w:tcPr>
            <w:tcW w:w="2080" w:type="dxa"/>
            <w:vAlign w:val="bottom"/>
            <w:shd w:val="clear" w:color="auto" w:fill="8CBE4F"/>
          </w:tcPr>
          <w:p>
            <w:pPr>
              <w:spacing w:after="0" w:line="20" w:lineRule="exact"/>
              <w:rPr>
                <w:sz w:val="1"/>
                <w:szCs w:val="1"/>
                <w:color w:val="auto"/>
              </w:rPr>
            </w:pPr>
          </w:p>
        </w:tc>
        <w:tc>
          <w:tcPr>
            <w:tcW w:w="1240" w:type="dxa"/>
            <w:vAlign w:val="bottom"/>
            <w:shd w:val="clear" w:color="auto" w:fill="8CBE4F"/>
          </w:tcPr>
          <w:p>
            <w:pPr>
              <w:spacing w:after="0" w:line="20" w:lineRule="exact"/>
              <w:rPr>
                <w:sz w:val="1"/>
                <w:szCs w:val="1"/>
                <w:color w:val="auto"/>
              </w:rPr>
            </w:pPr>
          </w:p>
        </w:tc>
        <w:tc>
          <w:tcPr>
            <w:tcW w:w="380" w:type="dxa"/>
            <w:vAlign w:val="bottom"/>
            <w:shd w:val="clear" w:color="auto" w:fill="8CBE4F"/>
          </w:tcPr>
          <w:p>
            <w:pPr>
              <w:spacing w:after="0" w:line="20" w:lineRule="exact"/>
              <w:rPr>
                <w:sz w:val="1"/>
                <w:szCs w:val="1"/>
                <w:color w:val="auto"/>
              </w:rPr>
            </w:pPr>
          </w:p>
        </w:tc>
        <w:tc>
          <w:tcPr>
            <w:tcW w:w="980" w:type="dxa"/>
            <w:vAlign w:val="bottom"/>
            <w:shd w:val="clear" w:color="auto" w:fill="8CBE4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July 2021, we entered into a new interest rate swap agreement. See additional details at Note 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4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260" w:type="dxa"/>
            <w:vAlign w:val="bottom"/>
            <w:shd w:val="clear" w:color="auto" w:fill="ACACAC"/>
          </w:tcPr>
          <w:p>
            <w:pPr>
              <w:spacing w:after="0"/>
              <w:rPr>
                <w:sz w:val="18"/>
                <w:szCs w:val="18"/>
                <w:color w:val="auto"/>
              </w:rPr>
            </w:pPr>
          </w:p>
        </w:tc>
        <w:tc>
          <w:tcPr>
            <w:tcW w:w="1280" w:type="dxa"/>
            <w:vAlign w:val="bottom"/>
            <w:shd w:val="clear" w:color="auto" w:fill="ACACAC"/>
          </w:tcPr>
          <w:p>
            <w:pPr>
              <w:spacing w:after="0"/>
              <w:rPr>
                <w:sz w:val="18"/>
                <w:szCs w:val="18"/>
                <w:color w:val="auto"/>
              </w:rPr>
            </w:pPr>
          </w:p>
        </w:tc>
        <w:tc>
          <w:tcPr>
            <w:tcW w:w="500" w:type="dxa"/>
            <w:vAlign w:val="bottom"/>
            <w:shd w:val="clear" w:color="auto" w:fill="ACACAC"/>
          </w:tcPr>
          <w:p>
            <w:pPr>
              <w:spacing w:after="0"/>
              <w:rPr>
                <w:sz w:val="18"/>
                <w:szCs w:val="18"/>
                <w:color w:val="auto"/>
              </w:rPr>
            </w:pPr>
          </w:p>
        </w:tc>
        <w:tc>
          <w:tcPr>
            <w:tcW w:w="1580" w:type="dxa"/>
            <w:vAlign w:val="bottom"/>
            <w:gridSpan w:val="2"/>
            <w:shd w:val="clear" w:color="auto" w:fill="ACACAC"/>
          </w:tcPr>
          <w:p>
            <w:pPr>
              <w:jc w:val="center"/>
              <w:spacing w:after="0"/>
              <w:rPr>
                <w:sz w:val="20"/>
                <w:szCs w:val="20"/>
                <w:color w:val="auto"/>
              </w:rPr>
            </w:pPr>
            <w:r>
              <w:rPr>
                <w:rFonts w:ascii="Arial" w:cs="Arial" w:eastAsia="Arial" w:hAnsi="Arial"/>
                <w:sz w:val="14"/>
                <w:szCs w:val="14"/>
                <w:b w:val="1"/>
                <w:bCs w:val="1"/>
                <w:color w:val="FFFFFF"/>
              </w:rPr>
              <w:t>Asset derivatives</w:t>
            </w:r>
          </w:p>
        </w:tc>
        <w:tc>
          <w:tcPr>
            <w:tcW w:w="200" w:type="dxa"/>
            <w:vAlign w:val="bottom"/>
            <w:shd w:val="clear" w:color="auto" w:fill="ACACAC"/>
          </w:tcPr>
          <w:p>
            <w:pPr>
              <w:spacing w:after="0"/>
              <w:rPr>
                <w:sz w:val="18"/>
                <w:szCs w:val="18"/>
                <w:color w:val="auto"/>
              </w:rPr>
            </w:pPr>
          </w:p>
        </w:tc>
        <w:tc>
          <w:tcPr>
            <w:tcW w:w="300" w:type="dxa"/>
            <w:vAlign w:val="bottom"/>
            <w:tcBorders>
              <w:right w:val="single" w:sz="8" w:color="ACACAC"/>
            </w:tcBorders>
            <w:shd w:val="clear" w:color="auto" w:fill="ACACAC"/>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1640" w:type="dxa"/>
            <w:vAlign w:val="bottom"/>
            <w:shd w:val="clear" w:color="auto" w:fill="ACACAC"/>
          </w:tcPr>
          <w:p>
            <w:pPr>
              <w:spacing w:after="0"/>
              <w:rPr>
                <w:sz w:val="18"/>
                <w:szCs w:val="18"/>
                <w:color w:val="auto"/>
              </w:rPr>
            </w:pPr>
          </w:p>
        </w:tc>
        <w:tc>
          <w:tcPr>
            <w:tcW w:w="1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2280" w:type="dxa"/>
            <w:vAlign w:val="bottom"/>
            <w:gridSpan w:val="3"/>
            <w:shd w:val="clear" w:color="auto" w:fill="ACACAC"/>
          </w:tcPr>
          <w:p>
            <w:pPr>
              <w:jc w:val="right"/>
              <w:ind w:right="518"/>
              <w:spacing w:after="0"/>
              <w:rPr>
                <w:sz w:val="20"/>
                <w:szCs w:val="20"/>
                <w:color w:val="auto"/>
              </w:rPr>
            </w:pPr>
            <w:r>
              <w:rPr>
                <w:rFonts w:ascii="Arial" w:cs="Arial" w:eastAsia="Arial" w:hAnsi="Arial"/>
                <w:sz w:val="14"/>
                <w:szCs w:val="14"/>
                <w:b w:val="1"/>
                <w:bCs w:val="1"/>
                <w:color w:val="FFFFFF"/>
              </w:rPr>
              <w:t>Liability derivatives</w:t>
            </w: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40" w:type="dxa"/>
            <w:vAlign w:val="bottom"/>
            <w:shd w:val="clear" w:color="auto" w:fill="ACACAC"/>
          </w:tcPr>
          <w:p>
            <w:pPr>
              <w:spacing w:after="0"/>
              <w:rPr>
                <w:sz w:val="17"/>
                <w:szCs w:val="17"/>
                <w:color w:val="auto"/>
              </w:rPr>
            </w:pPr>
          </w:p>
        </w:tc>
        <w:tc>
          <w:tcPr>
            <w:tcW w:w="200" w:type="dxa"/>
            <w:vAlign w:val="bottom"/>
            <w:shd w:val="clear" w:color="auto" w:fill="ACACAC"/>
          </w:tcPr>
          <w:p>
            <w:pPr>
              <w:spacing w:after="0"/>
              <w:rPr>
                <w:sz w:val="17"/>
                <w:szCs w:val="17"/>
                <w:color w:val="auto"/>
              </w:rPr>
            </w:pPr>
          </w:p>
        </w:tc>
        <w:tc>
          <w:tcPr>
            <w:tcW w:w="260" w:type="dxa"/>
            <w:vAlign w:val="bottom"/>
            <w:shd w:val="clear" w:color="auto" w:fill="ACACAC"/>
          </w:tcPr>
          <w:p>
            <w:pPr>
              <w:spacing w:after="0"/>
              <w:rPr>
                <w:sz w:val="17"/>
                <w:szCs w:val="17"/>
                <w:color w:val="auto"/>
              </w:rPr>
            </w:pPr>
          </w:p>
        </w:tc>
        <w:tc>
          <w:tcPr>
            <w:tcW w:w="1280" w:type="dxa"/>
            <w:vAlign w:val="bottom"/>
            <w:shd w:val="clear" w:color="auto" w:fill="ACACAC"/>
          </w:tcPr>
          <w:p>
            <w:pPr>
              <w:spacing w:after="0"/>
              <w:rPr>
                <w:sz w:val="17"/>
                <w:szCs w:val="17"/>
                <w:color w:val="auto"/>
              </w:rPr>
            </w:pPr>
          </w:p>
        </w:tc>
        <w:tc>
          <w:tcPr>
            <w:tcW w:w="500" w:type="dxa"/>
            <w:vAlign w:val="bottom"/>
            <w:shd w:val="clear" w:color="auto" w:fill="ACACAC"/>
          </w:tcPr>
          <w:p>
            <w:pPr>
              <w:spacing w:after="0"/>
              <w:rPr>
                <w:sz w:val="17"/>
                <w:szCs w:val="17"/>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300" w:type="dxa"/>
            <w:vAlign w:val="bottom"/>
            <w:tcBorders>
              <w:right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80" w:type="dxa"/>
            <w:vAlign w:val="bottom"/>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1640" w:type="dxa"/>
            <w:vAlign w:val="bottom"/>
            <w:shd w:val="clear" w:color="auto" w:fill="ACACAC"/>
          </w:tcPr>
          <w:p>
            <w:pPr>
              <w:spacing w:after="0"/>
              <w:rPr>
                <w:sz w:val="17"/>
                <w:szCs w:val="17"/>
                <w:color w:val="auto"/>
              </w:rPr>
            </w:pPr>
          </w:p>
        </w:tc>
        <w:tc>
          <w:tcPr>
            <w:tcW w:w="18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2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740" w:type="dxa"/>
            <w:vAlign w:val="bottom"/>
            <w:tcBorders>
              <w:bottom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50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800" w:type="dxa"/>
            <w:vAlign w:val="bottom"/>
            <w:tcBorders>
              <w:bottom w:val="single" w:sz="8" w:color="ACACAC"/>
            </w:tcBorders>
            <w:shd w:val="clear" w:color="auto" w:fill="ACACAC"/>
          </w:tcPr>
          <w:p>
            <w:pPr>
              <w:spacing w:after="0"/>
              <w:rPr>
                <w:sz w:val="17"/>
                <w:szCs w:val="17"/>
                <w:color w:val="auto"/>
              </w:rPr>
            </w:pPr>
          </w:p>
        </w:tc>
        <w:tc>
          <w:tcPr>
            <w:tcW w:w="500" w:type="dxa"/>
            <w:vAlign w:val="bottom"/>
            <w:tcBorders>
              <w:bottom w:val="single" w:sz="8" w:color="ACACAC"/>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80" w:type="dxa"/>
            <w:vAlign w:val="bottom"/>
            <w:tcBorders>
              <w:bottom w:val="single" w:sz="8" w:color="F4F4F4"/>
            </w:tcBorders>
          </w:tcPr>
          <w:p>
            <w:pPr>
              <w:spacing w:after="0"/>
              <w:rPr>
                <w:sz w:val="17"/>
                <w:szCs w:val="17"/>
                <w:color w:val="auto"/>
              </w:rPr>
            </w:pPr>
          </w:p>
        </w:tc>
        <w:tc>
          <w:tcPr>
            <w:tcW w:w="100" w:type="dxa"/>
            <w:vAlign w:val="bottom"/>
            <w:tcBorders>
              <w:bottom w:val="single" w:sz="8" w:color="ACACAC"/>
            </w:tcBorders>
            <w:shd w:val="clear" w:color="auto" w:fill="ACACAC"/>
          </w:tcPr>
          <w:p>
            <w:pPr>
              <w:spacing w:after="0"/>
              <w:rPr>
                <w:sz w:val="17"/>
                <w:szCs w:val="17"/>
                <w:color w:val="auto"/>
              </w:rPr>
            </w:pPr>
          </w:p>
        </w:tc>
        <w:tc>
          <w:tcPr>
            <w:tcW w:w="16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180" w:type="dxa"/>
            <w:vAlign w:val="bottom"/>
            <w:tcBorders>
              <w:bottom w:val="single" w:sz="8" w:color="ACACAC"/>
            </w:tcBorders>
            <w:shd w:val="clear" w:color="auto" w:fill="ACACAC"/>
          </w:tcPr>
          <w:p>
            <w:pPr>
              <w:spacing w:after="0"/>
              <w:rPr>
                <w:sz w:val="17"/>
                <w:szCs w:val="17"/>
                <w:color w:val="auto"/>
              </w:rPr>
            </w:pPr>
          </w:p>
        </w:tc>
        <w:tc>
          <w:tcPr>
            <w:tcW w:w="110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tcBorders>
              <w:bottom w:val="single" w:sz="8" w:color="ACACAC"/>
            </w:tcBorders>
            <w:shd w:val="clear" w:color="auto" w:fill="ACACAC"/>
          </w:tcPr>
          <w:p>
            <w:pPr>
              <w:spacing w:after="0"/>
              <w:rPr>
                <w:sz w:val="17"/>
                <w:szCs w:val="17"/>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4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200" w:type="dxa"/>
            <w:vAlign w:val="bottom"/>
            <w:shd w:val="clear" w:color="auto" w:fill="F4F4F4"/>
          </w:tcPr>
          <w:p>
            <w:pPr>
              <w:spacing w:after="0"/>
              <w:rPr>
                <w:sz w:val="19"/>
                <w:szCs w:val="19"/>
                <w:color w:val="auto"/>
              </w:rPr>
            </w:pPr>
          </w:p>
        </w:tc>
        <w:tc>
          <w:tcPr>
            <w:tcW w:w="260" w:type="dxa"/>
            <w:vAlign w:val="bottom"/>
            <w:shd w:val="clear" w:color="auto" w:fill="F4F4F4"/>
          </w:tcPr>
          <w:p>
            <w:pPr>
              <w:spacing w:after="0"/>
              <w:rPr>
                <w:sz w:val="19"/>
                <w:szCs w:val="19"/>
                <w:color w:val="auto"/>
              </w:rPr>
            </w:pPr>
          </w:p>
        </w:tc>
        <w:tc>
          <w:tcPr>
            <w:tcW w:w="1280" w:type="dxa"/>
            <w:vAlign w:val="bottom"/>
            <w:shd w:val="clear" w:color="auto" w:fill="F4F4F4"/>
          </w:tcPr>
          <w:p>
            <w:pPr>
              <w:spacing w:after="0"/>
              <w:rPr>
                <w:sz w:val="19"/>
                <w:szCs w:val="19"/>
                <w:color w:val="auto"/>
              </w:rPr>
            </w:pPr>
          </w:p>
        </w:tc>
        <w:tc>
          <w:tcPr>
            <w:tcW w:w="50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80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300" w:type="dxa"/>
            <w:vAlign w:val="bottom"/>
            <w:tcBorders>
              <w:right w:val="single" w:sz="8" w:color="F4F4F4"/>
            </w:tcBorders>
            <w:shd w:val="clear" w:color="auto" w:fill="F4F4F4"/>
          </w:tcPr>
          <w:p>
            <w:pPr>
              <w:spacing w:after="0"/>
              <w:rPr>
                <w:sz w:val="19"/>
                <w:szCs w:val="19"/>
                <w:color w:val="auto"/>
              </w:rPr>
            </w:pPr>
          </w:p>
        </w:tc>
        <w:tc>
          <w:tcPr>
            <w:tcW w:w="8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1640" w:type="dxa"/>
            <w:vAlign w:val="bottom"/>
            <w:shd w:val="clear" w:color="auto" w:fill="F4F4F4"/>
          </w:tcPr>
          <w:p>
            <w:pPr>
              <w:spacing w:after="0"/>
              <w:rPr>
                <w:sz w:val="19"/>
                <w:szCs w:val="19"/>
                <w:color w:val="auto"/>
              </w:rPr>
            </w:pPr>
          </w:p>
        </w:tc>
        <w:tc>
          <w:tcPr>
            <w:tcW w:w="18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designated as hedging</w:t>
            </w:r>
          </w:p>
        </w:tc>
        <w:tc>
          <w:tcPr>
            <w:tcW w:w="200" w:type="dxa"/>
            <w:vAlign w:val="bottom"/>
            <w:shd w:val="clear" w:color="auto" w:fill="F4F4F4"/>
          </w:tcPr>
          <w:p>
            <w:pPr>
              <w:spacing w:after="0"/>
              <w:rPr>
                <w:sz w:val="18"/>
                <w:szCs w:val="18"/>
                <w:color w:val="auto"/>
              </w:rPr>
            </w:pPr>
          </w:p>
        </w:tc>
        <w:tc>
          <w:tcPr>
            <w:tcW w:w="260" w:type="dxa"/>
            <w:vAlign w:val="bottom"/>
            <w:shd w:val="clear" w:color="auto" w:fill="F4F4F4"/>
          </w:tcPr>
          <w:p>
            <w:pPr>
              <w:spacing w:after="0"/>
              <w:rPr>
                <w:sz w:val="18"/>
                <w:szCs w:val="18"/>
                <w:color w:val="auto"/>
              </w:rPr>
            </w:pPr>
          </w:p>
        </w:tc>
        <w:tc>
          <w:tcPr>
            <w:tcW w:w="1280" w:type="dxa"/>
            <w:vAlign w:val="bottom"/>
            <w:shd w:val="clear" w:color="auto" w:fill="F4F4F4"/>
          </w:tcPr>
          <w:p>
            <w:pPr>
              <w:spacing w:after="0"/>
              <w:rPr>
                <w:sz w:val="18"/>
                <w:szCs w:val="18"/>
                <w:color w:val="auto"/>
              </w:rPr>
            </w:pPr>
          </w:p>
        </w:tc>
        <w:tc>
          <w:tcPr>
            <w:tcW w:w="500" w:type="dxa"/>
            <w:vAlign w:val="bottom"/>
            <w:shd w:val="clear" w:color="auto" w:fill="F4F4F4"/>
          </w:tcPr>
          <w:p>
            <w:pPr>
              <w:spacing w:after="0"/>
              <w:rPr>
                <w:sz w:val="18"/>
                <w:szCs w:val="18"/>
                <w:color w:val="auto"/>
              </w:rPr>
            </w:pPr>
          </w:p>
        </w:tc>
        <w:tc>
          <w:tcPr>
            <w:tcW w:w="780" w:type="dxa"/>
            <w:vAlign w:val="bottom"/>
            <w:shd w:val="clear" w:color="auto" w:fill="F4F4F4"/>
          </w:tcPr>
          <w:p>
            <w:pPr>
              <w:spacing w:after="0"/>
              <w:rPr>
                <w:sz w:val="18"/>
                <w:szCs w:val="18"/>
                <w:color w:val="auto"/>
              </w:rPr>
            </w:pPr>
          </w:p>
        </w:tc>
        <w:tc>
          <w:tcPr>
            <w:tcW w:w="800" w:type="dxa"/>
            <w:vAlign w:val="bottom"/>
            <w:shd w:val="clear" w:color="auto" w:fill="F4F4F4"/>
          </w:tcPr>
          <w:p>
            <w:pPr>
              <w:spacing w:after="0"/>
              <w:rPr>
                <w:sz w:val="18"/>
                <w:szCs w:val="18"/>
                <w:color w:val="auto"/>
              </w:rPr>
            </w:pPr>
          </w:p>
        </w:tc>
        <w:tc>
          <w:tcPr>
            <w:tcW w:w="200" w:type="dxa"/>
            <w:vAlign w:val="bottom"/>
            <w:shd w:val="clear" w:color="auto" w:fill="F4F4F4"/>
          </w:tcPr>
          <w:p>
            <w:pPr>
              <w:spacing w:after="0"/>
              <w:rPr>
                <w:sz w:val="18"/>
                <w:szCs w:val="18"/>
                <w:color w:val="auto"/>
              </w:rPr>
            </w:pPr>
          </w:p>
        </w:tc>
        <w:tc>
          <w:tcPr>
            <w:tcW w:w="300" w:type="dxa"/>
            <w:vAlign w:val="bottom"/>
            <w:tcBorders>
              <w:right w:val="single" w:sz="8" w:color="F4F4F4"/>
            </w:tcBorders>
            <w:shd w:val="clear" w:color="auto" w:fill="F4F4F4"/>
          </w:tcPr>
          <w:p>
            <w:pPr>
              <w:spacing w:after="0"/>
              <w:rPr>
                <w:sz w:val="18"/>
                <w:szCs w:val="18"/>
                <w:color w:val="auto"/>
              </w:rPr>
            </w:pPr>
          </w:p>
        </w:tc>
        <w:tc>
          <w:tcPr>
            <w:tcW w:w="80" w:type="dxa"/>
            <w:vAlign w:val="bottom"/>
            <w:shd w:val="clear" w:color="auto" w:fill="F4F4F4"/>
          </w:tcPr>
          <w:p>
            <w:pPr>
              <w:spacing w:after="0"/>
              <w:rPr>
                <w:sz w:val="18"/>
                <w:szCs w:val="18"/>
                <w:color w:val="auto"/>
              </w:rPr>
            </w:pPr>
          </w:p>
        </w:tc>
        <w:tc>
          <w:tcPr>
            <w:tcW w:w="100" w:type="dxa"/>
            <w:vAlign w:val="bottom"/>
            <w:shd w:val="clear" w:color="auto" w:fill="F4F4F4"/>
          </w:tcPr>
          <w:p>
            <w:pPr>
              <w:spacing w:after="0"/>
              <w:rPr>
                <w:sz w:val="18"/>
                <w:szCs w:val="18"/>
                <w:color w:val="auto"/>
              </w:rPr>
            </w:pPr>
          </w:p>
        </w:tc>
        <w:tc>
          <w:tcPr>
            <w:tcW w:w="1640" w:type="dxa"/>
            <w:vAlign w:val="bottom"/>
            <w:shd w:val="clear" w:color="auto" w:fill="F4F4F4"/>
          </w:tcPr>
          <w:p>
            <w:pPr>
              <w:spacing w:after="0"/>
              <w:rPr>
                <w:sz w:val="18"/>
                <w:szCs w:val="18"/>
                <w:color w:val="auto"/>
              </w:rPr>
            </w:pPr>
          </w:p>
        </w:tc>
        <w:tc>
          <w:tcPr>
            <w:tcW w:w="180" w:type="dxa"/>
            <w:vAlign w:val="bottom"/>
            <w:shd w:val="clear" w:color="auto" w:fill="F4F4F4"/>
          </w:tcPr>
          <w:p>
            <w:pPr>
              <w:spacing w:after="0"/>
              <w:rPr>
                <w:sz w:val="18"/>
                <w:szCs w:val="18"/>
                <w:color w:val="auto"/>
              </w:rPr>
            </w:pPr>
          </w:p>
        </w:tc>
        <w:tc>
          <w:tcPr>
            <w:tcW w:w="100" w:type="dxa"/>
            <w:vAlign w:val="bottom"/>
            <w:shd w:val="clear" w:color="auto" w:fill="F4F4F4"/>
          </w:tcPr>
          <w:p>
            <w:pPr>
              <w:spacing w:after="0"/>
              <w:rPr>
                <w:sz w:val="18"/>
                <w:szCs w:val="18"/>
                <w:color w:val="auto"/>
              </w:rPr>
            </w:pPr>
          </w:p>
        </w:tc>
        <w:tc>
          <w:tcPr>
            <w:tcW w:w="1000" w:type="dxa"/>
            <w:vAlign w:val="bottom"/>
            <w:shd w:val="clear" w:color="auto" w:fill="F4F4F4"/>
          </w:tcPr>
          <w:p>
            <w:pPr>
              <w:spacing w:after="0"/>
              <w:rPr>
                <w:sz w:val="18"/>
                <w:szCs w:val="18"/>
                <w:color w:val="auto"/>
              </w:rPr>
            </w:pPr>
          </w:p>
        </w:tc>
        <w:tc>
          <w:tcPr>
            <w:tcW w:w="220" w:type="dxa"/>
            <w:vAlign w:val="bottom"/>
            <w:shd w:val="clear" w:color="auto" w:fill="F4F4F4"/>
          </w:tcPr>
          <w:p>
            <w:pPr>
              <w:spacing w:after="0"/>
              <w:rPr>
                <w:sz w:val="18"/>
                <w:szCs w:val="18"/>
                <w:color w:val="auto"/>
              </w:rPr>
            </w:pPr>
          </w:p>
        </w:tc>
        <w:tc>
          <w:tcPr>
            <w:tcW w:w="1060" w:type="dxa"/>
            <w:vAlign w:val="bottom"/>
            <w:shd w:val="clear" w:color="auto" w:fill="F4F4F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5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instruments:</w:t>
            </w:r>
          </w:p>
        </w:tc>
        <w:tc>
          <w:tcPr>
            <w:tcW w:w="20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28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780" w:type="dxa"/>
            <w:vAlign w:val="bottom"/>
            <w:tcBorders>
              <w:bottom w:val="single" w:sz="8" w:color="F4F4F4"/>
            </w:tcBorders>
            <w:shd w:val="clear" w:color="auto" w:fill="F4F4F4"/>
          </w:tcPr>
          <w:p>
            <w:pPr>
              <w:spacing w:after="0"/>
              <w:rPr>
                <w:sz w:val="21"/>
                <w:szCs w:val="21"/>
                <w:color w:val="auto"/>
              </w:rPr>
            </w:pPr>
          </w:p>
        </w:tc>
        <w:tc>
          <w:tcPr>
            <w:tcW w:w="800" w:type="dxa"/>
            <w:vAlign w:val="bottom"/>
            <w:tcBorders>
              <w:bottom w:val="single" w:sz="8" w:color="F4F4F4"/>
            </w:tcBorders>
            <w:shd w:val="clear" w:color="auto" w:fill="F4F4F4"/>
          </w:tcPr>
          <w:p>
            <w:pPr>
              <w:spacing w:after="0"/>
              <w:rPr>
                <w:sz w:val="21"/>
                <w:szCs w:val="21"/>
                <w:color w:val="auto"/>
              </w:rPr>
            </w:pPr>
          </w:p>
        </w:tc>
        <w:tc>
          <w:tcPr>
            <w:tcW w:w="200" w:type="dxa"/>
            <w:vAlign w:val="bottom"/>
            <w:tcBorders>
              <w:bottom w:val="single" w:sz="8" w:color="F4F4F4"/>
            </w:tcBorders>
            <w:shd w:val="clear" w:color="auto" w:fill="F4F4F4"/>
          </w:tcPr>
          <w:p>
            <w:pPr>
              <w:spacing w:after="0"/>
              <w:rPr>
                <w:sz w:val="21"/>
                <w:szCs w:val="21"/>
                <w:color w:val="auto"/>
              </w:rPr>
            </w:pPr>
          </w:p>
        </w:tc>
        <w:tc>
          <w:tcPr>
            <w:tcW w:w="300" w:type="dxa"/>
            <w:vAlign w:val="bottom"/>
            <w:tcBorders>
              <w:bottom w:val="single" w:sz="8" w:color="F4F4F4"/>
              <w:right w:val="single" w:sz="8" w:color="F4F4F4"/>
            </w:tcBorders>
            <w:shd w:val="clear" w:color="auto" w:fill="F4F4F4"/>
          </w:tcPr>
          <w:p>
            <w:pPr>
              <w:spacing w:after="0"/>
              <w:rPr>
                <w:sz w:val="21"/>
                <w:szCs w:val="21"/>
                <w:color w:val="auto"/>
              </w:rPr>
            </w:pPr>
          </w:p>
        </w:tc>
        <w:tc>
          <w:tcPr>
            <w:tcW w:w="8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18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40" w:type="dxa"/>
            <w:vAlign w:val="bottom"/>
          </w:tcPr>
          <w:p>
            <w:pPr>
              <w:ind w:left="140"/>
              <w:spacing w:after="0"/>
              <w:rPr>
                <w:sz w:val="20"/>
                <w:szCs w:val="20"/>
                <w:color w:val="auto"/>
              </w:rPr>
            </w:pPr>
            <w:r>
              <w:rPr>
                <w:rFonts w:ascii="Arial" w:cs="Arial" w:eastAsia="Arial" w:hAnsi="Arial"/>
                <w:sz w:val="18"/>
                <w:szCs w:val="18"/>
                <w:color w:val="auto"/>
              </w:rPr>
              <w:t>Interest rate swaps, current</w:t>
            </w:r>
          </w:p>
        </w:tc>
        <w:tc>
          <w:tcPr>
            <w:tcW w:w="200" w:type="dxa"/>
            <w:vAlign w:val="bottom"/>
          </w:tcPr>
          <w:p>
            <w:pPr>
              <w:spacing w:after="0"/>
              <w:rPr>
                <w:sz w:val="21"/>
                <w:szCs w:val="21"/>
                <w:color w:val="auto"/>
              </w:rPr>
            </w:pPr>
          </w:p>
        </w:tc>
        <w:tc>
          <w:tcPr>
            <w:tcW w:w="2040" w:type="dxa"/>
            <w:vAlign w:val="bottom"/>
            <w:gridSpan w:val="3"/>
          </w:tcPr>
          <w:p>
            <w:pPr>
              <w:jc w:val="right"/>
              <w:ind w:right="520"/>
              <w:spacing w:after="0"/>
              <w:rPr>
                <w:sz w:val="20"/>
                <w:szCs w:val="20"/>
                <w:color w:val="auto"/>
              </w:rPr>
            </w:pPr>
            <w:r>
              <w:rPr>
                <w:rFonts w:ascii="Arial" w:cs="Arial" w:eastAsia="Arial" w:hAnsi="Arial"/>
                <w:sz w:val="18"/>
                <w:szCs w:val="18"/>
                <w:color w:val="auto"/>
              </w:rPr>
              <w:t>Prepaid expenses</w:t>
            </w: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40"/>
              <w:spacing w:after="0"/>
              <w:rPr>
                <w:sz w:val="20"/>
                <w:szCs w:val="20"/>
                <w:color w:val="auto"/>
              </w:rPr>
            </w:pPr>
            <w:r>
              <w:rPr>
                <w:rFonts w:ascii="Arial" w:cs="Arial" w:eastAsia="Arial" w:hAnsi="Arial"/>
                <w:sz w:val="18"/>
                <w:szCs w:val="18"/>
                <w:color w:val="auto"/>
              </w:rPr>
              <w:t>portion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and other</w:t>
            </w: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and other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current assets $</w:t>
            </w: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01"/>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4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current liabilities $</w:t>
            </w: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138</w:t>
            </w: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540" w:type="dxa"/>
            <w:vAlign w:val="bottom"/>
            <w:shd w:val="clear" w:color="auto" w:fill="F4F4F4"/>
          </w:tcPr>
          <w:p>
            <w:pPr>
              <w:ind w:left="140"/>
              <w:spacing w:after="0"/>
              <w:rPr>
                <w:sz w:val="20"/>
                <w:szCs w:val="20"/>
                <w:color w:val="auto"/>
              </w:rPr>
            </w:pPr>
            <w:r>
              <w:rPr>
                <w:rFonts w:ascii="Arial" w:cs="Arial" w:eastAsia="Arial" w:hAnsi="Arial"/>
                <w:sz w:val="18"/>
                <w:szCs w:val="18"/>
                <w:color w:val="auto"/>
                <w:w w:val="99"/>
              </w:rPr>
              <w:t>Interest rate swaps, long-term</w:t>
            </w:r>
          </w:p>
        </w:tc>
        <w:tc>
          <w:tcPr>
            <w:tcW w:w="20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280" w:type="dxa"/>
            <w:vAlign w:val="bottom"/>
            <w:shd w:val="clear" w:color="auto" w:fill="F4F4F4"/>
          </w:tcPr>
          <w:p>
            <w:pPr>
              <w:spacing w:after="0"/>
              <w:rPr>
                <w:sz w:val="21"/>
                <w:szCs w:val="21"/>
                <w:color w:val="auto"/>
              </w:rPr>
            </w:pPr>
          </w:p>
        </w:tc>
        <w:tc>
          <w:tcPr>
            <w:tcW w:w="500" w:type="dxa"/>
            <w:vAlign w:val="bottom"/>
            <w:shd w:val="clear" w:color="auto" w:fill="F4F4F4"/>
          </w:tcPr>
          <w:p>
            <w:pPr>
              <w:spacing w:after="0"/>
              <w:rPr>
                <w:sz w:val="21"/>
                <w:szCs w:val="21"/>
                <w:color w:val="auto"/>
              </w:rPr>
            </w:pPr>
          </w:p>
        </w:tc>
        <w:tc>
          <w:tcPr>
            <w:tcW w:w="780" w:type="dxa"/>
            <w:vAlign w:val="bottom"/>
            <w:shd w:val="clear" w:color="auto" w:fill="F4F4F4"/>
          </w:tcPr>
          <w:p>
            <w:pPr>
              <w:spacing w:after="0"/>
              <w:rPr>
                <w:sz w:val="21"/>
                <w:szCs w:val="21"/>
                <w:color w:val="auto"/>
              </w:rPr>
            </w:pPr>
          </w:p>
        </w:tc>
        <w:tc>
          <w:tcPr>
            <w:tcW w:w="800" w:type="dxa"/>
            <w:vAlign w:val="bottom"/>
            <w:shd w:val="clear" w:color="auto" w:fill="F4F4F4"/>
          </w:tcPr>
          <w:p>
            <w:pPr>
              <w:spacing w:after="0"/>
              <w:rPr>
                <w:sz w:val="21"/>
                <w:szCs w:val="21"/>
                <w:color w:val="auto"/>
              </w:rPr>
            </w:pPr>
          </w:p>
        </w:tc>
        <w:tc>
          <w:tcPr>
            <w:tcW w:w="200" w:type="dxa"/>
            <w:vAlign w:val="bottom"/>
            <w:shd w:val="clear" w:color="auto" w:fill="F4F4F4"/>
          </w:tcPr>
          <w:p>
            <w:pPr>
              <w:spacing w:after="0"/>
              <w:rPr>
                <w:sz w:val="21"/>
                <w:szCs w:val="21"/>
                <w:color w:val="auto"/>
              </w:rPr>
            </w:pPr>
          </w:p>
        </w:tc>
        <w:tc>
          <w:tcPr>
            <w:tcW w:w="300" w:type="dxa"/>
            <w:vAlign w:val="bottom"/>
            <w:tcBorders>
              <w:right w:val="single" w:sz="8" w:color="F4F4F4"/>
            </w:tcBorders>
            <w:shd w:val="clear" w:color="auto" w:fill="F4F4F4"/>
          </w:tcPr>
          <w:p>
            <w:pPr>
              <w:spacing w:after="0"/>
              <w:rPr>
                <w:sz w:val="21"/>
                <w:szCs w:val="21"/>
                <w:color w:val="auto"/>
              </w:rPr>
            </w:pPr>
          </w:p>
        </w:tc>
        <w:tc>
          <w:tcPr>
            <w:tcW w:w="80" w:type="dxa"/>
            <w:vAlign w:val="bottom"/>
            <w:shd w:val="clear" w:color="auto" w:fill="F4F4F4"/>
          </w:tcPr>
          <w:p>
            <w:pPr>
              <w:spacing w:after="0"/>
              <w:rPr>
                <w:sz w:val="21"/>
                <w:szCs w:val="21"/>
                <w:color w:val="auto"/>
              </w:rPr>
            </w:pPr>
          </w:p>
        </w:tc>
        <w:tc>
          <w:tcPr>
            <w:tcW w:w="100" w:type="dxa"/>
            <w:vAlign w:val="bottom"/>
            <w:shd w:val="clear" w:color="auto" w:fill="F4F4F4"/>
          </w:tcPr>
          <w:p>
            <w:pPr>
              <w:spacing w:after="0"/>
              <w:rPr>
                <w:sz w:val="21"/>
                <w:szCs w:val="21"/>
                <w:color w:val="auto"/>
              </w:rPr>
            </w:pPr>
          </w:p>
        </w:tc>
        <w:tc>
          <w:tcPr>
            <w:tcW w:w="1640" w:type="dxa"/>
            <w:vAlign w:val="bottom"/>
            <w:shd w:val="clear" w:color="auto" w:fill="F4F4F4"/>
          </w:tcPr>
          <w:p>
            <w:pPr>
              <w:spacing w:after="0"/>
              <w:rPr>
                <w:sz w:val="21"/>
                <w:szCs w:val="21"/>
                <w:color w:val="auto"/>
              </w:rPr>
            </w:pPr>
          </w:p>
        </w:tc>
        <w:tc>
          <w:tcPr>
            <w:tcW w:w="180" w:type="dxa"/>
            <w:vAlign w:val="bottom"/>
            <w:shd w:val="clear" w:color="auto" w:fill="F4F4F4"/>
          </w:tcPr>
          <w:p>
            <w:pPr>
              <w:spacing w:after="0"/>
              <w:rPr>
                <w:sz w:val="21"/>
                <w:szCs w:val="21"/>
                <w:color w:val="auto"/>
              </w:rPr>
            </w:pPr>
          </w:p>
        </w:tc>
        <w:tc>
          <w:tcPr>
            <w:tcW w:w="100" w:type="dxa"/>
            <w:vAlign w:val="bottom"/>
            <w:shd w:val="clear" w:color="auto" w:fill="F4F4F4"/>
          </w:tcPr>
          <w:p>
            <w:pPr>
              <w:spacing w:after="0"/>
              <w:rPr>
                <w:sz w:val="21"/>
                <w:szCs w:val="21"/>
                <w:color w:val="auto"/>
              </w:rPr>
            </w:pPr>
          </w:p>
        </w:tc>
        <w:tc>
          <w:tcPr>
            <w:tcW w:w="1000" w:type="dxa"/>
            <w:vAlign w:val="bottom"/>
            <w:shd w:val="clear" w:color="auto" w:fill="F4F4F4"/>
          </w:tcPr>
          <w:p>
            <w:pPr>
              <w:spacing w:after="0"/>
              <w:rPr>
                <w:sz w:val="21"/>
                <w:szCs w:val="21"/>
                <w:color w:val="auto"/>
              </w:rPr>
            </w:pPr>
          </w:p>
        </w:tc>
        <w:tc>
          <w:tcPr>
            <w:tcW w:w="220" w:type="dxa"/>
            <w:vAlign w:val="bottom"/>
            <w:shd w:val="clear" w:color="auto" w:fill="F4F4F4"/>
          </w:tcPr>
          <w:p>
            <w:pPr>
              <w:spacing w:after="0"/>
              <w:rPr>
                <w:sz w:val="21"/>
                <w:szCs w:val="21"/>
                <w:color w:val="auto"/>
              </w:rPr>
            </w:pPr>
          </w:p>
        </w:tc>
        <w:tc>
          <w:tcPr>
            <w:tcW w:w="106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portion</w:t>
            </w:r>
          </w:p>
        </w:tc>
        <w:tc>
          <w:tcPr>
            <w:tcW w:w="20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780" w:type="dxa"/>
            <w:vAlign w:val="bottom"/>
            <w:tcBorders>
              <w:bottom w:val="single" w:sz="8" w:color="F4F4F4"/>
            </w:tcBorders>
            <w:gridSpan w:val="2"/>
            <w:shd w:val="clear" w:color="auto" w:fill="F4F4F4"/>
          </w:tcPr>
          <w:p>
            <w:pPr>
              <w:jc w:val="right"/>
              <w:ind w:right="520"/>
              <w:spacing w:after="0"/>
              <w:rPr>
                <w:sz w:val="20"/>
                <w:szCs w:val="20"/>
                <w:color w:val="auto"/>
              </w:rPr>
            </w:pPr>
            <w:r>
              <w:rPr>
                <w:rFonts w:ascii="Arial" w:cs="Arial" w:eastAsia="Arial" w:hAnsi="Arial"/>
                <w:sz w:val="18"/>
                <w:szCs w:val="18"/>
                <w:color w:val="auto"/>
              </w:rPr>
              <w:t>Other assets</w:t>
            </w:r>
          </w:p>
        </w:tc>
        <w:tc>
          <w:tcPr>
            <w:tcW w:w="78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8"/>
                <w:szCs w:val="18"/>
                <w:color w:val="auto"/>
              </w:rPr>
              <w:t>2,061</w:t>
            </w:r>
          </w:p>
        </w:tc>
        <w:tc>
          <w:tcPr>
            <w:tcW w:w="800" w:type="dxa"/>
            <w:vAlign w:val="bottom"/>
            <w:tcBorders>
              <w:bottom w:val="single" w:sz="8" w:color="F4F4F4"/>
            </w:tcBorders>
            <w:shd w:val="clear" w:color="auto" w:fill="F4F4F4"/>
          </w:tcPr>
          <w:p>
            <w:pPr>
              <w:spacing w:after="0"/>
              <w:rPr>
                <w:sz w:val="21"/>
                <w:szCs w:val="21"/>
                <w:color w:val="auto"/>
              </w:rPr>
            </w:pPr>
          </w:p>
        </w:tc>
        <w:tc>
          <w:tcPr>
            <w:tcW w:w="20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F4F4F4"/>
            </w:tcBorders>
            <w:gridSpan w:val="2"/>
            <w:shd w:val="clear" w:color="auto" w:fill="F4F4F4"/>
          </w:tcPr>
          <w:p>
            <w:pPr>
              <w:jc w:val="right"/>
              <w:ind w:right="18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54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Total derivative instruments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designated as hedging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instruments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2,061</w:t>
            </w:r>
          </w:p>
        </w:tc>
        <w:tc>
          <w:tcPr>
            <w:tcW w:w="800" w:type="dxa"/>
            <w:vAlign w:val="bottom"/>
          </w:tcPr>
          <w:p>
            <w:pPr>
              <w:jc w:val="right"/>
              <w:ind w:right="601"/>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4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
              <w:spacing w:after="0"/>
              <w:rPr>
                <w:sz w:val="20"/>
                <w:szCs w:val="20"/>
                <w:color w:val="auto"/>
              </w:rPr>
            </w:pPr>
            <w:r>
              <w:rPr>
                <w:rFonts w:ascii="Arial" w:cs="Arial" w:eastAsia="Arial" w:hAnsi="Arial"/>
                <w:sz w:val="18"/>
                <w:szCs w:val="18"/>
                <w:color w:val="auto"/>
              </w:rPr>
              <w:t>138</w:t>
            </w: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Borders>
              <w:bottom w:val="single" w:sz="8" w:color="71BF43"/>
            </w:tcBorders>
          </w:tcPr>
          <w:p>
            <w:pPr>
              <w:spacing w:after="0"/>
              <w:rPr>
                <w:sz w:val="2"/>
                <w:szCs w:val="2"/>
                <w:color w:val="auto"/>
              </w:rPr>
            </w:pPr>
          </w:p>
        </w:tc>
        <w:tc>
          <w:tcPr>
            <w:tcW w:w="200" w:type="dxa"/>
            <w:vAlign w:val="bottom"/>
            <w:tcBorders>
              <w:bottom w:val="single" w:sz="8" w:color="71BF43"/>
            </w:tcBorders>
          </w:tcPr>
          <w:p>
            <w:pPr>
              <w:spacing w:after="0"/>
              <w:rPr>
                <w:sz w:val="2"/>
                <w:szCs w:val="2"/>
                <w:color w:val="auto"/>
              </w:rPr>
            </w:pPr>
          </w:p>
        </w:tc>
        <w:tc>
          <w:tcPr>
            <w:tcW w:w="1540" w:type="dxa"/>
            <w:vAlign w:val="bottom"/>
            <w:tcBorders>
              <w:bottom w:val="single" w:sz="8" w:color="71BF43"/>
            </w:tcBorders>
            <w:gridSpan w:val="2"/>
          </w:tcPr>
          <w:p>
            <w:pPr>
              <w:spacing w:after="0"/>
              <w:rPr>
                <w:sz w:val="2"/>
                <w:szCs w:val="2"/>
                <w:color w:val="auto"/>
              </w:rPr>
            </w:pPr>
          </w:p>
        </w:tc>
        <w:tc>
          <w:tcPr>
            <w:tcW w:w="500" w:type="dxa"/>
            <w:vAlign w:val="bottom"/>
            <w:tcBorders>
              <w:bottom w:val="single" w:sz="8" w:color="71BF43"/>
            </w:tcBorders>
          </w:tcPr>
          <w:p>
            <w:pPr>
              <w:spacing w:after="0"/>
              <w:rPr>
                <w:sz w:val="2"/>
                <w:szCs w:val="2"/>
                <w:color w:val="auto"/>
              </w:rPr>
            </w:pPr>
          </w:p>
        </w:tc>
        <w:tc>
          <w:tcPr>
            <w:tcW w:w="780" w:type="dxa"/>
            <w:vAlign w:val="bottom"/>
            <w:tcBorders>
              <w:bottom w:val="single" w:sz="8" w:color="71BF43"/>
            </w:tcBorders>
          </w:tcPr>
          <w:p>
            <w:pPr>
              <w:spacing w:after="0"/>
              <w:rPr>
                <w:sz w:val="2"/>
                <w:szCs w:val="2"/>
                <w:color w:val="auto"/>
              </w:rPr>
            </w:pPr>
          </w:p>
        </w:tc>
        <w:tc>
          <w:tcPr>
            <w:tcW w:w="1000" w:type="dxa"/>
            <w:vAlign w:val="bottom"/>
            <w:tcBorders>
              <w:bottom w:val="single" w:sz="8" w:color="71BF43"/>
            </w:tcBorders>
            <w:gridSpan w:val="2"/>
          </w:tcPr>
          <w:p>
            <w:pPr>
              <w:spacing w:after="0"/>
              <w:rPr>
                <w:sz w:val="2"/>
                <w:szCs w:val="2"/>
                <w:color w:val="auto"/>
              </w:rPr>
            </w:pPr>
          </w:p>
        </w:tc>
        <w:tc>
          <w:tcPr>
            <w:tcW w:w="300" w:type="dxa"/>
            <w:vAlign w:val="bottom"/>
            <w:tcBorders>
              <w:bottom w:val="single" w:sz="8" w:color="71BF43"/>
            </w:tcBorders>
          </w:tcPr>
          <w:p>
            <w:pPr>
              <w:spacing w:after="0"/>
              <w:rPr>
                <w:sz w:val="2"/>
                <w:szCs w:val="2"/>
                <w:color w:val="auto"/>
              </w:rPr>
            </w:pPr>
          </w:p>
        </w:tc>
        <w:tc>
          <w:tcPr>
            <w:tcW w:w="8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1640" w:type="dxa"/>
            <w:vAlign w:val="bottom"/>
            <w:tcBorders>
              <w:bottom w:val="single" w:sz="8" w:color="71BF43"/>
            </w:tcBorders>
          </w:tcPr>
          <w:p>
            <w:pPr>
              <w:spacing w:after="0"/>
              <w:rPr>
                <w:sz w:val="2"/>
                <w:szCs w:val="2"/>
                <w:color w:val="auto"/>
              </w:rPr>
            </w:pPr>
          </w:p>
        </w:tc>
        <w:tc>
          <w:tcPr>
            <w:tcW w:w="18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1000" w:type="dxa"/>
            <w:vAlign w:val="bottom"/>
            <w:tcBorders>
              <w:bottom w:val="single" w:sz="8" w:color="71BF43"/>
            </w:tcBorders>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7040" w:type="dxa"/>
            <w:vAlign w:val="bottom"/>
            <w:gridSpan w:val="11"/>
          </w:tcPr>
          <w:p>
            <w:pPr>
              <w:spacing w:after="0"/>
              <w:rPr>
                <w:sz w:val="20"/>
                <w:szCs w:val="20"/>
                <w:color w:val="auto"/>
              </w:rPr>
            </w:pPr>
            <w:r>
              <w:rPr>
                <w:rFonts w:ascii="Arial" w:cs="Arial" w:eastAsia="Arial" w:hAnsi="Arial"/>
                <w:sz w:val="18"/>
                <w:szCs w:val="18"/>
                <w:color w:val="auto"/>
              </w:rPr>
              <w:t>The effects of derivative instruments in cash flow hedging relationships were as follows:</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80" w:type="dxa"/>
            <w:vAlign w:val="bottom"/>
            <w:gridSpan w:val="2"/>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260" w:type="dxa"/>
            <w:vAlign w:val="bottom"/>
            <w:shd w:val="clear" w:color="auto" w:fill="ACACAC"/>
          </w:tcPr>
          <w:p>
            <w:pPr>
              <w:spacing w:after="0"/>
              <w:rPr>
                <w:sz w:val="18"/>
                <w:szCs w:val="18"/>
                <w:color w:val="auto"/>
              </w:rPr>
            </w:pPr>
          </w:p>
        </w:tc>
        <w:tc>
          <w:tcPr>
            <w:tcW w:w="178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Gain (loss) recognized</w:t>
            </w:r>
          </w:p>
        </w:tc>
        <w:tc>
          <w:tcPr>
            <w:tcW w:w="780" w:type="dxa"/>
            <w:vAlign w:val="bottom"/>
            <w:shd w:val="clear" w:color="auto" w:fill="ACACAC"/>
          </w:tcPr>
          <w:p>
            <w:pPr>
              <w:spacing w:after="0"/>
              <w:rPr>
                <w:sz w:val="18"/>
                <w:szCs w:val="18"/>
                <w:color w:val="auto"/>
              </w:rPr>
            </w:pPr>
          </w:p>
        </w:tc>
        <w:tc>
          <w:tcPr>
            <w:tcW w:w="100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Location</w:t>
            </w:r>
          </w:p>
        </w:tc>
        <w:tc>
          <w:tcPr>
            <w:tcW w:w="300" w:type="dxa"/>
            <w:vAlign w:val="bottom"/>
            <w:tcBorders>
              <w:right w:val="single" w:sz="8" w:color="ACACAC"/>
            </w:tcBorders>
            <w:shd w:val="clear" w:color="auto" w:fill="ACACAC"/>
          </w:tcPr>
          <w:p>
            <w:pPr>
              <w:spacing w:after="0"/>
              <w:rPr>
                <w:sz w:val="18"/>
                <w:szCs w:val="18"/>
                <w:color w:val="auto"/>
              </w:rPr>
            </w:pPr>
          </w:p>
        </w:tc>
        <w:tc>
          <w:tcPr>
            <w:tcW w:w="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1640" w:type="dxa"/>
            <w:vAlign w:val="bottom"/>
            <w:shd w:val="clear" w:color="auto" w:fill="ACACAC"/>
          </w:tcPr>
          <w:p>
            <w:pPr>
              <w:spacing w:after="0"/>
              <w:rPr>
                <w:sz w:val="18"/>
                <w:szCs w:val="18"/>
                <w:color w:val="auto"/>
              </w:rPr>
            </w:pPr>
          </w:p>
        </w:tc>
        <w:tc>
          <w:tcPr>
            <w:tcW w:w="18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100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106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540" w:type="dxa"/>
            <w:vAlign w:val="bottom"/>
            <w:shd w:val="clear" w:color="auto" w:fill="ACACAC"/>
          </w:tcPr>
          <w:p>
            <w:pPr>
              <w:spacing w:after="0"/>
              <w:rPr>
                <w:sz w:val="5"/>
                <w:szCs w:val="5"/>
                <w:color w:val="auto"/>
              </w:rPr>
            </w:pPr>
          </w:p>
        </w:tc>
        <w:tc>
          <w:tcPr>
            <w:tcW w:w="200" w:type="dxa"/>
            <w:vAlign w:val="bottom"/>
            <w:shd w:val="clear" w:color="auto" w:fill="ACACAC"/>
          </w:tcPr>
          <w:p>
            <w:pPr>
              <w:spacing w:after="0"/>
              <w:rPr>
                <w:sz w:val="5"/>
                <w:szCs w:val="5"/>
                <w:color w:val="auto"/>
              </w:rPr>
            </w:pPr>
          </w:p>
        </w:tc>
        <w:tc>
          <w:tcPr>
            <w:tcW w:w="260" w:type="dxa"/>
            <w:vAlign w:val="bottom"/>
            <w:shd w:val="clear" w:color="auto" w:fill="ACACAC"/>
          </w:tcPr>
          <w:p>
            <w:pPr>
              <w:spacing w:after="0"/>
              <w:rPr>
                <w:sz w:val="5"/>
                <w:szCs w:val="5"/>
                <w:color w:val="auto"/>
              </w:rPr>
            </w:pPr>
          </w:p>
        </w:tc>
        <w:tc>
          <w:tcPr>
            <w:tcW w:w="1780" w:type="dxa"/>
            <w:vAlign w:val="bottom"/>
            <w:gridSpan w:val="2"/>
            <w:vMerge w:val="restart"/>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in accumulated other</w:t>
            </w:r>
          </w:p>
        </w:tc>
        <w:tc>
          <w:tcPr>
            <w:tcW w:w="780" w:type="dxa"/>
            <w:vAlign w:val="bottom"/>
            <w:shd w:val="clear" w:color="auto" w:fill="ACACAC"/>
          </w:tcPr>
          <w:p>
            <w:pPr>
              <w:spacing w:after="0"/>
              <w:rPr>
                <w:sz w:val="5"/>
                <w:szCs w:val="5"/>
                <w:color w:val="auto"/>
              </w:rPr>
            </w:pPr>
          </w:p>
        </w:tc>
        <w:tc>
          <w:tcPr>
            <w:tcW w:w="1000" w:type="dxa"/>
            <w:vAlign w:val="bottom"/>
            <w:gridSpan w:val="2"/>
            <w:vMerge w:val="continue"/>
            <w:shd w:val="clear" w:color="auto" w:fill="ACACAC"/>
          </w:tcPr>
          <w:p>
            <w:pPr>
              <w:spacing w:after="0"/>
              <w:rPr>
                <w:sz w:val="5"/>
                <w:szCs w:val="5"/>
                <w:color w:val="auto"/>
              </w:rPr>
            </w:pPr>
          </w:p>
        </w:tc>
        <w:tc>
          <w:tcPr>
            <w:tcW w:w="480" w:type="dxa"/>
            <w:vAlign w:val="bottom"/>
            <w:gridSpan w:val="3"/>
            <w:shd w:val="clear" w:color="auto" w:fill="ACACAC"/>
          </w:tcPr>
          <w:p>
            <w:pPr>
              <w:spacing w:after="0"/>
              <w:rPr>
                <w:sz w:val="5"/>
                <w:szCs w:val="5"/>
                <w:color w:val="auto"/>
              </w:rPr>
            </w:pPr>
          </w:p>
        </w:tc>
        <w:tc>
          <w:tcPr>
            <w:tcW w:w="1640" w:type="dxa"/>
            <w:vAlign w:val="bottom"/>
            <w:shd w:val="clear" w:color="auto" w:fill="ACACAC"/>
          </w:tcPr>
          <w:p>
            <w:pPr>
              <w:spacing w:after="0"/>
              <w:rPr>
                <w:sz w:val="5"/>
                <w:szCs w:val="5"/>
                <w:color w:val="auto"/>
              </w:rPr>
            </w:pPr>
          </w:p>
        </w:tc>
        <w:tc>
          <w:tcPr>
            <w:tcW w:w="180" w:type="dxa"/>
            <w:vAlign w:val="bottom"/>
            <w:shd w:val="clear" w:color="auto" w:fill="ACACAC"/>
          </w:tcPr>
          <w:p>
            <w:pPr>
              <w:spacing w:after="0"/>
              <w:rPr>
                <w:sz w:val="5"/>
                <w:szCs w:val="5"/>
                <w:color w:val="auto"/>
              </w:rPr>
            </w:pPr>
          </w:p>
        </w:tc>
        <w:tc>
          <w:tcPr>
            <w:tcW w:w="100" w:type="dxa"/>
            <w:vAlign w:val="bottom"/>
            <w:shd w:val="clear" w:color="auto" w:fill="ACACAC"/>
          </w:tcPr>
          <w:p>
            <w:pPr>
              <w:spacing w:after="0"/>
              <w:rPr>
                <w:sz w:val="5"/>
                <w:szCs w:val="5"/>
                <w:color w:val="auto"/>
              </w:rPr>
            </w:pPr>
          </w:p>
        </w:tc>
        <w:tc>
          <w:tcPr>
            <w:tcW w:w="1000" w:type="dxa"/>
            <w:vAlign w:val="bottom"/>
            <w:shd w:val="clear" w:color="auto" w:fill="ACACAC"/>
          </w:tcPr>
          <w:p>
            <w:pPr>
              <w:spacing w:after="0"/>
              <w:rPr>
                <w:sz w:val="5"/>
                <w:szCs w:val="5"/>
                <w:color w:val="auto"/>
              </w:rPr>
            </w:pPr>
          </w:p>
        </w:tc>
        <w:tc>
          <w:tcPr>
            <w:tcW w:w="220" w:type="dxa"/>
            <w:vAlign w:val="bottom"/>
            <w:shd w:val="clear" w:color="auto" w:fill="ACACAC"/>
          </w:tcPr>
          <w:p>
            <w:pPr>
              <w:spacing w:after="0"/>
              <w:rPr>
                <w:sz w:val="5"/>
                <w:szCs w:val="5"/>
                <w:color w:val="auto"/>
              </w:rPr>
            </w:pPr>
          </w:p>
        </w:tc>
        <w:tc>
          <w:tcPr>
            <w:tcW w:w="1060" w:type="dxa"/>
            <w:vAlign w:val="bottom"/>
            <w:shd w:val="clear" w:color="auto" w:fill="ACACAC"/>
          </w:tcPr>
          <w:p>
            <w:pPr>
              <w:spacing w:after="0"/>
              <w:rPr>
                <w:sz w:val="5"/>
                <w:szCs w:val="5"/>
                <w:color w:val="auto"/>
              </w:rPr>
            </w:pP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540" w:type="dxa"/>
            <w:vAlign w:val="bottom"/>
            <w:shd w:val="clear" w:color="auto" w:fill="ACACAC"/>
          </w:tcPr>
          <w:p>
            <w:pPr>
              <w:spacing w:after="0"/>
              <w:rPr>
                <w:sz w:val="8"/>
                <w:szCs w:val="8"/>
                <w:color w:val="auto"/>
              </w:rPr>
            </w:pPr>
          </w:p>
        </w:tc>
        <w:tc>
          <w:tcPr>
            <w:tcW w:w="20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1780" w:type="dxa"/>
            <w:vAlign w:val="bottom"/>
            <w:gridSpan w:val="2"/>
            <w:vMerge w:val="continue"/>
            <w:shd w:val="clear" w:color="auto" w:fill="ACACAC"/>
          </w:tcPr>
          <w:p>
            <w:pPr>
              <w:spacing w:after="0"/>
              <w:rPr>
                <w:sz w:val="8"/>
                <w:szCs w:val="8"/>
                <w:color w:val="auto"/>
              </w:rPr>
            </w:pPr>
          </w:p>
        </w:tc>
        <w:tc>
          <w:tcPr>
            <w:tcW w:w="780" w:type="dxa"/>
            <w:vAlign w:val="bottom"/>
            <w:shd w:val="clear" w:color="auto" w:fill="ACACAC"/>
          </w:tcPr>
          <w:p>
            <w:pPr>
              <w:spacing w:after="0"/>
              <w:rPr>
                <w:sz w:val="8"/>
                <w:szCs w:val="8"/>
                <w:color w:val="auto"/>
              </w:rPr>
            </w:pPr>
          </w:p>
        </w:tc>
        <w:tc>
          <w:tcPr>
            <w:tcW w:w="100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of gain (loss)</w:t>
            </w:r>
          </w:p>
        </w:tc>
        <w:tc>
          <w:tcPr>
            <w:tcW w:w="300" w:type="dxa"/>
            <w:vAlign w:val="bottom"/>
            <w:tcBorders>
              <w:right w:val="single" w:sz="8" w:color="ACACAC"/>
            </w:tcBorders>
            <w:shd w:val="clear" w:color="auto" w:fill="ACACAC"/>
          </w:tcPr>
          <w:p>
            <w:pPr>
              <w:spacing w:after="0"/>
              <w:rPr>
                <w:sz w:val="8"/>
                <w:szCs w:val="8"/>
                <w:color w:val="auto"/>
              </w:rPr>
            </w:pPr>
          </w:p>
        </w:tc>
        <w:tc>
          <w:tcPr>
            <w:tcW w:w="80" w:type="dxa"/>
            <w:vAlign w:val="bottom"/>
            <w:shd w:val="clear" w:color="auto" w:fill="ACACAC"/>
          </w:tcPr>
          <w:p>
            <w:pPr>
              <w:spacing w:after="0"/>
              <w:rPr>
                <w:sz w:val="8"/>
                <w:szCs w:val="8"/>
                <w:color w:val="auto"/>
              </w:rPr>
            </w:pPr>
          </w:p>
        </w:tc>
        <w:tc>
          <w:tcPr>
            <w:tcW w:w="100" w:type="dxa"/>
            <w:vAlign w:val="bottom"/>
            <w:shd w:val="clear" w:color="auto" w:fill="ACACAC"/>
          </w:tcPr>
          <w:p>
            <w:pPr>
              <w:spacing w:after="0"/>
              <w:rPr>
                <w:sz w:val="8"/>
                <w:szCs w:val="8"/>
                <w:color w:val="auto"/>
              </w:rPr>
            </w:pPr>
          </w:p>
        </w:tc>
        <w:tc>
          <w:tcPr>
            <w:tcW w:w="1640" w:type="dxa"/>
            <w:vAlign w:val="bottom"/>
            <w:shd w:val="clear" w:color="auto" w:fill="ACACAC"/>
          </w:tcPr>
          <w:p>
            <w:pPr>
              <w:spacing w:after="0"/>
              <w:rPr>
                <w:sz w:val="8"/>
                <w:szCs w:val="8"/>
                <w:color w:val="auto"/>
              </w:rPr>
            </w:pPr>
          </w:p>
        </w:tc>
        <w:tc>
          <w:tcPr>
            <w:tcW w:w="180" w:type="dxa"/>
            <w:vAlign w:val="bottom"/>
            <w:shd w:val="clear" w:color="auto" w:fill="ACACAC"/>
          </w:tcPr>
          <w:p>
            <w:pPr>
              <w:spacing w:after="0"/>
              <w:rPr>
                <w:sz w:val="8"/>
                <w:szCs w:val="8"/>
                <w:color w:val="auto"/>
              </w:rPr>
            </w:pPr>
          </w:p>
        </w:tc>
        <w:tc>
          <w:tcPr>
            <w:tcW w:w="100" w:type="dxa"/>
            <w:vAlign w:val="bottom"/>
            <w:shd w:val="clear" w:color="auto" w:fill="ACACAC"/>
          </w:tcPr>
          <w:p>
            <w:pPr>
              <w:spacing w:after="0"/>
              <w:rPr>
                <w:sz w:val="8"/>
                <w:szCs w:val="8"/>
                <w:color w:val="auto"/>
              </w:rPr>
            </w:pPr>
          </w:p>
        </w:tc>
        <w:tc>
          <w:tcPr>
            <w:tcW w:w="1000" w:type="dxa"/>
            <w:vAlign w:val="bottom"/>
            <w:shd w:val="clear" w:color="auto" w:fill="ACACAC"/>
          </w:tcPr>
          <w:p>
            <w:pPr>
              <w:spacing w:after="0"/>
              <w:rPr>
                <w:sz w:val="8"/>
                <w:szCs w:val="8"/>
                <w:color w:val="auto"/>
              </w:rPr>
            </w:pPr>
          </w:p>
        </w:tc>
        <w:tc>
          <w:tcPr>
            <w:tcW w:w="220" w:type="dxa"/>
            <w:vAlign w:val="bottom"/>
            <w:shd w:val="clear" w:color="auto" w:fill="ACACAC"/>
          </w:tcPr>
          <w:p>
            <w:pPr>
              <w:spacing w:after="0"/>
              <w:rPr>
                <w:sz w:val="8"/>
                <w:szCs w:val="8"/>
                <w:color w:val="auto"/>
              </w:rPr>
            </w:pPr>
          </w:p>
        </w:tc>
        <w:tc>
          <w:tcPr>
            <w:tcW w:w="1060" w:type="dxa"/>
            <w:vAlign w:val="bottom"/>
            <w:shd w:val="clear" w:color="auto" w:fill="ACACAC"/>
          </w:tcPr>
          <w:p>
            <w:pPr>
              <w:spacing w:after="0"/>
              <w:rPr>
                <w:sz w:val="8"/>
                <w:szCs w:val="8"/>
                <w:color w:val="auto"/>
              </w:rPr>
            </w:pP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shd w:val="clear" w:color="auto" w:fill="ACACAC"/>
          </w:tcPr>
          <w:p>
            <w:pPr>
              <w:spacing w:after="0"/>
              <w:rPr>
                <w:sz w:val="5"/>
                <w:szCs w:val="5"/>
                <w:color w:val="auto"/>
              </w:rPr>
            </w:pPr>
          </w:p>
        </w:tc>
        <w:tc>
          <w:tcPr>
            <w:tcW w:w="200" w:type="dxa"/>
            <w:vAlign w:val="bottom"/>
            <w:shd w:val="clear" w:color="auto" w:fill="ACACAC"/>
          </w:tcPr>
          <w:p>
            <w:pPr>
              <w:spacing w:after="0"/>
              <w:rPr>
                <w:sz w:val="5"/>
                <w:szCs w:val="5"/>
                <w:color w:val="auto"/>
              </w:rPr>
            </w:pPr>
          </w:p>
        </w:tc>
        <w:tc>
          <w:tcPr>
            <w:tcW w:w="260" w:type="dxa"/>
            <w:vAlign w:val="bottom"/>
            <w:shd w:val="clear" w:color="auto" w:fill="ACACAC"/>
          </w:tcPr>
          <w:p>
            <w:pPr>
              <w:spacing w:after="0"/>
              <w:rPr>
                <w:sz w:val="5"/>
                <w:szCs w:val="5"/>
                <w:color w:val="auto"/>
              </w:rPr>
            </w:pPr>
          </w:p>
        </w:tc>
        <w:tc>
          <w:tcPr>
            <w:tcW w:w="1780" w:type="dxa"/>
            <w:vAlign w:val="bottom"/>
            <w:gridSpan w:val="2"/>
            <w:vMerge w:val="restart"/>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comprehensive</w:t>
            </w:r>
          </w:p>
        </w:tc>
        <w:tc>
          <w:tcPr>
            <w:tcW w:w="780" w:type="dxa"/>
            <w:vAlign w:val="bottom"/>
            <w:shd w:val="clear" w:color="auto" w:fill="ACACAC"/>
          </w:tcPr>
          <w:p>
            <w:pPr>
              <w:spacing w:after="0"/>
              <w:rPr>
                <w:sz w:val="5"/>
                <w:szCs w:val="5"/>
                <w:color w:val="auto"/>
              </w:rPr>
            </w:pPr>
          </w:p>
        </w:tc>
        <w:tc>
          <w:tcPr>
            <w:tcW w:w="1000" w:type="dxa"/>
            <w:vAlign w:val="bottom"/>
            <w:gridSpan w:val="2"/>
            <w:vMerge w:val="continue"/>
            <w:shd w:val="clear" w:color="auto" w:fill="ACACAC"/>
          </w:tcPr>
          <w:p>
            <w:pPr>
              <w:spacing w:after="0"/>
              <w:rPr>
                <w:sz w:val="5"/>
                <w:szCs w:val="5"/>
                <w:color w:val="auto"/>
              </w:rPr>
            </w:pPr>
          </w:p>
        </w:tc>
        <w:tc>
          <w:tcPr>
            <w:tcW w:w="480" w:type="dxa"/>
            <w:vAlign w:val="bottom"/>
            <w:gridSpan w:val="3"/>
            <w:shd w:val="clear" w:color="auto" w:fill="ACACAC"/>
          </w:tcPr>
          <w:p>
            <w:pPr>
              <w:spacing w:after="0"/>
              <w:rPr>
                <w:sz w:val="5"/>
                <w:szCs w:val="5"/>
                <w:color w:val="auto"/>
              </w:rPr>
            </w:pPr>
          </w:p>
        </w:tc>
        <w:tc>
          <w:tcPr>
            <w:tcW w:w="4200" w:type="dxa"/>
            <w:vAlign w:val="bottom"/>
            <w:gridSpan w:val="6"/>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reclassified from accumulated</w:t>
            </w: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540" w:type="dxa"/>
            <w:vAlign w:val="bottom"/>
            <w:shd w:val="clear" w:color="auto" w:fill="ACACAC"/>
          </w:tcPr>
          <w:p>
            <w:pPr>
              <w:spacing w:after="0"/>
              <w:rPr>
                <w:sz w:val="8"/>
                <w:szCs w:val="8"/>
                <w:color w:val="auto"/>
              </w:rPr>
            </w:pPr>
          </w:p>
        </w:tc>
        <w:tc>
          <w:tcPr>
            <w:tcW w:w="20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1780" w:type="dxa"/>
            <w:vAlign w:val="bottom"/>
            <w:gridSpan w:val="2"/>
            <w:vMerge w:val="continue"/>
            <w:shd w:val="clear" w:color="auto" w:fill="ACACAC"/>
          </w:tcPr>
          <w:p>
            <w:pPr>
              <w:spacing w:after="0"/>
              <w:rPr>
                <w:sz w:val="8"/>
                <w:szCs w:val="8"/>
                <w:color w:val="auto"/>
              </w:rPr>
            </w:pPr>
          </w:p>
        </w:tc>
        <w:tc>
          <w:tcPr>
            <w:tcW w:w="17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reclassified from</w:t>
            </w:r>
          </w:p>
        </w:tc>
        <w:tc>
          <w:tcPr>
            <w:tcW w:w="300" w:type="dxa"/>
            <w:vAlign w:val="bottom"/>
            <w:tcBorders>
              <w:right w:val="single" w:sz="8" w:color="ACACAC"/>
            </w:tcBorders>
            <w:shd w:val="clear" w:color="auto" w:fill="ACACAC"/>
          </w:tcPr>
          <w:p>
            <w:pPr>
              <w:spacing w:after="0"/>
              <w:rPr>
                <w:sz w:val="8"/>
                <w:szCs w:val="8"/>
                <w:color w:val="auto"/>
              </w:rPr>
            </w:pPr>
          </w:p>
        </w:tc>
        <w:tc>
          <w:tcPr>
            <w:tcW w:w="80" w:type="dxa"/>
            <w:vAlign w:val="bottom"/>
            <w:shd w:val="clear" w:color="auto" w:fill="ACACAC"/>
          </w:tcPr>
          <w:p>
            <w:pPr>
              <w:spacing w:after="0"/>
              <w:rPr>
                <w:sz w:val="8"/>
                <w:szCs w:val="8"/>
                <w:color w:val="auto"/>
              </w:rPr>
            </w:pPr>
          </w:p>
        </w:tc>
        <w:tc>
          <w:tcPr>
            <w:tcW w:w="100" w:type="dxa"/>
            <w:vAlign w:val="bottom"/>
            <w:shd w:val="clear" w:color="auto" w:fill="ACACAC"/>
          </w:tcPr>
          <w:p>
            <w:pPr>
              <w:spacing w:after="0"/>
              <w:rPr>
                <w:sz w:val="8"/>
                <w:szCs w:val="8"/>
                <w:color w:val="auto"/>
              </w:rPr>
            </w:pPr>
          </w:p>
        </w:tc>
        <w:tc>
          <w:tcPr>
            <w:tcW w:w="4200" w:type="dxa"/>
            <w:vAlign w:val="bottom"/>
            <w:gridSpan w:val="6"/>
            <w:vMerge w:val="continue"/>
            <w:shd w:val="clear" w:color="auto" w:fill="ACACAC"/>
          </w:tcPr>
          <w:p>
            <w:pPr>
              <w:spacing w:after="0"/>
              <w:rPr>
                <w:sz w:val="8"/>
                <w:szCs w:val="8"/>
                <w:color w:val="auto"/>
              </w:rPr>
            </w:pP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40" w:type="dxa"/>
            <w:vAlign w:val="bottom"/>
            <w:shd w:val="clear" w:color="auto" w:fill="ACACAC"/>
          </w:tcPr>
          <w:p>
            <w:pPr>
              <w:spacing w:after="0"/>
              <w:rPr>
                <w:sz w:val="5"/>
                <w:szCs w:val="5"/>
                <w:color w:val="auto"/>
              </w:rPr>
            </w:pPr>
          </w:p>
        </w:tc>
        <w:tc>
          <w:tcPr>
            <w:tcW w:w="200" w:type="dxa"/>
            <w:vAlign w:val="bottom"/>
            <w:shd w:val="clear" w:color="auto" w:fill="ACACAC"/>
          </w:tcPr>
          <w:p>
            <w:pPr>
              <w:spacing w:after="0"/>
              <w:rPr>
                <w:sz w:val="5"/>
                <w:szCs w:val="5"/>
                <w:color w:val="auto"/>
              </w:rPr>
            </w:pPr>
          </w:p>
        </w:tc>
        <w:tc>
          <w:tcPr>
            <w:tcW w:w="260" w:type="dxa"/>
            <w:vAlign w:val="bottom"/>
            <w:shd w:val="clear" w:color="auto" w:fill="ACACAC"/>
          </w:tcPr>
          <w:p>
            <w:pPr>
              <w:spacing w:after="0"/>
              <w:rPr>
                <w:sz w:val="5"/>
                <w:szCs w:val="5"/>
                <w:color w:val="auto"/>
              </w:rPr>
            </w:pPr>
          </w:p>
        </w:tc>
        <w:tc>
          <w:tcPr>
            <w:tcW w:w="1780" w:type="dxa"/>
            <w:vAlign w:val="bottom"/>
            <w:gridSpan w:val="2"/>
            <w:vMerge w:val="restart"/>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loss as of</w:t>
            </w:r>
          </w:p>
        </w:tc>
        <w:tc>
          <w:tcPr>
            <w:tcW w:w="1780" w:type="dxa"/>
            <w:vAlign w:val="bottom"/>
            <w:gridSpan w:val="3"/>
            <w:vMerge w:val="continue"/>
            <w:shd w:val="clear" w:color="auto" w:fill="ACACAC"/>
          </w:tcPr>
          <w:p>
            <w:pPr>
              <w:spacing w:after="0"/>
              <w:rPr>
                <w:sz w:val="5"/>
                <w:szCs w:val="5"/>
                <w:color w:val="auto"/>
              </w:rPr>
            </w:pPr>
          </w:p>
        </w:tc>
        <w:tc>
          <w:tcPr>
            <w:tcW w:w="480" w:type="dxa"/>
            <w:vAlign w:val="bottom"/>
            <w:gridSpan w:val="3"/>
            <w:shd w:val="clear" w:color="auto" w:fill="ACACAC"/>
          </w:tcPr>
          <w:p>
            <w:pPr>
              <w:spacing w:after="0"/>
              <w:rPr>
                <w:sz w:val="5"/>
                <w:szCs w:val="5"/>
                <w:color w:val="auto"/>
              </w:rPr>
            </w:pPr>
          </w:p>
        </w:tc>
        <w:tc>
          <w:tcPr>
            <w:tcW w:w="4200" w:type="dxa"/>
            <w:vAlign w:val="bottom"/>
            <w:gridSpan w:val="6"/>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other comprehensive loss into income</w:t>
            </w: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ACACAC"/>
          </w:tcPr>
          <w:p>
            <w:pPr>
              <w:spacing w:after="0"/>
              <w:rPr>
                <w:sz w:val="11"/>
                <w:szCs w:val="11"/>
                <w:color w:val="auto"/>
              </w:rPr>
            </w:pPr>
          </w:p>
        </w:tc>
        <w:tc>
          <w:tcPr>
            <w:tcW w:w="200" w:type="dxa"/>
            <w:vAlign w:val="bottom"/>
            <w:shd w:val="clear" w:color="auto" w:fill="ACACAC"/>
          </w:tcPr>
          <w:p>
            <w:pPr>
              <w:spacing w:after="0"/>
              <w:rPr>
                <w:sz w:val="11"/>
                <w:szCs w:val="11"/>
                <w:color w:val="auto"/>
              </w:rPr>
            </w:pPr>
          </w:p>
        </w:tc>
        <w:tc>
          <w:tcPr>
            <w:tcW w:w="260" w:type="dxa"/>
            <w:vAlign w:val="bottom"/>
            <w:shd w:val="clear" w:color="auto" w:fill="ACACAC"/>
          </w:tcPr>
          <w:p>
            <w:pPr>
              <w:spacing w:after="0"/>
              <w:rPr>
                <w:sz w:val="11"/>
                <w:szCs w:val="11"/>
                <w:color w:val="auto"/>
              </w:rPr>
            </w:pPr>
          </w:p>
        </w:tc>
        <w:tc>
          <w:tcPr>
            <w:tcW w:w="1780" w:type="dxa"/>
            <w:vAlign w:val="bottom"/>
            <w:gridSpan w:val="2"/>
            <w:vMerge w:val="continue"/>
            <w:shd w:val="clear" w:color="auto" w:fill="ACACAC"/>
          </w:tcPr>
          <w:p>
            <w:pPr>
              <w:spacing w:after="0"/>
              <w:rPr>
                <w:sz w:val="11"/>
                <w:szCs w:val="11"/>
                <w:color w:val="auto"/>
              </w:rPr>
            </w:pPr>
          </w:p>
        </w:tc>
        <w:tc>
          <w:tcPr>
            <w:tcW w:w="17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 other</w:t>
            </w:r>
          </w:p>
        </w:tc>
        <w:tc>
          <w:tcPr>
            <w:tcW w:w="300" w:type="dxa"/>
            <w:vAlign w:val="bottom"/>
            <w:tcBorders>
              <w:right w:val="single" w:sz="8" w:color="ACACAC"/>
            </w:tcBorders>
            <w:shd w:val="clear" w:color="auto" w:fill="ACACAC"/>
          </w:tcPr>
          <w:p>
            <w:pPr>
              <w:spacing w:after="0"/>
              <w:rPr>
                <w:sz w:val="11"/>
                <w:szCs w:val="11"/>
                <w:color w:val="auto"/>
              </w:rPr>
            </w:pPr>
          </w:p>
        </w:tc>
        <w:tc>
          <w:tcPr>
            <w:tcW w:w="80" w:type="dxa"/>
            <w:vAlign w:val="bottom"/>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200" w:type="dxa"/>
            <w:vAlign w:val="bottom"/>
            <w:gridSpan w:val="6"/>
            <w:vMerge w:val="continue"/>
            <w:shd w:val="clear" w:color="auto" w:fill="ACACAC"/>
          </w:tcPr>
          <w:p>
            <w:pPr>
              <w:spacing w:after="0"/>
              <w:rPr>
                <w:sz w:val="11"/>
                <w:szCs w:val="11"/>
                <w:color w:val="auto"/>
              </w:rPr>
            </w:pP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540" w:type="dxa"/>
            <w:vAlign w:val="bottom"/>
            <w:shd w:val="clear" w:color="auto" w:fill="ACACAC"/>
          </w:tcPr>
          <w:p>
            <w:pPr>
              <w:spacing w:after="0"/>
              <w:rPr>
                <w:sz w:val="2"/>
                <w:szCs w:val="2"/>
                <w:color w:val="auto"/>
              </w:rPr>
            </w:pPr>
          </w:p>
        </w:tc>
        <w:tc>
          <w:tcPr>
            <w:tcW w:w="200" w:type="dxa"/>
            <w:vAlign w:val="bottom"/>
            <w:shd w:val="clear" w:color="auto" w:fill="ACACAC"/>
          </w:tcPr>
          <w:p>
            <w:pPr>
              <w:spacing w:after="0"/>
              <w:rPr>
                <w:sz w:val="2"/>
                <w:szCs w:val="2"/>
                <w:color w:val="auto"/>
              </w:rPr>
            </w:pPr>
          </w:p>
        </w:tc>
        <w:tc>
          <w:tcPr>
            <w:tcW w:w="260" w:type="dxa"/>
            <w:vAlign w:val="bottom"/>
            <w:shd w:val="clear" w:color="auto" w:fill="ACACAC"/>
          </w:tcPr>
          <w:p>
            <w:pPr>
              <w:spacing w:after="0"/>
              <w:rPr>
                <w:sz w:val="2"/>
                <w:szCs w:val="2"/>
                <w:color w:val="auto"/>
              </w:rPr>
            </w:pPr>
          </w:p>
        </w:tc>
        <w:tc>
          <w:tcPr>
            <w:tcW w:w="1280" w:type="dxa"/>
            <w:vAlign w:val="bottom"/>
            <w:shd w:val="clear" w:color="auto" w:fill="ACACAC"/>
          </w:tcPr>
          <w:p>
            <w:pPr>
              <w:spacing w:after="0"/>
              <w:rPr>
                <w:sz w:val="2"/>
                <w:szCs w:val="2"/>
                <w:color w:val="auto"/>
              </w:rPr>
            </w:pPr>
          </w:p>
        </w:tc>
        <w:tc>
          <w:tcPr>
            <w:tcW w:w="500" w:type="dxa"/>
            <w:vAlign w:val="bottom"/>
            <w:shd w:val="clear" w:color="auto" w:fill="ACACAC"/>
          </w:tcPr>
          <w:p>
            <w:pPr>
              <w:spacing w:after="0"/>
              <w:rPr>
                <w:sz w:val="2"/>
                <w:szCs w:val="2"/>
                <w:color w:val="auto"/>
              </w:rPr>
            </w:pPr>
          </w:p>
        </w:tc>
        <w:tc>
          <w:tcPr>
            <w:tcW w:w="1780" w:type="dxa"/>
            <w:vAlign w:val="bottom"/>
            <w:gridSpan w:val="3"/>
            <w:vMerge w:val="continue"/>
            <w:shd w:val="clear" w:color="auto" w:fill="ACACAC"/>
          </w:tcPr>
          <w:p>
            <w:pPr>
              <w:spacing w:after="0"/>
              <w:rPr>
                <w:sz w:val="2"/>
                <w:szCs w:val="2"/>
                <w:color w:val="auto"/>
              </w:rPr>
            </w:pPr>
          </w:p>
        </w:tc>
        <w:tc>
          <w:tcPr>
            <w:tcW w:w="480" w:type="dxa"/>
            <w:vAlign w:val="bottom"/>
            <w:gridSpan w:val="3"/>
            <w:shd w:val="clear" w:color="auto" w:fill="ACACAC"/>
          </w:tcPr>
          <w:p>
            <w:pPr>
              <w:spacing w:after="0"/>
              <w:rPr>
                <w:sz w:val="2"/>
                <w:szCs w:val="2"/>
                <w:color w:val="auto"/>
              </w:rPr>
            </w:pPr>
          </w:p>
        </w:tc>
        <w:tc>
          <w:tcPr>
            <w:tcW w:w="1640" w:type="dxa"/>
            <w:vAlign w:val="bottom"/>
            <w:shd w:val="clear" w:color="auto" w:fill="ACACAC"/>
          </w:tcPr>
          <w:p>
            <w:pPr>
              <w:spacing w:after="0"/>
              <w:rPr>
                <w:sz w:val="2"/>
                <w:szCs w:val="2"/>
                <w:color w:val="auto"/>
              </w:rPr>
            </w:pPr>
          </w:p>
        </w:tc>
        <w:tc>
          <w:tcPr>
            <w:tcW w:w="180" w:type="dxa"/>
            <w:vAlign w:val="bottom"/>
            <w:shd w:val="clear" w:color="auto" w:fill="ACACAC"/>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ACACAC"/>
          </w:tcPr>
          <w:p>
            <w:pPr>
              <w:spacing w:after="0"/>
              <w:rPr>
                <w:sz w:val="2"/>
                <w:szCs w:val="2"/>
                <w:color w:val="auto"/>
              </w:rPr>
            </w:pPr>
          </w:p>
        </w:tc>
        <w:tc>
          <w:tcPr>
            <w:tcW w:w="220" w:type="dxa"/>
            <w:vAlign w:val="bottom"/>
            <w:shd w:val="clear" w:color="auto" w:fill="ACACAC"/>
          </w:tcPr>
          <w:p>
            <w:pPr>
              <w:spacing w:after="0"/>
              <w:rPr>
                <w:sz w:val="2"/>
                <w:szCs w:val="2"/>
                <w:color w:val="auto"/>
              </w:rPr>
            </w:pPr>
          </w:p>
        </w:tc>
        <w:tc>
          <w:tcPr>
            <w:tcW w:w="1060" w:type="dxa"/>
            <w:vAlign w:val="bottom"/>
            <w:shd w:val="clear" w:color="auto" w:fill="ACACAC"/>
          </w:tcPr>
          <w:p>
            <w:pPr>
              <w:spacing w:after="0"/>
              <w:rPr>
                <w:sz w:val="2"/>
                <w:szCs w:val="2"/>
                <w:color w:val="auto"/>
              </w:rPr>
            </w:pPr>
          </w:p>
        </w:tc>
        <w:tc>
          <w:tcPr>
            <w:tcW w:w="2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40" w:type="dxa"/>
            <w:vAlign w:val="bottom"/>
            <w:shd w:val="clear" w:color="auto" w:fill="ACACAC"/>
          </w:tcPr>
          <w:p>
            <w:pPr>
              <w:spacing w:after="0"/>
              <w:rPr>
                <w:sz w:val="14"/>
                <w:szCs w:val="14"/>
                <w:color w:val="auto"/>
              </w:rPr>
            </w:pPr>
          </w:p>
        </w:tc>
        <w:tc>
          <w:tcPr>
            <w:tcW w:w="200" w:type="dxa"/>
            <w:vAlign w:val="bottom"/>
            <w:shd w:val="clear" w:color="auto" w:fill="ACACAC"/>
          </w:tcPr>
          <w:p>
            <w:pPr>
              <w:spacing w:after="0"/>
              <w:rPr>
                <w:sz w:val="14"/>
                <w:szCs w:val="14"/>
                <w:color w:val="auto"/>
              </w:rPr>
            </w:pPr>
          </w:p>
        </w:tc>
        <w:tc>
          <w:tcPr>
            <w:tcW w:w="260" w:type="dxa"/>
            <w:vAlign w:val="bottom"/>
            <w:shd w:val="clear" w:color="auto" w:fill="ACACAC"/>
          </w:tcPr>
          <w:p>
            <w:pPr>
              <w:spacing w:after="0"/>
              <w:rPr>
                <w:sz w:val="14"/>
                <w:szCs w:val="14"/>
                <w:color w:val="auto"/>
              </w:rPr>
            </w:pPr>
          </w:p>
        </w:tc>
        <w:tc>
          <w:tcPr>
            <w:tcW w:w="178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June 30,</w:t>
            </w:r>
          </w:p>
        </w:tc>
        <w:tc>
          <w:tcPr>
            <w:tcW w:w="17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480" w:type="dxa"/>
            <w:vAlign w:val="bottom"/>
            <w:gridSpan w:val="3"/>
            <w:shd w:val="clear" w:color="auto" w:fill="ACACAC"/>
          </w:tcPr>
          <w:p>
            <w:pPr>
              <w:spacing w:after="0"/>
              <w:rPr>
                <w:sz w:val="14"/>
                <w:szCs w:val="14"/>
                <w:color w:val="auto"/>
              </w:rPr>
            </w:pPr>
          </w:p>
        </w:tc>
        <w:tc>
          <w:tcPr>
            <w:tcW w:w="182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4"/>
                <w:szCs w:val="14"/>
                <w:color w:val="auto"/>
              </w:rPr>
            </w:pPr>
          </w:p>
        </w:tc>
        <w:tc>
          <w:tcPr>
            <w:tcW w:w="1000" w:type="dxa"/>
            <w:vAlign w:val="bottom"/>
            <w:shd w:val="clear" w:color="auto" w:fill="ACACAC"/>
          </w:tcPr>
          <w:p>
            <w:pPr>
              <w:spacing w:after="0"/>
              <w:rPr>
                <w:sz w:val="14"/>
                <w:szCs w:val="14"/>
                <w:color w:val="auto"/>
              </w:rPr>
            </w:pPr>
          </w:p>
        </w:tc>
        <w:tc>
          <w:tcPr>
            <w:tcW w:w="12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00" w:type="dxa"/>
            <w:vAlign w:val="bottom"/>
            <w:tcBorders>
              <w:bottom w:val="single" w:sz="8" w:color="ACACAC"/>
            </w:tcBorders>
            <w:shd w:val="clear" w:color="auto" w:fill="ACACAC"/>
          </w:tcPr>
          <w:p>
            <w:pPr>
              <w:spacing w:after="0"/>
              <w:rPr>
                <w:sz w:val="17"/>
                <w:szCs w:val="17"/>
                <w:color w:val="auto"/>
              </w:rPr>
            </w:pPr>
          </w:p>
        </w:tc>
        <w:tc>
          <w:tcPr>
            <w:tcW w:w="260" w:type="dxa"/>
            <w:vAlign w:val="bottom"/>
            <w:tcBorders>
              <w:bottom w:val="single" w:sz="8" w:color="ACACAC"/>
            </w:tcBorders>
            <w:shd w:val="clear" w:color="auto" w:fill="ACACAC"/>
          </w:tcPr>
          <w:p>
            <w:pPr>
              <w:spacing w:after="0"/>
              <w:rPr>
                <w:sz w:val="17"/>
                <w:szCs w:val="17"/>
                <w:color w:val="auto"/>
              </w:rPr>
            </w:pPr>
          </w:p>
        </w:tc>
        <w:tc>
          <w:tcPr>
            <w:tcW w:w="1780" w:type="dxa"/>
            <w:vAlign w:val="bottom"/>
            <w:tcBorders>
              <w:bottom w:val="single" w:sz="8" w:color="ACACAC"/>
            </w:tcBorders>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2021</w:t>
            </w:r>
          </w:p>
        </w:tc>
        <w:tc>
          <w:tcPr>
            <w:tcW w:w="1780" w:type="dxa"/>
            <w:vAlign w:val="bottom"/>
            <w:tcBorders>
              <w:bottom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loss into income</w:t>
            </w:r>
          </w:p>
        </w:tc>
        <w:tc>
          <w:tcPr>
            <w:tcW w:w="480" w:type="dxa"/>
            <w:vAlign w:val="bottom"/>
            <w:tcBorders>
              <w:bottom w:val="single" w:sz="8" w:color="ACACAC"/>
            </w:tcBorders>
            <w:gridSpan w:val="3"/>
            <w:shd w:val="clear" w:color="auto" w:fill="ACACAC"/>
          </w:tcPr>
          <w:p>
            <w:pPr>
              <w:spacing w:after="0"/>
              <w:rPr>
                <w:sz w:val="17"/>
                <w:szCs w:val="17"/>
                <w:color w:val="auto"/>
              </w:rPr>
            </w:pPr>
          </w:p>
        </w:tc>
        <w:tc>
          <w:tcPr>
            <w:tcW w:w="1820" w:type="dxa"/>
            <w:vAlign w:val="bottom"/>
            <w:tcBorders>
              <w:bottom w:val="single" w:sz="8" w:color="ACACAC"/>
            </w:tcBorders>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June 30, 2021</w:t>
            </w:r>
          </w:p>
        </w:tc>
        <w:tc>
          <w:tcPr>
            <w:tcW w:w="100" w:type="dxa"/>
            <w:vAlign w:val="bottom"/>
            <w:tcBorders>
              <w:bottom w:val="single" w:sz="8" w:color="F4F4F4"/>
            </w:tcBorders>
          </w:tcPr>
          <w:p>
            <w:pPr>
              <w:spacing w:after="0"/>
              <w:rPr>
                <w:sz w:val="17"/>
                <w:szCs w:val="17"/>
                <w:color w:val="auto"/>
              </w:rPr>
            </w:pPr>
          </w:p>
        </w:tc>
        <w:tc>
          <w:tcPr>
            <w:tcW w:w="1000" w:type="dxa"/>
            <w:vAlign w:val="bottom"/>
            <w:tcBorders>
              <w:bottom w:val="single" w:sz="8" w:color="F4F4F4"/>
            </w:tcBorders>
            <w:shd w:val="clear" w:color="auto" w:fill="ACACAC"/>
          </w:tcPr>
          <w:p>
            <w:pPr>
              <w:spacing w:after="0"/>
              <w:rPr>
                <w:sz w:val="17"/>
                <w:szCs w:val="17"/>
                <w:color w:val="auto"/>
              </w:rPr>
            </w:pPr>
          </w:p>
        </w:tc>
        <w:tc>
          <w:tcPr>
            <w:tcW w:w="220" w:type="dxa"/>
            <w:vAlign w:val="bottom"/>
            <w:tcBorders>
              <w:bottom w:val="single" w:sz="8" w:color="ACACAC"/>
            </w:tcBorders>
            <w:shd w:val="clear" w:color="auto" w:fill="ACACAC"/>
          </w:tcPr>
          <w:p>
            <w:pPr>
              <w:spacing w:after="0"/>
              <w:rPr>
                <w:sz w:val="17"/>
                <w:szCs w:val="17"/>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 2021</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460" w:type="dxa"/>
            <w:vAlign w:val="bottom"/>
            <w:tcBorders>
              <w:bottom w:val="single" w:sz="8" w:color="F4F4F4"/>
            </w:tcBorders>
            <w:gridSpan w:val="2"/>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F4F4F4"/>
            </w:tcBorders>
            <w:gridSpan w:val="2"/>
            <w:shd w:val="clear" w:color="auto" w:fill="F4F4F4"/>
          </w:tcPr>
          <w:p>
            <w:pPr>
              <w:jc w:val="right"/>
              <w:ind w:right="80"/>
              <w:spacing w:after="0"/>
              <w:rPr>
                <w:sz w:val="20"/>
                <w:szCs w:val="20"/>
                <w:color w:val="auto"/>
              </w:rPr>
            </w:pPr>
            <w:r>
              <w:rPr>
                <w:rFonts w:ascii="Arial" w:cs="Arial" w:eastAsia="Arial" w:hAnsi="Arial"/>
                <w:sz w:val="18"/>
                <w:szCs w:val="18"/>
                <w:color w:val="auto"/>
              </w:rPr>
              <w:t>1,923</w:t>
            </w:r>
          </w:p>
        </w:tc>
        <w:tc>
          <w:tcPr>
            <w:tcW w:w="1580" w:type="dxa"/>
            <w:vAlign w:val="bottom"/>
            <w:tcBorders>
              <w:bottom w:val="single" w:sz="8" w:color="F4F4F4"/>
            </w:tcBorders>
            <w:gridSpan w:val="2"/>
            <w:shd w:val="clear" w:color="auto" w:fill="F4F4F4"/>
          </w:tcPr>
          <w:p>
            <w:pPr>
              <w:jc w:val="center"/>
              <w:spacing w:after="0"/>
              <w:rPr>
                <w:sz w:val="20"/>
                <w:szCs w:val="20"/>
                <w:color w:val="auto"/>
              </w:rPr>
            </w:pPr>
            <w:r>
              <w:rPr>
                <w:rFonts w:ascii="Arial" w:cs="Arial" w:eastAsia="Arial" w:hAnsi="Arial"/>
                <w:sz w:val="18"/>
                <w:szCs w:val="18"/>
                <w:color w:val="auto"/>
                <w:w w:val="99"/>
              </w:rPr>
              <w:t>Interest expense</w:t>
            </w:r>
          </w:p>
        </w:tc>
        <w:tc>
          <w:tcPr>
            <w:tcW w:w="500" w:type="dxa"/>
            <w:vAlign w:val="bottom"/>
            <w:tcBorders>
              <w:bottom w:val="single" w:sz="8" w:color="F4F4F4"/>
              <w:right w:val="single" w:sz="8" w:color="F4F4F4"/>
            </w:tcBorders>
            <w:gridSpan w:val="2"/>
            <w:shd w:val="clear" w:color="auto" w:fill="F4F4F4"/>
          </w:tcPr>
          <w:p>
            <w:pPr>
              <w:ind w:lef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820" w:type="dxa"/>
            <w:vAlign w:val="bottom"/>
            <w:tcBorders>
              <w:bottom w:val="single" w:sz="8" w:color="F4F4F4"/>
            </w:tcBorders>
            <w:gridSpan w:val="2"/>
            <w:shd w:val="clear" w:color="auto" w:fill="F4F4F4"/>
          </w:tcPr>
          <w:p>
            <w:pPr>
              <w:jc w:val="right"/>
              <w:ind w:right="40"/>
              <w:spacing w:after="0"/>
              <w:rPr>
                <w:sz w:val="20"/>
                <w:szCs w:val="20"/>
                <w:color w:val="auto"/>
              </w:rPr>
            </w:pPr>
            <w:r>
              <w:rPr>
                <w:rFonts w:ascii="Arial" w:cs="Arial" w:eastAsia="Arial" w:hAnsi="Arial"/>
                <w:sz w:val="18"/>
                <w:szCs w:val="18"/>
                <w:color w:val="auto"/>
              </w:rPr>
              <w:t>(1,408)</w:t>
            </w:r>
          </w:p>
        </w:tc>
        <w:tc>
          <w:tcPr>
            <w:tcW w:w="1100" w:type="dxa"/>
            <w:vAlign w:val="bottom"/>
            <w:tcBorders>
              <w:bottom w:val="single" w:sz="8" w:color="F4F4F4"/>
            </w:tcBorders>
            <w:gridSpan w:val="2"/>
            <w:shd w:val="clear" w:color="auto" w:fill="F4F4F4"/>
          </w:tcPr>
          <w:p>
            <w:pPr>
              <w:jc w:val="right"/>
              <w:ind w:right="80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8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78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June 30,</w:t>
            </w: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right w:val="single" w:sz="8" w:color="ACACAC"/>
            </w:tcBorders>
            <w:shd w:val="clear" w:color="auto" w:fill="ACACAC"/>
          </w:tcPr>
          <w:p>
            <w:pPr>
              <w:spacing w:after="0"/>
              <w:rPr>
                <w:sz w:val="16"/>
                <w:szCs w:val="16"/>
                <w:color w:val="auto"/>
              </w:rPr>
            </w:pPr>
          </w:p>
        </w:tc>
        <w:tc>
          <w:tcPr>
            <w:tcW w:w="8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1820" w:type="dxa"/>
            <w:vAlign w:val="bottom"/>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1000" w:type="dxa"/>
            <w:vAlign w:val="bottom"/>
            <w:shd w:val="clear" w:color="auto" w:fill="ACACAC"/>
          </w:tcPr>
          <w:p>
            <w:pPr>
              <w:spacing w:after="0"/>
              <w:rPr>
                <w:sz w:val="16"/>
                <w:szCs w:val="16"/>
                <w:color w:val="auto"/>
              </w:rPr>
            </w:pPr>
          </w:p>
        </w:tc>
        <w:tc>
          <w:tcPr>
            <w:tcW w:w="12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F4F4F4"/>
            </w:tcBorders>
          </w:tcPr>
          <w:p>
            <w:pPr>
              <w:spacing w:after="0"/>
              <w:rPr>
                <w:sz w:val="17"/>
                <w:szCs w:val="17"/>
                <w:color w:val="auto"/>
              </w:rPr>
            </w:pPr>
          </w:p>
        </w:tc>
        <w:tc>
          <w:tcPr>
            <w:tcW w:w="200" w:type="dxa"/>
            <w:vAlign w:val="bottom"/>
            <w:tcBorders>
              <w:bottom w:val="single" w:sz="8" w:color="F4F4F4"/>
            </w:tcBorders>
          </w:tcPr>
          <w:p>
            <w:pPr>
              <w:spacing w:after="0"/>
              <w:rPr>
                <w:sz w:val="17"/>
                <w:szCs w:val="17"/>
                <w:color w:val="auto"/>
              </w:rPr>
            </w:pPr>
          </w:p>
        </w:tc>
        <w:tc>
          <w:tcPr>
            <w:tcW w:w="260" w:type="dxa"/>
            <w:vAlign w:val="bottom"/>
            <w:tcBorders>
              <w:bottom w:val="single" w:sz="8" w:color="ACACAC"/>
            </w:tcBorders>
            <w:shd w:val="clear" w:color="auto" w:fill="ACACAC"/>
          </w:tcPr>
          <w:p>
            <w:pPr>
              <w:spacing w:after="0"/>
              <w:rPr>
                <w:sz w:val="17"/>
                <w:szCs w:val="17"/>
                <w:color w:val="auto"/>
              </w:rPr>
            </w:pPr>
          </w:p>
        </w:tc>
        <w:tc>
          <w:tcPr>
            <w:tcW w:w="1780" w:type="dxa"/>
            <w:vAlign w:val="bottom"/>
            <w:tcBorders>
              <w:bottom w:val="single" w:sz="8" w:color="ACACAC"/>
            </w:tcBorders>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2020</w:t>
            </w:r>
          </w:p>
        </w:tc>
        <w:tc>
          <w:tcPr>
            <w:tcW w:w="780" w:type="dxa"/>
            <w:vAlign w:val="bottom"/>
            <w:tcBorders>
              <w:bottom w:val="single" w:sz="8" w:color="F4F4F4"/>
            </w:tcBorders>
          </w:tcPr>
          <w:p>
            <w:pPr>
              <w:spacing w:after="0"/>
              <w:rPr>
                <w:sz w:val="17"/>
                <w:szCs w:val="17"/>
                <w:color w:val="auto"/>
              </w:rPr>
            </w:pPr>
          </w:p>
        </w:tc>
        <w:tc>
          <w:tcPr>
            <w:tcW w:w="800" w:type="dxa"/>
            <w:vAlign w:val="bottom"/>
            <w:tcBorders>
              <w:bottom w:val="single" w:sz="8" w:color="F4F4F4"/>
            </w:tcBorders>
          </w:tcPr>
          <w:p>
            <w:pPr>
              <w:spacing w:after="0"/>
              <w:rPr>
                <w:sz w:val="17"/>
                <w:szCs w:val="17"/>
                <w:color w:val="auto"/>
              </w:rPr>
            </w:pPr>
          </w:p>
        </w:tc>
        <w:tc>
          <w:tcPr>
            <w:tcW w:w="200" w:type="dxa"/>
            <w:vAlign w:val="bottom"/>
            <w:tcBorders>
              <w:bottom w:val="single" w:sz="8" w:color="F4F4F4"/>
            </w:tcBorders>
          </w:tcPr>
          <w:p>
            <w:pPr>
              <w:spacing w:after="0"/>
              <w:rPr>
                <w:sz w:val="17"/>
                <w:szCs w:val="17"/>
                <w:color w:val="auto"/>
              </w:rPr>
            </w:pPr>
          </w:p>
        </w:tc>
        <w:tc>
          <w:tcPr>
            <w:tcW w:w="300" w:type="dxa"/>
            <w:vAlign w:val="bottom"/>
            <w:tcBorders>
              <w:bottom w:val="single" w:sz="8" w:color="ACACAC"/>
              <w:right w:val="single" w:sz="8" w:color="ACACAC"/>
            </w:tcBorders>
            <w:shd w:val="clear" w:color="auto" w:fill="ACACAC"/>
          </w:tcPr>
          <w:p>
            <w:pPr>
              <w:spacing w:after="0"/>
              <w:rPr>
                <w:sz w:val="17"/>
                <w:szCs w:val="17"/>
                <w:color w:val="auto"/>
              </w:rPr>
            </w:pPr>
          </w:p>
        </w:tc>
        <w:tc>
          <w:tcPr>
            <w:tcW w:w="80" w:type="dxa"/>
            <w:vAlign w:val="bottom"/>
            <w:tcBorders>
              <w:bottom w:val="single" w:sz="8" w:color="ACACAC"/>
            </w:tcBorders>
            <w:shd w:val="clear" w:color="auto" w:fill="ACACAC"/>
          </w:tcPr>
          <w:p>
            <w:pPr>
              <w:spacing w:after="0"/>
              <w:rPr>
                <w:sz w:val="17"/>
                <w:szCs w:val="17"/>
                <w:color w:val="auto"/>
              </w:rPr>
            </w:pPr>
          </w:p>
        </w:tc>
        <w:tc>
          <w:tcPr>
            <w:tcW w:w="100" w:type="dxa"/>
            <w:vAlign w:val="bottom"/>
            <w:tcBorders>
              <w:bottom w:val="single" w:sz="8" w:color="ACACAC"/>
            </w:tcBorders>
            <w:shd w:val="clear" w:color="auto" w:fill="ACACAC"/>
          </w:tcPr>
          <w:p>
            <w:pPr>
              <w:spacing w:after="0"/>
              <w:rPr>
                <w:sz w:val="17"/>
                <w:szCs w:val="17"/>
                <w:color w:val="auto"/>
              </w:rPr>
            </w:pPr>
          </w:p>
        </w:tc>
        <w:tc>
          <w:tcPr>
            <w:tcW w:w="1820" w:type="dxa"/>
            <w:vAlign w:val="bottom"/>
            <w:tcBorders>
              <w:bottom w:val="single" w:sz="8" w:color="ACACAC"/>
            </w:tcBorders>
            <w:gridSpan w:val="2"/>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June 30, 2020</w:t>
            </w:r>
          </w:p>
        </w:tc>
        <w:tc>
          <w:tcPr>
            <w:tcW w:w="100" w:type="dxa"/>
            <w:vAlign w:val="bottom"/>
            <w:tcBorders>
              <w:bottom w:val="single" w:sz="8" w:color="F4F4F4"/>
            </w:tcBorders>
          </w:tcPr>
          <w:p>
            <w:pPr>
              <w:spacing w:after="0"/>
              <w:rPr>
                <w:sz w:val="17"/>
                <w:szCs w:val="17"/>
                <w:color w:val="auto"/>
              </w:rPr>
            </w:pPr>
          </w:p>
        </w:tc>
        <w:tc>
          <w:tcPr>
            <w:tcW w:w="1000" w:type="dxa"/>
            <w:vAlign w:val="bottom"/>
            <w:tcBorders>
              <w:bottom w:val="single" w:sz="8" w:color="ACACAC"/>
            </w:tcBorders>
            <w:shd w:val="clear" w:color="auto" w:fill="ACACAC"/>
          </w:tcPr>
          <w:p>
            <w:pPr>
              <w:spacing w:after="0"/>
              <w:rPr>
                <w:sz w:val="17"/>
                <w:szCs w:val="17"/>
                <w:color w:val="auto"/>
              </w:rPr>
            </w:pPr>
          </w:p>
        </w:tc>
        <w:tc>
          <w:tcPr>
            <w:tcW w:w="220" w:type="dxa"/>
            <w:vAlign w:val="bottom"/>
            <w:tcBorders>
              <w:bottom w:val="single" w:sz="8" w:color="ACACAC"/>
            </w:tcBorders>
            <w:shd w:val="clear" w:color="auto" w:fill="ACACAC"/>
          </w:tcPr>
          <w:p>
            <w:pPr>
              <w:spacing w:after="0"/>
              <w:rPr>
                <w:sz w:val="17"/>
                <w:szCs w:val="17"/>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 2020</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5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460" w:type="dxa"/>
            <w:vAlign w:val="bottom"/>
            <w:tcBorders>
              <w:bottom w:val="single" w:sz="8" w:color="F4F4F4"/>
            </w:tcBorders>
            <w:gridSpan w:val="2"/>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F4F4F4"/>
            </w:tcBorders>
            <w:gridSpan w:val="2"/>
            <w:shd w:val="clear" w:color="auto" w:fill="F4F4F4"/>
          </w:tcPr>
          <w:p>
            <w:pPr>
              <w:jc w:val="right"/>
              <w:ind w:right="40"/>
              <w:spacing w:after="0"/>
              <w:rPr>
                <w:sz w:val="20"/>
                <w:szCs w:val="20"/>
                <w:color w:val="auto"/>
              </w:rPr>
            </w:pPr>
            <w:r>
              <w:rPr>
                <w:rFonts w:ascii="Arial" w:cs="Arial" w:eastAsia="Arial" w:hAnsi="Arial"/>
                <w:sz w:val="18"/>
                <w:szCs w:val="18"/>
                <w:color w:val="auto"/>
              </w:rPr>
              <w:t>(5,233)</w:t>
            </w:r>
          </w:p>
        </w:tc>
        <w:tc>
          <w:tcPr>
            <w:tcW w:w="1580" w:type="dxa"/>
            <w:vAlign w:val="bottom"/>
            <w:tcBorders>
              <w:bottom w:val="single" w:sz="8" w:color="F4F4F4"/>
            </w:tcBorders>
            <w:gridSpan w:val="2"/>
            <w:shd w:val="clear" w:color="auto" w:fill="F4F4F4"/>
          </w:tcPr>
          <w:p>
            <w:pPr>
              <w:jc w:val="center"/>
              <w:spacing w:after="0"/>
              <w:rPr>
                <w:sz w:val="20"/>
                <w:szCs w:val="20"/>
                <w:color w:val="auto"/>
              </w:rPr>
            </w:pPr>
            <w:r>
              <w:rPr>
                <w:rFonts w:ascii="Arial" w:cs="Arial" w:eastAsia="Arial" w:hAnsi="Arial"/>
                <w:sz w:val="18"/>
                <w:szCs w:val="18"/>
                <w:color w:val="auto"/>
                <w:w w:val="99"/>
              </w:rPr>
              <w:t>Interest expense</w:t>
            </w:r>
          </w:p>
        </w:tc>
        <w:tc>
          <w:tcPr>
            <w:tcW w:w="500" w:type="dxa"/>
            <w:vAlign w:val="bottom"/>
            <w:tcBorders>
              <w:bottom w:val="single" w:sz="8" w:color="F4F4F4"/>
              <w:right w:val="single" w:sz="8" w:color="F4F4F4"/>
            </w:tcBorders>
            <w:gridSpan w:val="2"/>
            <w:shd w:val="clear" w:color="auto" w:fill="F4F4F4"/>
          </w:tcPr>
          <w:p>
            <w:pPr>
              <w:ind w:lef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820" w:type="dxa"/>
            <w:vAlign w:val="bottom"/>
            <w:tcBorders>
              <w:bottom w:val="single" w:sz="8" w:color="F4F4F4"/>
            </w:tcBorders>
            <w:gridSpan w:val="2"/>
            <w:shd w:val="clear" w:color="auto" w:fill="F4F4F4"/>
          </w:tcPr>
          <w:p>
            <w:pPr>
              <w:jc w:val="right"/>
              <w:ind w:right="40"/>
              <w:spacing w:after="0"/>
              <w:rPr>
                <w:sz w:val="20"/>
                <w:szCs w:val="20"/>
                <w:color w:val="auto"/>
              </w:rPr>
            </w:pPr>
            <w:r>
              <w:rPr>
                <w:rFonts w:ascii="Arial" w:cs="Arial" w:eastAsia="Arial" w:hAnsi="Arial"/>
                <w:sz w:val="18"/>
                <w:szCs w:val="18"/>
                <w:color w:val="auto"/>
              </w:rPr>
              <w:t>(1,018)</w:t>
            </w:r>
          </w:p>
        </w:tc>
        <w:tc>
          <w:tcPr>
            <w:tcW w:w="1100" w:type="dxa"/>
            <w:vAlign w:val="bottom"/>
            <w:tcBorders>
              <w:bottom w:val="single" w:sz="8" w:color="F4F4F4"/>
            </w:tcBorders>
            <w:gridSpan w:val="2"/>
            <w:shd w:val="clear" w:color="auto" w:fill="F4F4F4"/>
          </w:tcPr>
          <w:p>
            <w:pPr>
              <w:jc w:val="right"/>
              <w:ind w:right="80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71BF43"/>
          </w:tcPr>
          <w:p>
            <w:pPr>
              <w:spacing w:after="0" w:line="20" w:lineRule="exact"/>
              <w:rPr>
                <w:sz w:val="1"/>
                <w:szCs w:val="1"/>
                <w:color w:val="auto"/>
              </w:rPr>
            </w:pPr>
          </w:p>
        </w:tc>
        <w:tc>
          <w:tcPr>
            <w:tcW w:w="200" w:type="dxa"/>
            <w:vAlign w:val="bottom"/>
            <w:shd w:val="clear" w:color="auto" w:fill="71BF43"/>
          </w:tcPr>
          <w:p>
            <w:pPr>
              <w:spacing w:after="0" w:line="20" w:lineRule="exact"/>
              <w:rPr>
                <w:sz w:val="1"/>
                <w:szCs w:val="1"/>
                <w:color w:val="auto"/>
              </w:rPr>
            </w:pPr>
          </w:p>
        </w:tc>
        <w:tc>
          <w:tcPr>
            <w:tcW w:w="260" w:type="dxa"/>
            <w:vAlign w:val="bottom"/>
            <w:shd w:val="clear" w:color="auto" w:fill="71BF43"/>
          </w:tcPr>
          <w:p>
            <w:pPr>
              <w:spacing w:after="0" w:line="20" w:lineRule="exact"/>
              <w:rPr>
                <w:sz w:val="1"/>
                <w:szCs w:val="1"/>
                <w:color w:val="auto"/>
              </w:rPr>
            </w:pPr>
          </w:p>
        </w:tc>
        <w:tc>
          <w:tcPr>
            <w:tcW w:w="128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780" w:type="dxa"/>
            <w:vAlign w:val="bottom"/>
            <w:shd w:val="clear" w:color="auto" w:fill="71BF43"/>
          </w:tcPr>
          <w:p>
            <w:pPr>
              <w:spacing w:after="0" w:line="20" w:lineRule="exact"/>
              <w:rPr>
                <w:sz w:val="1"/>
                <w:szCs w:val="1"/>
                <w:color w:val="auto"/>
              </w:rPr>
            </w:pPr>
          </w:p>
        </w:tc>
        <w:tc>
          <w:tcPr>
            <w:tcW w:w="800" w:type="dxa"/>
            <w:vAlign w:val="bottom"/>
            <w:shd w:val="clear" w:color="auto" w:fill="71BF43"/>
          </w:tcPr>
          <w:p>
            <w:pPr>
              <w:spacing w:after="0" w:line="20" w:lineRule="exact"/>
              <w:rPr>
                <w:sz w:val="1"/>
                <w:szCs w:val="1"/>
                <w:color w:val="auto"/>
              </w:rPr>
            </w:pPr>
          </w:p>
        </w:tc>
        <w:tc>
          <w:tcPr>
            <w:tcW w:w="200" w:type="dxa"/>
            <w:vAlign w:val="bottom"/>
            <w:shd w:val="clear" w:color="auto" w:fill="71BF43"/>
          </w:tcPr>
          <w:p>
            <w:pPr>
              <w:spacing w:after="0" w:line="20" w:lineRule="exact"/>
              <w:rPr>
                <w:sz w:val="1"/>
                <w:szCs w:val="1"/>
                <w:color w:val="auto"/>
              </w:rPr>
            </w:pPr>
          </w:p>
        </w:tc>
        <w:tc>
          <w:tcPr>
            <w:tcW w:w="300" w:type="dxa"/>
            <w:vAlign w:val="bottom"/>
            <w:tcBorders>
              <w:right w:val="single" w:sz="8" w:color="71BF43"/>
            </w:tcBorders>
            <w:shd w:val="clear" w:color="auto" w:fill="71BF43"/>
          </w:tcPr>
          <w:p>
            <w:pPr>
              <w:spacing w:after="0" w:line="20" w:lineRule="exact"/>
              <w:rPr>
                <w:sz w:val="1"/>
                <w:szCs w:val="1"/>
                <w:color w:val="auto"/>
              </w:rPr>
            </w:pPr>
          </w:p>
        </w:tc>
        <w:tc>
          <w:tcPr>
            <w:tcW w:w="8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1640" w:type="dxa"/>
            <w:vAlign w:val="bottom"/>
            <w:shd w:val="clear" w:color="auto" w:fill="71BF43"/>
          </w:tcPr>
          <w:p>
            <w:pPr>
              <w:spacing w:after="0" w:line="20" w:lineRule="exact"/>
              <w:rPr>
                <w:sz w:val="1"/>
                <w:szCs w:val="1"/>
                <w:color w:val="auto"/>
              </w:rPr>
            </w:pPr>
          </w:p>
        </w:tc>
        <w:tc>
          <w:tcPr>
            <w:tcW w:w="18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c>
          <w:tcPr>
            <w:tcW w:w="22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-3616960</wp:posOffset>
            </wp:positionV>
            <wp:extent cx="162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-3616960</wp:posOffset>
            </wp:positionV>
            <wp:extent cx="162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-436880</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-899160</wp:posOffset>
            </wp:positionV>
            <wp:extent cx="54006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The estimated accumulated other comprehensive loss as of June 30, 2021 that is expected to be reclassified into earnings within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217805</wp:posOffset>
            </wp:positionV>
            <wp:extent cx="65976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is $1.2 million. There were no ineffective portions of our interest rate swap derivatives during the six months ended June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Note 12 for a summary of the changes in accumulated other comprehensive income (loss) by component.</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have operating leases for corporate offices, subleased offices and certain equipment and furniture. As of June 30, 2021, we did not have any operating leases that had not yet commenced.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5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4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388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560" w:type="dxa"/>
            <w:vAlign w:val="bottom"/>
            <w:tcBorders>
              <w:right w:val="single" w:sz="8" w:color="ACACAC"/>
            </w:tcBorders>
            <w:shd w:val="clear" w:color="auto" w:fill="ACACAC"/>
          </w:tcPr>
          <w:p>
            <w:pPr>
              <w:jc w:val="center"/>
              <w:ind w:left="818"/>
              <w:spacing w:after="0"/>
              <w:rPr>
                <w:sz w:val="20"/>
                <w:szCs w:val="20"/>
                <w:color w:val="auto"/>
              </w:rPr>
            </w:pPr>
            <w:r>
              <w:rPr>
                <w:rFonts w:ascii="Arial" w:cs="Arial" w:eastAsia="Arial" w:hAnsi="Arial"/>
                <w:sz w:val="14"/>
                <w:szCs w:val="14"/>
                <w:b w:val="1"/>
                <w:bCs w:val="1"/>
                <w:color w:val="FFFFFF"/>
              </w:rPr>
              <w:t>June 30,</w:t>
            </w:r>
          </w:p>
        </w:tc>
        <w:tc>
          <w:tcPr>
            <w:tcW w:w="80" w:type="dxa"/>
            <w:vAlign w:val="bottom"/>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4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38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20" w:type="dxa"/>
            <w:vAlign w:val="bottom"/>
            <w:tcBorders>
              <w:bottom w:val="single" w:sz="8" w:color="ACACAC"/>
            </w:tcBorders>
            <w:shd w:val="clear" w:color="auto" w:fill="ACACAC"/>
          </w:tcPr>
          <w:p>
            <w:pPr>
              <w:spacing w:after="0"/>
              <w:rPr>
                <w:sz w:val="20"/>
                <w:szCs w:val="20"/>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tcBorders>
              <w:bottom w:val="single" w:sz="8" w:color="ACACAC"/>
            </w:tcBorders>
            <w:shd w:val="clear" w:color="auto" w:fill="ACACAC"/>
          </w:tcPr>
          <w:p>
            <w:pPr>
              <w:spacing w:after="0"/>
              <w:rPr>
                <w:sz w:val="20"/>
                <w:szCs w:val="20"/>
                <w:color w:val="auto"/>
              </w:rPr>
            </w:pPr>
          </w:p>
        </w:tc>
        <w:tc>
          <w:tcPr>
            <w:tcW w:w="15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80" w:type="dxa"/>
            <w:vAlign w:val="bottom"/>
          </w:tcPr>
          <w:p>
            <w:pPr>
              <w:spacing w:after="0"/>
              <w:rPr>
                <w:sz w:val="20"/>
                <w:szCs w:val="20"/>
                <w:color w:val="auto"/>
              </w:rPr>
            </w:pPr>
          </w:p>
        </w:tc>
        <w:tc>
          <w:tcPr>
            <w:tcW w:w="740" w:type="dxa"/>
            <w:vAlign w:val="bottom"/>
            <w:tcBorders>
              <w:bottom w:val="single" w:sz="8" w:color="ACACAC"/>
            </w:tcBorders>
            <w:shd w:val="clear" w:color="auto" w:fill="ACACAC"/>
          </w:tcPr>
          <w:p>
            <w:pPr>
              <w:spacing w:after="0"/>
              <w:rPr>
                <w:sz w:val="20"/>
                <w:szCs w:val="20"/>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00" w:type="dxa"/>
            <w:vAlign w:val="bottom"/>
            <w:tcBorders>
              <w:bottom w:val="single" w:sz="8" w:color="ACACAC"/>
            </w:tcBorders>
            <w:shd w:val="clear" w:color="auto" w:fill="ACACAC"/>
          </w:tcPr>
          <w:p>
            <w:pPr>
              <w:spacing w:after="0"/>
              <w:rPr>
                <w:sz w:val="20"/>
                <w:szCs w:val="20"/>
                <w:color w:val="auto"/>
              </w:rPr>
            </w:pPr>
          </w:p>
        </w:tc>
        <w:tc>
          <w:tcPr>
            <w:tcW w:w="14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324"/>
        </w:trPr>
        <w:tc>
          <w:tcPr>
            <w:tcW w:w="3880" w:type="dxa"/>
            <w:vAlign w:val="bottom"/>
          </w:tcPr>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2,372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ind w:left="838"/>
              <w:spacing w:after="0"/>
              <w:rPr>
                <w:sz w:val="20"/>
                <w:szCs w:val="20"/>
                <w:color w:val="auto"/>
              </w:rPr>
            </w:pPr>
            <w:r>
              <w:rPr>
                <w:rFonts w:ascii="Arial" w:cs="Arial" w:eastAsia="Arial" w:hAnsi="Arial"/>
                <w:sz w:val="18"/>
                <w:szCs w:val="18"/>
                <w:color w:val="auto"/>
                <w:w w:val="97"/>
              </w:rPr>
              <w:t>6,281</w:t>
            </w:r>
          </w:p>
        </w:tc>
        <w:tc>
          <w:tcPr>
            <w:tcW w:w="8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5,213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12,592</w:t>
            </w:r>
          </w:p>
        </w:tc>
        <w:tc>
          <w:tcPr>
            <w:tcW w:w="20" w:type="dxa"/>
            <w:vAlign w:val="bottom"/>
          </w:tcPr>
          <w:p>
            <w:pPr>
              <w:spacing w:after="0"/>
              <w:rPr>
                <w:sz w:val="24"/>
                <w:szCs w:val="24"/>
                <w:color w:val="auto"/>
              </w:rPr>
            </w:pPr>
          </w:p>
        </w:tc>
      </w:tr>
      <w:tr>
        <w:trPr>
          <w:trHeight w:val="250"/>
        </w:trPr>
        <w:tc>
          <w:tcPr>
            <w:tcW w:w="38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Variable lease cost</w:t>
            </w:r>
          </w:p>
        </w:tc>
        <w:tc>
          <w:tcPr>
            <w:tcW w:w="7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right w:val="single" w:sz="8" w:color="F4F4F4"/>
            </w:tcBorders>
            <w:shd w:val="clear" w:color="auto" w:fill="F4F4F4"/>
          </w:tcPr>
          <w:p>
            <w:pPr>
              <w:jc w:val="center"/>
              <w:ind w:left="838"/>
              <w:spacing w:after="0"/>
              <w:rPr>
                <w:sz w:val="20"/>
                <w:szCs w:val="20"/>
                <w:color w:val="auto"/>
              </w:rPr>
            </w:pPr>
            <w:r>
              <w:rPr>
                <w:rFonts w:ascii="Arial" w:cs="Arial" w:eastAsia="Arial" w:hAnsi="Arial"/>
                <w:sz w:val="18"/>
                <w:szCs w:val="18"/>
                <w:color w:val="auto"/>
                <w:w w:val="97"/>
              </w:rPr>
              <w:t>1,113</w:t>
            </w:r>
          </w:p>
        </w:tc>
        <w:tc>
          <w:tcPr>
            <w:tcW w:w="80" w:type="dxa"/>
            <w:vAlign w:val="bottom"/>
            <w:tcBorders>
              <w:bottom w:val="single" w:sz="8" w:color="F4F4F4"/>
            </w:tcBorders>
            <w:shd w:val="clear" w:color="auto" w:fill="F4F4F4"/>
          </w:tcPr>
          <w:p>
            <w:pPr>
              <w:spacing w:after="0"/>
              <w:rPr>
                <w:sz w:val="21"/>
                <w:szCs w:val="21"/>
                <w:color w:val="auto"/>
              </w:rPr>
            </w:pPr>
          </w:p>
        </w:tc>
        <w:tc>
          <w:tcPr>
            <w:tcW w:w="74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1,398</w:t>
            </w:r>
          </w:p>
        </w:tc>
        <w:tc>
          <w:tcPr>
            <w:tcW w:w="30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2,371</w:t>
            </w:r>
          </w:p>
        </w:tc>
        <w:tc>
          <w:tcPr>
            <w:tcW w:w="20" w:type="dxa"/>
            <w:vAlign w:val="bottom"/>
          </w:tcPr>
          <w:p>
            <w:pPr>
              <w:spacing w:after="0"/>
              <w:rPr>
                <w:sz w:val="21"/>
                <w:szCs w:val="2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(826)</w:t>
            </w: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21"/>
                <w:szCs w:val="21"/>
                <w:color w:val="auto"/>
              </w:rPr>
            </w:pPr>
          </w:p>
        </w:tc>
      </w:tr>
      <w:tr>
        <w:trPr>
          <w:trHeight w:val="27"/>
        </w:trPr>
        <w:tc>
          <w:tcPr>
            <w:tcW w:w="3880" w:type="dxa"/>
            <w:vAlign w:val="bottom"/>
            <w:tcBorders>
              <w:bottom w:val="single" w:sz="8" w:color="F4F4F4"/>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38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Net lease cost</w:t>
            </w:r>
          </w:p>
        </w:tc>
        <w:tc>
          <w:tcPr>
            <w:tcW w:w="720" w:type="dxa"/>
            <w:vAlign w:val="bottom"/>
            <w:tcBorders>
              <w:bottom w:val="single" w:sz="8" w:color="F4F4F4"/>
            </w:tcBorders>
            <w:shd w:val="clear" w:color="auto" w:fill="F4F4F4"/>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2,705</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F4F4F4"/>
              <w:right w:val="single" w:sz="8" w:color="F4F4F4"/>
            </w:tcBorders>
            <w:shd w:val="clear" w:color="auto" w:fill="F4F4F4"/>
          </w:tcPr>
          <w:p>
            <w:pPr>
              <w:jc w:val="center"/>
              <w:ind w:left="838"/>
              <w:spacing w:after="0"/>
              <w:rPr>
                <w:sz w:val="20"/>
                <w:szCs w:val="20"/>
                <w:color w:val="auto"/>
              </w:rPr>
            </w:pPr>
            <w:r>
              <w:rPr>
                <w:rFonts w:ascii="Arial" w:cs="Arial" w:eastAsia="Arial" w:hAnsi="Arial"/>
                <w:sz w:val="18"/>
                <w:szCs w:val="18"/>
                <w:color w:val="auto"/>
                <w:w w:val="97"/>
              </w:rPr>
              <w:t>6,454</w:t>
            </w:r>
          </w:p>
        </w:tc>
        <w:tc>
          <w:tcPr>
            <w:tcW w:w="820" w:type="dxa"/>
            <w:vAlign w:val="bottom"/>
            <w:tcBorders>
              <w:bottom w:val="single" w:sz="8" w:color="F4F4F4"/>
            </w:tcBorders>
            <w:gridSpan w:val="2"/>
            <w:shd w:val="clear" w:color="auto" w:fill="F4F4F4"/>
          </w:tcPr>
          <w:p>
            <w:pPr>
              <w:jc w:val="right"/>
              <w:ind w:right="6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5,785</w:t>
            </w:r>
          </w:p>
        </w:tc>
        <w:tc>
          <w:tcPr>
            <w:tcW w:w="30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13,110</w:t>
            </w:r>
          </w:p>
        </w:tc>
        <w:tc>
          <w:tcPr>
            <w:tcW w:w="20" w:type="dxa"/>
            <w:vAlign w:val="bottom"/>
          </w:tcPr>
          <w:p>
            <w:pPr>
              <w:spacing w:after="0"/>
              <w:rPr>
                <w:sz w:val="21"/>
                <w:szCs w:val="21"/>
                <w:color w:val="auto"/>
              </w:rPr>
            </w:pPr>
          </w:p>
        </w:tc>
      </w:tr>
      <w:tr>
        <w:trPr>
          <w:trHeight w:val="20"/>
        </w:trPr>
        <w:tc>
          <w:tcPr>
            <w:tcW w:w="3880" w:type="dxa"/>
            <w:vAlign w:val="bottom"/>
            <w:shd w:val="clear" w:color="auto" w:fill="71BF43"/>
          </w:tcPr>
          <w:p>
            <w:pPr>
              <w:spacing w:after="0" w:line="20" w:lineRule="exact"/>
              <w:rPr>
                <w:sz w:val="1"/>
                <w:szCs w:val="1"/>
                <w:color w:val="auto"/>
              </w:rPr>
            </w:pPr>
          </w:p>
        </w:tc>
        <w:tc>
          <w:tcPr>
            <w:tcW w:w="72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220" w:type="dxa"/>
            <w:vAlign w:val="bottom"/>
            <w:shd w:val="clear" w:color="auto" w:fill="71BF43"/>
          </w:tcPr>
          <w:p>
            <w:pPr>
              <w:spacing w:after="0" w:line="20" w:lineRule="exact"/>
              <w:rPr>
                <w:sz w:val="1"/>
                <w:szCs w:val="1"/>
                <w:color w:val="auto"/>
              </w:rPr>
            </w:pPr>
          </w:p>
        </w:tc>
        <w:tc>
          <w:tcPr>
            <w:tcW w:w="1560" w:type="dxa"/>
            <w:vAlign w:val="bottom"/>
            <w:tcBorders>
              <w:right w:val="single" w:sz="8" w:color="71BF43"/>
            </w:tcBorders>
            <w:shd w:val="clear" w:color="auto" w:fill="71BF43"/>
          </w:tcPr>
          <w:p>
            <w:pPr>
              <w:spacing w:after="0" w:line="20" w:lineRule="exact"/>
              <w:rPr>
                <w:sz w:val="1"/>
                <w:szCs w:val="1"/>
                <w:color w:val="auto"/>
              </w:rPr>
            </w:pPr>
          </w:p>
        </w:tc>
        <w:tc>
          <w:tcPr>
            <w:tcW w:w="80" w:type="dxa"/>
            <w:vAlign w:val="bottom"/>
            <w:shd w:val="clear" w:color="auto" w:fill="71BF43"/>
          </w:tcPr>
          <w:p>
            <w:pPr>
              <w:spacing w:after="0" w:line="20" w:lineRule="exact"/>
              <w:rPr>
                <w:sz w:val="1"/>
                <w:szCs w:val="1"/>
                <w:color w:val="auto"/>
              </w:rPr>
            </w:pPr>
          </w:p>
        </w:tc>
        <w:tc>
          <w:tcPr>
            <w:tcW w:w="74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4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-890905</wp:posOffset>
            </wp:positionV>
            <wp:extent cx="46805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short-term lease costs, which were immaterial.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have contractual obligations for third-party technology used in our solutions and for other services we purchase as part of our normal operations. In certain cases, these arrangements require a minimum annual purchase commitment by us. As of June 30, 2021, the remaining aggregate minimum purchase commitment under these arrangements was approximately $45.0 million through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 and service indemnifications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the ordinary course of business, we provide certain indemnifications of varying scope to customers against claims of intellectual property infringement made by third parties arising from the use of our solutions or services. If we determine that it is probable that a loss has been incurred related to solution or service indemnifications, any such loss that could be reasonably estimated would be recognized. We have not identified any losses and, accordingly, we have not recorded a liability related to these indemnifications.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We are subject to legal proceedings and claims that arise in the ordinary course of business, as well as certain other non-ordinary course proceedings, claims and inquiries,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w:t>
      </w:r>
    </w:p>
    <w:p>
      <w:pPr>
        <w:spacing w:after="0" w:line="33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16</w:t>
      </w:r>
      <w:r>
        <w:rPr>
          <w:sz w:val="20"/>
          <w:szCs w:val="20"/>
          <w:color w:val="auto"/>
        </w:rPr>
        <w:tab/>
      </w:r>
      <w:r>
        <w:rPr>
          <w:sz w:val="1"/>
          <w:szCs w:val="1"/>
          <w:color w:val="auto"/>
        </w:rPr>
        <w:drawing>
          <wp:inline distT="0" distB="0" distL="0" distR="0">
            <wp:extent cx="651510" cy="1714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recognize insurance recoveries, if any, when they are probable of receipt. All associated costs due to third-party service providers and consultants, including legal fees, are expensed as incurred.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have no reason to believe that any data went beyond the cybercriminal, was or will be misused, or will be disseminated or otherwise made available publicly. Our investigation into the Security Incident by our cybersecurity team and third-party forensic advisors remains ongoing.</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result of the Security Incident, we are currently subject to certain legal proceedings, claims, inquiries and investigations, as discussed below, and could be the subject of additional legal proceedings, claims, inquires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has reduced our financial exposure related to the Security Incident, and we will continue to seek recoveries under these insurance policies. Based on our review of expenses incurred to date, and upon consideration of the number of matters outstanding (as described below), we believe it is probable that total losses related to the Security Incident will ultimately exceed the limits of our insurance coverage. However, we are currently unable to determine when that will be the case nor are we able to determine the approximate amount or range of any such excess.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three and six months ended June 30, 2021, we recorded $11.7 million and $24.4 million, respectively, of expenses related to the Security Incident and offsetting probable insurance recoveries of $11.2 million and $23.9 million, respectively. As of June 30, 2021, we have recorded cumulative expenses related to the Security Incident of $34.2 million and cumulative probable insurance recoveries of $33.3 million. Due to the time required to submit and process such insurance claims, we have not yet received all of the accrued insurance recoveries. Of the insurance recoveries recorded, $10.0 million had been paid as of June 30, 2021. Recorded expenses consisted primarily of payments to third-party service providers and consultants, including legal fees. We present expenses and insurance recoveries related to the Security Incident in general and administrative expense on our condensed consolidated statements of comprehensive income and as operating activities on our condensed consolidated statements of cash flows. We expect to continue to experience significant expenses related to our response to the Security Incident, resolution of legal proceedings, claims, inquiries and investigations discussed below, and our efforts to further enhance our security measures, and those expenses may be material.</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our analysis of the factors described above, we have not recorded a liability related to the Security Incident as of June 30, 2021 because we are unable at this time to reasonably estimate the possible loss or range of loss.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Customer claims. </w:t>
      </w:r>
      <w:r>
        <w:rPr>
          <w:rFonts w:ascii="Arial" w:cs="Arial" w:eastAsia="Arial" w:hAnsi="Arial"/>
          <w:sz w:val="18"/>
          <w:szCs w:val="18"/>
          <w:color w:val="auto"/>
        </w:rPr>
        <w:t>To date, we have received approximately 260 specific requests for reimbursement of expenses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Requests") and approximately 400 reservations of the right to seek expense recovery in the future from customers or their attorneys in the U.S., U.K. and Canada related to the Security Incident (none of which have as yet been filed in court and only one of which is in arbitration). Of the Customer Reimbursement Requests received to date, approximately 160 have been fully resolved and closed. Customer claims generally seek reimbursement of their costs and expenses associated with notifying their own customers of the Security Incident and taking steps to assure that personal information has not been compromised as a result of the Security Incident. Our review of customer claims includes analyzing individual customer contracts into which we have entered, the specific claims made and applicable law.</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Customer constituent class actions. </w:t>
      </w:r>
      <w:r>
        <w:rPr>
          <w:rFonts w:ascii="Arial" w:cs="Arial" w:eastAsia="Arial" w:hAnsi="Arial"/>
          <w:sz w:val="18"/>
          <w:szCs w:val="18"/>
          <w:color w:val="auto"/>
        </w:rPr>
        <w:t>Presently, we are a defendant in 29 putative consumer class action cases [27 in U.S. federal courts</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which have been consolidated under multi district litigation to a single federal court) and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200025</wp:posOffset>
            </wp:positionV>
            <wp:extent cx="65976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spacing w:after="0" w:line="15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spacing w:after="0" w:line="15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Furthermore, for putative class actions, it is often not possible to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spacing w:after="0" w:line="13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i w:val="1"/>
          <w:iCs w:val="1"/>
          <w:color w:val="auto"/>
        </w:rPr>
        <w:t xml:space="preserve">Governmental inquiries and investigations. </w:t>
      </w:r>
      <w:r>
        <w:rPr>
          <w:rFonts w:ascii="Arial" w:cs="Arial" w:eastAsia="Arial" w:hAnsi="Arial"/>
          <w:sz w:val="18"/>
          <w:szCs w:val="18"/>
          <w:color w:val="auto"/>
        </w:rPr>
        <w:t>To date, we have received a consolidated, multi-state Civil Investigative Demand issued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47 state Attorneys General and the District of Columbia and separate Civil Investigative Demands from the offices of the Illinois Attorney General and the California Attorney General relating to the Security Incident. In addition, we have received communications, inquires and requests from the U.S. Federal Trade Commission, the SEC, the U.S. Department of Health and Human Services, the Information Commissioner’s Office in the United Kingdom under the U.K. Data Protection Act 2018, the Office of the Australian Information Commissioner, the Office of the Privacy Commissioner of Canada and the Spanish Data Protection Agency. We are cooperating with these offices and responding to their inquiries, which include various requests for documents, policies, narratives and communications, as well as requests to interview or depose various Company-related personnel. As noted above, each of these separate governmental inquiries and investigations could result in adverse judgements, settlements, fines, penalties, or other resolution, the amount, scope and timing of which we are currently unable to predict, but could be material.</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10.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and effective income tax rates, including the effects of period-specific events, were: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152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08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0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50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60" w:type="dxa"/>
            <w:vAlign w:val="bottom"/>
            <w:tcBorders>
              <w:bottom w:val="single" w:sz="8" w:color="ACACAC"/>
            </w:tcBorders>
            <w:shd w:val="clear" w:color="auto" w:fill="ACACAC"/>
          </w:tcPr>
          <w:p>
            <w:pPr>
              <w:spacing w:after="0"/>
              <w:rPr>
                <w:sz w:val="20"/>
                <w:szCs w:val="20"/>
                <w:color w:val="auto"/>
              </w:rPr>
            </w:pPr>
          </w:p>
        </w:tc>
        <w:tc>
          <w:tcPr>
            <w:tcW w:w="10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Borders>
              <w:bottom w:val="single" w:sz="8" w:color="F4F4F4"/>
            </w:tcBorders>
          </w:tcPr>
          <w:p>
            <w:pPr>
              <w:spacing w:after="0"/>
              <w:rPr>
                <w:sz w:val="20"/>
                <w:szCs w:val="20"/>
                <w:color w:val="auto"/>
              </w:rPr>
            </w:pPr>
          </w:p>
        </w:tc>
        <w:tc>
          <w:tcPr>
            <w:tcW w:w="46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0" w:type="dxa"/>
            <w:vAlign w:val="bottom"/>
            <w:tcBorders>
              <w:bottom w:val="single" w:sz="8" w:color="ACACAC"/>
            </w:tcBorders>
            <w:shd w:val="clear" w:color="auto" w:fill="ACACAC"/>
          </w:tcPr>
          <w:p>
            <w:pPr>
              <w:spacing w:after="0"/>
              <w:rPr>
                <w:sz w:val="20"/>
                <w:szCs w:val="20"/>
                <w:color w:val="auto"/>
              </w:rPr>
            </w:pPr>
          </w:p>
        </w:tc>
        <w:tc>
          <w:tcPr>
            <w:tcW w:w="13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50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Income tax provision</w:t>
            </w:r>
          </w:p>
        </w:tc>
        <w:tc>
          <w:tcPr>
            <w:tcW w:w="480" w:type="dxa"/>
            <w:vAlign w:val="bottom"/>
            <w:tcBorders>
              <w:bottom w:val="single" w:sz="8" w:color="F4F4F4"/>
            </w:tcBorders>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rPr>
              <w:t>1,745</w:t>
            </w:r>
          </w:p>
        </w:tc>
        <w:tc>
          <w:tcPr>
            <w:tcW w:w="460" w:type="dxa"/>
            <w:vAlign w:val="bottom"/>
            <w:tcBorders>
              <w:bottom w:val="single" w:sz="8" w:color="F4F4F4"/>
            </w:tcBorders>
            <w:shd w:val="clear" w:color="auto" w:fill="F4F4F4"/>
          </w:tcPr>
          <w:p>
            <w:pPr>
              <w:jc w:val="right"/>
              <w:ind w:right="25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right w:val="single" w:sz="8" w:color="F4F4F4"/>
            </w:tcBorders>
            <w:shd w:val="clear" w:color="auto" w:fill="F4F4F4"/>
          </w:tcPr>
          <w:p>
            <w:pPr>
              <w:jc w:val="right"/>
              <w:ind w:right="179"/>
              <w:spacing w:after="0"/>
              <w:rPr>
                <w:sz w:val="20"/>
                <w:szCs w:val="20"/>
                <w:color w:val="auto"/>
              </w:rPr>
            </w:pPr>
            <w:r>
              <w:rPr>
                <w:rFonts w:ascii="Arial" w:cs="Arial" w:eastAsia="Arial" w:hAnsi="Arial"/>
                <w:sz w:val="18"/>
                <w:szCs w:val="18"/>
                <w:color w:val="auto"/>
              </w:rPr>
              <w:t>4,496</w:t>
            </w:r>
          </w:p>
        </w:tc>
        <w:tc>
          <w:tcPr>
            <w:tcW w:w="560" w:type="dxa"/>
            <w:vAlign w:val="bottom"/>
            <w:tcBorders>
              <w:bottom w:val="single" w:sz="8" w:color="F4F4F4"/>
            </w:tcBorders>
            <w:gridSpan w:val="2"/>
            <w:shd w:val="clear" w:color="auto" w:fill="F4F4F4"/>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rPr>
              <w:t>2,429</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F4F4F4"/>
            </w:tcBorders>
            <w:shd w:val="clear" w:color="auto" w:fill="F4F4F4"/>
          </w:tcPr>
          <w:p>
            <w:pPr>
              <w:jc w:val="right"/>
              <w:ind w:right="161"/>
              <w:spacing w:after="0"/>
              <w:rPr>
                <w:sz w:val="20"/>
                <w:szCs w:val="20"/>
                <w:color w:val="auto"/>
              </w:rPr>
            </w:pPr>
            <w:r>
              <w:rPr>
                <w:rFonts w:ascii="Arial" w:cs="Arial" w:eastAsia="Arial" w:hAnsi="Arial"/>
                <w:sz w:val="18"/>
                <w:szCs w:val="18"/>
                <w:color w:val="auto"/>
              </w:rPr>
              <w:t>5,192</w:t>
            </w:r>
          </w:p>
        </w:tc>
        <w:tc>
          <w:tcPr>
            <w:tcW w:w="20" w:type="dxa"/>
            <w:vAlign w:val="bottom"/>
          </w:tcPr>
          <w:p>
            <w:pPr>
              <w:spacing w:after="0"/>
              <w:rPr>
                <w:sz w:val="21"/>
                <w:szCs w:val="2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20.6 %</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27.0 %</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24.0 %</w:t>
            </w:r>
          </w:p>
        </w:tc>
        <w:tc>
          <w:tcPr>
            <w:tcW w:w="20" w:type="dxa"/>
            <w:vAlign w:val="bottom"/>
          </w:tcPr>
          <w:p>
            <w:pPr>
              <w:spacing w:after="0"/>
              <w:rPr>
                <w:sz w:val="21"/>
                <w:szCs w:val="21"/>
                <w:color w:val="auto"/>
              </w:rPr>
            </w:pPr>
          </w:p>
        </w:tc>
      </w:tr>
      <w:tr>
        <w:trPr>
          <w:trHeight w:val="27"/>
        </w:trPr>
        <w:tc>
          <w:tcPr>
            <w:tcW w:w="5080" w:type="dxa"/>
            <w:vAlign w:val="bottom"/>
            <w:tcBorders>
              <w:bottom w:val="single" w:sz="8" w:color="71BF43"/>
            </w:tcBorders>
          </w:tcPr>
          <w:p>
            <w:pPr>
              <w:spacing w:after="0"/>
              <w:rPr>
                <w:sz w:val="2"/>
                <w:szCs w:val="2"/>
                <w:color w:val="auto"/>
              </w:rPr>
            </w:pPr>
          </w:p>
        </w:tc>
        <w:tc>
          <w:tcPr>
            <w:tcW w:w="480" w:type="dxa"/>
            <w:vAlign w:val="bottom"/>
            <w:tcBorders>
              <w:bottom w:val="single" w:sz="8" w:color="71BF43"/>
            </w:tcBorders>
          </w:tcPr>
          <w:p>
            <w:pPr>
              <w:spacing w:after="0"/>
              <w:rPr>
                <w:sz w:val="2"/>
                <w:szCs w:val="2"/>
                <w:color w:val="auto"/>
              </w:rPr>
            </w:pPr>
          </w:p>
        </w:tc>
        <w:tc>
          <w:tcPr>
            <w:tcW w:w="1040" w:type="dxa"/>
            <w:vAlign w:val="bottom"/>
            <w:tcBorders>
              <w:bottom w:val="single" w:sz="8" w:color="71BF43"/>
            </w:tcBorders>
          </w:tcPr>
          <w:p>
            <w:pPr>
              <w:spacing w:after="0"/>
              <w:rPr>
                <w:sz w:val="2"/>
                <w:szCs w:val="2"/>
                <w:color w:val="auto"/>
              </w:rPr>
            </w:pPr>
          </w:p>
        </w:tc>
        <w:tc>
          <w:tcPr>
            <w:tcW w:w="46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460" w:type="dxa"/>
            <w:vAlign w:val="bottom"/>
            <w:tcBorders>
              <w:bottom w:val="single" w:sz="8" w:color="71BF43"/>
            </w:tcBorders>
          </w:tcPr>
          <w:p>
            <w:pPr>
              <w:spacing w:after="0"/>
              <w:rPr>
                <w:sz w:val="2"/>
                <w:szCs w:val="2"/>
                <w:color w:val="auto"/>
              </w:rPr>
            </w:pPr>
          </w:p>
        </w:tc>
        <w:tc>
          <w:tcPr>
            <w:tcW w:w="1040" w:type="dxa"/>
            <w:vAlign w:val="bottom"/>
            <w:tcBorders>
              <w:bottom w:val="single" w:sz="8" w:color="71BF43"/>
            </w:tcBorders>
          </w:tcPr>
          <w:p>
            <w:pPr>
              <w:spacing w:after="0"/>
              <w:rPr>
                <w:sz w:val="2"/>
                <w:szCs w:val="2"/>
                <w:color w:val="auto"/>
              </w:rPr>
            </w:pPr>
          </w:p>
        </w:tc>
        <w:tc>
          <w:tcPr>
            <w:tcW w:w="200" w:type="dxa"/>
            <w:vAlign w:val="bottom"/>
            <w:tcBorders>
              <w:bottom w:val="single" w:sz="8" w:color="71BF43"/>
            </w:tcBorders>
          </w:tcPr>
          <w:p>
            <w:pPr>
              <w:spacing w:after="0"/>
              <w:rPr>
                <w:sz w:val="2"/>
                <w:szCs w:val="2"/>
                <w:color w:val="auto"/>
              </w:rPr>
            </w:pPr>
          </w:p>
        </w:tc>
        <w:tc>
          <w:tcPr>
            <w:tcW w:w="132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-504825</wp:posOffset>
            </wp:positionV>
            <wp:extent cx="39173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2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decrease in our effective income tax rate for the three months ended June 30, 2021, when compared to the same period in 2020, was primarily attributable to a 2021 discrete tax benefit against lower pre-tax income. The 2020 effective income tax rate was negatively impacted by discrete adjustments comprised of tax expense attributable to stock-based compensation and unrecognized tax benefits net of benefit attributable to deferred tax adjustment. The 2021 effective income tax rate was positively impacted by increased tax benefit attributable to stock-based compensation offset against tax expense attributable to a corporate income tax rate increase enacted during the period against lower pre-tax income.</w:t>
      </w:r>
    </w:p>
    <w:p>
      <w:pPr>
        <w:spacing w:after="0" w:line="1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increase in our effective income tax rate for the six months ended June 30, 2021 when compared to the same periods in 2020, was primarily attributable to the impact of non deductible expenses against lower pre-tax income.</w:t>
      </w:r>
    </w:p>
    <w:p>
      <w:pPr>
        <w:spacing w:after="0" w:line="31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18</w:t>
      </w:r>
      <w:r>
        <w:rPr>
          <w:sz w:val="20"/>
          <w:szCs w:val="20"/>
          <w:color w:val="auto"/>
        </w:rPr>
        <w:tab/>
      </w:r>
      <w:r>
        <w:rPr>
          <w:sz w:val="1"/>
          <w:szCs w:val="1"/>
          <w:color w:val="auto"/>
        </w:rPr>
        <w:drawing>
          <wp:inline distT="0" distB="0" distL="0" distR="0">
            <wp:extent cx="651510" cy="1714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11.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Stock-based compensation expense is allocated to cost of revenue and operating expenses on the condensed consolidated statements of comprehensive income based on where the associated employee’s compensation is recorded. The following table summarizes stock-based compensation expense: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10" w:type="dxa"/>
            <w:vAlign w:val="bottom"/>
            <w:shd w:val="clear" w:color="auto" w:fill="ACACAC"/>
          </w:tcPr>
          <w:p>
            <w:pPr>
              <w:spacing w:after="0"/>
              <w:rPr>
                <w:sz w:val="16"/>
                <w:szCs w:val="16"/>
                <w:color w:val="auto"/>
              </w:rPr>
            </w:pPr>
          </w:p>
        </w:tc>
        <w:tc>
          <w:tcPr>
            <w:tcW w:w="281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1410" w:type="dxa"/>
            <w:vAlign w:val="bottom"/>
            <w:shd w:val="clear" w:color="auto" w:fill="ACACAC"/>
          </w:tcPr>
          <w:p>
            <w:pPr>
              <w:spacing w:after="0"/>
              <w:rPr>
                <w:sz w:val="16"/>
                <w:szCs w:val="16"/>
                <w:color w:val="auto"/>
              </w:rPr>
            </w:pPr>
          </w:p>
        </w:tc>
        <w:tc>
          <w:tcPr>
            <w:tcW w:w="143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r>
      <w:tr>
        <w:trPr>
          <w:trHeight w:val="190"/>
        </w:trPr>
        <w:tc>
          <w:tcPr>
            <w:tcW w:w="5510" w:type="dxa"/>
            <w:vAlign w:val="bottom"/>
            <w:shd w:val="clear" w:color="auto" w:fill="ACACAC"/>
          </w:tcPr>
          <w:p>
            <w:pPr>
              <w:spacing w:after="0"/>
              <w:rPr>
                <w:sz w:val="16"/>
                <w:szCs w:val="16"/>
                <w:color w:val="auto"/>
              </w:rPr>
            </w:pPr>
          </w:p>
        </w:tc>
        <w:tc>
          <w:tcPr>
            <w:tcW w:w="1400" w:type="dxa"/>
            <w:vAlign w:val="bottom"/>
            <w:shd w:val="clear" w:color="auto" w:fill="ACACAC"/>
          </w:tcPr>
          <w:p>
            <w:pPr>
              <w:spacing w:after="0"/>
              <w:rPr>
                <w:sz w:val="16"/>
                <w:szCs w:val="16"/>
                <w:color w:val="auto"/>
              </w:rPr>
            </w:pPr>
          </w:p>
        </w:tc>
        <w:tc>
          <w:tcPr>
            <w:tcW w:w="14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1410" w:type="dxa"/>
            <w:vAlign w:val="bottom"/>
            <w:shd w:val="clear" w:color="auto" w:fill="ACACAC"/>
          </w:tcPr>
          <w:p>
            <w:pPr>
              <w:spacing w:after="0"/>
              <w:rPr>
                <w:sz w:val="16"/>
                <w:szCs w:val="16"/>
                <w:color w:val="auto"/>
              </w:rPr>
            </w:pPr>
          </w:p>
        </w:tc>
        <w:tc>
          <w:tcPr>
            <w:tcW w:w="143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30"/>
        </w:trPr>
        <w:tc>
          <w:tcPr>
            <w:tcW w:w="551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4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Pr>
          <w:p>
            <w:pPr>
              <w:spacing w:after="0"/>
              <w:rPr>
                <w:sz w:val="19"/>
                <w:szCs w:val="19"/>
                <w:color w:val="auto"/>
              </w:rPr>
            </w:pPr>
          </w:p>
        </w:tc>
        <w:tc>
          <w:tcPr>
            <w:tcW w:w="14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3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6"/>
        </w:trPr>
        <w:tc>
          <w:tcPr>
            <w:tcW w:w="5510" w:type="dxa"/>
            <w:vAlign w:val="bottom"/>
            <w:shd w:val="clear" w:color="auto" w:fill="ACACAC"/>
          </w:tcPr>
          <w:p>
            <w:pPr>
              <w:spacing w:after="0"/>
              <w:rPr>
                <w:sz w:val="2"/>
                <w:szCs w:val="2"/>
                <w:color w:val="auto"/>
              </w:rPr>
            </w:pPr>
          </w:p>
        </w:tc>
        <w:tc>
          <w:tcPr>
            <w:tcW w:w="1400" w:type="dxa"/>
            <w:vAlign w:val="bottom"/>
            <w:shd w:val="clear" w:color="auto" w:fill="ACACAC"/>
          </w:tcPr>
          <w:p>
            <w:pPr>
              <w:spacing w:after="0"/>
              <w:rPr>
                <w:sz w:val="2"/>
                <w:szCs w:val="2"/>
                <w:color w:val="auto"/>
              </w:rPr>
            </w:pPr>
          </w:p>
        </w:tc>
        <w:tc>
          <w:tcPr>
            <w:tcW w:w="1410" w:type="dxa"/>
            <w:vAlign w:val="bottom"/>
            <w:shd w:val="clear" w:color="auto" w:fill="ACACAC"/>
          </w:tcPr>
          <w:p>
            <w:pPr>
              <w:spacing w:after="0"/>
              <w:rPr>
                <w:sz w:val="2"/>
                <w:szCs w:val="2"/>
                <w:color w:val="auto"/>
              </w:rPr>
            </w:pPr>
          </w:p>
        </w:tc>
        <w:tc>
          <w:tcPr>
            <w:tcW w:w="100" w:type="dxa"/>
            <w:vAlign w:val="bottom"/>
          </w:tcPr>
          <w:p>
            <w:pPr>
              <w:spacing w:after="0"/>
              <w:rPr>
                <w:sz w:val="2"/>
                <w:szCs w:val="2"/>
                <w:color w:val="auto"/>
              </w:rPr>
            </w:pPr>
          </w:p>
        </w:tc>
        <w:tc>
          <w:tcPr>
            <w:tcW w:w="1410" w:type="dxa"/>
            <w:vAlign w:val="bottom"/>
            <w:shd w:val="clear" w:color="auto" w:fill="ACACAC"/>
          </w:tcPr>
          <w:p>
            <w:pPr>
              <w:spacing w:after="0"/>
              <w:rPr>
                <w:sz w:val="2"/>
                <w:szCs w:val="2"/>
                <w:color w:val="auto"/>
              </w:rPr>
            </w:pPr>
          </w:p>
        </w:tc>
        <w:tc>
          <w:tcPr>
            <w:tcW w:w="1430" w:type="dxa"/>
            <w:vAlign w:val="bottom"/>
            <w:shd w:val="clear" w:color="auto" w:fill="ACACA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-153670</wp:posOffset>
            </wp:positionV>
            <wp:extent cx="36518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Included in cost of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Pr>
          <w:p>
            <w:pPr>
              <w:ind w:left="240"/>
              <w:spacing w:after="0"/>
              <w:rPr>
                <w:sz w:val="20"/>
                <w:szCs w:val="20"/>
                <w:color w:val="auto"/>
              </w:rPr>
            </w:pPr>
            <w:r>
              <w:rPr>
                <w:rFonts w:ascii="Arial" w:cs="Arial" w:eastAsia="Arial" w:hAnsi="Arial"/>
                <w:sz w:val="18"/>
                <w:szCs w:val="18"/>
                <w:color w:val="auto"/>
              </w:rPr>
              <w:t>Cost of recurring</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3,492</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5,903</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color w:val="auto"/>
              </w:rPr>
              <w:t>Cost of one-time services and other</w:t>
            </w:r>
          </w:p>
        </w:tc>
        <w:tc>
          <w:tcPr>
            <w:tcW w:w="440" w:type="dxa"/>
            <w:vAlign w:val="bottom"/>
            <w:tcBorders>
              <w:bottom w:val="single" w:sz="8" w:color="F4F4F4"/>
            </w:tcBorders>
            <w:shd w:val="clear" w:color="auto" w:fill="F4F4F4"/>
          </w:tcPr>
          <w:p>
            <w:pPr>
              <w:spacing w:after="0"/>
              <w:rPr>
                <w:sz w:val="23"/>
                <w:szCs w:val="23"/>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1,745</w:t>
            </w:r>
          </w:p>
        </w:tc>
        <w:tc>
          <w:tcPr>
            <w:tcW w:w="48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F4F4F4"/>
            </w:tcBorders>
            <w:shd w:val="clear" w:color="auto" w:fill="F4F4F4"/>
          </w:tcPr>
          <w:p>
            <w:pPr>
              <w:spacing w:after="0"/>
              <w:rPr>
                <w:sz w:val="23"/>
                <w:szCs w:val="23"/>
                <w:color w:val="auto"/>
              </w:rPr>
            </w:pPr>
          </w:p>
        </w:tc>
        <w:tc>
          <w:tcPr>
            <w:tcW w:w="440" w:type="dxa"/>
            <w:vAlign w:val="bottom"/>
            <w:tcBorders>
              <w:bottom w:val="single" w:sz="8" w:color="F4F4F4"/>
            </w:tcBorders>
            <w:shd w:val="clear" w:color="auto" w:fill="F4F4F4"/>
          </w:tcPr>
          <w:p>
            <w:pPr>
              <w:spacing w:after="0"/>
              <w:rPr>
                <w:sz w:val="23"/>
                <w:szCs w:val="23"/>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4,692</w:t>
            </w:r>
          </w:p>
        </w:tc>
        <w:tc>
          <w:tcPr>
            <w:tcW w:w="48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1,814</w:t>
            </w:r>
          </w:p>
        </w:tc>
      </w:tr>
      <w:tr>
        <w:trPr>
          <w:trHeight w:val="237"/>
        </w:trPr>
        <w:tc>
          <w:tcPr>
            <w:tcW w:w="5500" w:type="dxa"/>
            <w:vAlign w:val="bottom"/>
          </w:tcPr>
          <w:p>
            <w:pPr>
              <w:ind w:left="360"/>
              <w:spacing w:after="0"/>
              <w:rPr>
                <w:sz w:val="20"/>
                <w:szCs w:val="20"/>
                <w:color w:val="auto"/>
              </w:rPr>
            </w:pPr>
            <w:r>
              <w:rPr>
                <w:rFonts w:ascii="Arial" w:cs="Arial" w:eastAsia="Arial" w:hAnsi="Arial"/>
                <w:sz w:val="18"/>
                <w:szCs w:val="18"/>
                <w:b w:val="1"/>
                <w:bCs w:val="1"/>
                <w:color w:val="auto"/>
              </w:rPr>
              <w:t>Total included in cost of revenue</w:t>
            </w: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3,435</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Included in operating expenses:</w:t>
            </w:r>
          </w:p>
        </w:tc>
        <w:tc>
          <w:tcPr>
            <w:tcW w:w="44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r>
      <w:tr>
        <w:trPr>
          <w:trHeight w:val="243"/>
        </w:trPr>
        <w:tc>
          <w:tcPr>
            <w:tcW w:w="5500" w:type="dxa"/>
            <w:vAlign w:val="bottom"/>
          </w:tcPr>
          <w:p>
            <w:pPr>
              <w:ind w:left="240"/>
              <w:spacing w:after="0"/>
              <w:rPr>
                <w:sz w:val="20"/>
                <w:szCs w:val="20"/>
                <w:color w:val="auto"/>
              </w:rPr>
            </w:pPr>
            <w:r>
              <w:rPr>
                <w:rFonts w:ascii="Arial" w:cs="Arial" w:eastAsia="Arial" w:hAnsi="Arial"/>
                <w:sz w:val="18"/>
                <w:szCs w:val="18"/>
                <w:color w:val="auto"/>
              </w:rPr>
              <w:t>Sales, marketing and customer success</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4,678</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10,106</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6,081</w:t>
            </w:r>
          </w:p>
        </w:tc>
      </w:tr>
      <w:tr>
        <w:trPr>
          <w:trHeight w:val="27"/>
        </w:trPr>
        <w:tc>
          <w:tcPr>
            <w:tcW w:w="5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color w:val="auto"/>
              </w:rPr>
              <w:t>Research and development</w:t>
            </w:r>
          </w:p>
        </w:tc>
        <w:tc>
          <w:tcPr>
            <w:tcW w:w="44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6,901</w:t>
            </w:r>
          </w:p>
        </w:tc>
        <w:tc>
          <w:tcPr>
            <w:tcW w:w="4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4,348</w:t>
            </w: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13,615</w:t>
            </w:r>
          </w:p>
        </w:tc>
        <w:tc>
          <w:tcPr>
            <w:tcW w:w="4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7,147</w:t>
            </w:r>
          </w:p>
        </w:tc>
      </w:tr>
      <w:tr>
        <w:trPr>
          <w:trHeight w:val="243"/>
        </w:trPr>
        <w:tc>
          <w:tcPr>
            <w:tcW w:w="55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13,733</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26,238</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17,050</w:t>
            </w:r>
          </w:p>
        </w:tc>
      </w:tr>
      <w:tr>
        <w:trPr>
          <w:trHeight w:val="27"/>
        </w:trPr>
        <w:tc>
          <w:tcPr>
            <w:tcW w:w="550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50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b w:val="1"/>
                <w:bCs w:val="1"/>
                <w:color w:val="auto"/>
              </w:rPr>
              <w:t>Total included in operating expenses</w:t>
            </w:r>
          </w:p>
        </w:tc>
        <w:tc>
          <w:tcPr>
            <w:tcW w:w="440" w:type="dxa"/>
            <w:vAlign w:val="bottom"/>
            <w:tcBorders>
              <w:bottom w:val="single" w:sz="8" w:color="F4F4F4"/>
            </w:tcBorders>
            <w:shd w:val="clear" w:color="auto" w:fill="F4F4F4"/>
          </w:tcPr>
          <w:p>
            <w:pPr>
              <w:spacing w:after="0"/>
              <w:rPr>
                <w:sz w:val="22"/>
                <w:szCs w:val="22"/>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25,312</w:t>
            </w:r>
          </w:p>
        </w:tc>
        <w:tc>
          <w:tcPr>
            <w:tcW w:w="480" w:type="dxa"/>
            <w:vAlign w:val="bottom"/>
            <w:tcBorders>
              <w:bottom w:val="single" w:sz="8" w:color="F4F4F4"/>
            </w:tcBorders>
            <w:shd w:val="clear" w:color="auto" w:fill="F4F4F4"/>
          </w:tcPr>
          <w:p>
            <w:pPr>
              <w:spacing w:after="0"/>
              <w:rPr>
                <w:sz w:val="22"/>
                <w:szCs w:val="22"/>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17,563</w:t>
            </w:r>
          </w:p>
        </w:tc>
        <w:tc>
          <w:tcPr>
            <w:tcW w:w="100" w:type="dxa"/>
            <w:vAlign w:val="bottom"/>
            <w:tcBorders>
              <w:bottom w:val="single" w:sz="8" w:color="F4F4F4"/>
            </w:tcBorders>
            <w:shd w:val="clear" w:color="auto" w:fill="F4F4F4"/>
          </w:tcPr>
          <w:p>
            <w:pPr>
              <w:spacing w:after="0"/>
              <w:rPr>
                <w:sz w:val="22"/>
                <w:szCs w:val="22"/>
                <w:color w:val="auto"/>
              </w:rPr>
            </w:pPr>
          </w:p>
        </w:tc>
        <w:tc>
          <w:tcPr>
            <w:tcW w:w="440" w:type="dxa"/>
            <w:vAlign w:val="bottom"/>
            <w:tcBorders>
              <w:bottom w:val="single" w:sz="8" w:color="F4F4F4"/>
            </w:tcBorders>
            <w:shd w:val="clear" w:color="auto" w:fill="F4F4F4"/>
          </w:tcPr>
          <w:p>
            <w:pPr>
              <w:spacing w:after="0"/>
              <w:rPr>
                <w:sz w:val="22"/>
                <w:szCs w:val="22"/>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49,959</w:t>
            </w:r>
          </w:p>
        </w:tc>
        <w:tc>
          <w:tcPr>
            <w:tcW w:w="480" w:type="dxa"/>
            <w:vAlign w:val="bottom"/>
            <w:tcBorders>
              <w:bottom w:val="single" w:sz="8" w:color="F4F4F4"/>
            </w:tcBorders>
            <w:shd w:val="clear" w:color="auto" w:fill="F4F4F4"/>
          </w:tcPr>
          <w:p>
            <w:pPr>
              <w:spacing w:after="0"/>
              <w:rPr>
                <w:sz w:val="22"/>
                <w:szCs w:val="22"/>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30,278</w:t>
            </w:r>
          </w:p>
        </w:tc>
      </w:tr>
      <w:tr>
        <w:trPr>
          <w:trHeight w:val="237"/>
        </w:trPr>
        <w:tc>
          <w:tcPr>
            <w:tcW w:w="5500" w:type="dxa"/>
            <w:vAlign w:val="bottom"/>
          </w:tcPr>
          <w:p>
            <w:pPr>
              <w:ind w:left="440"/>
              <w:spacing w:after="0"/>
              <w:rPr>
                <w:sz w:val="20"/>
                <w:szCs w:val="20"/>
                <w:color w:val="auto"/>
              </w:rPr>
            </w:pPr>
            <w:r>
              <w:rPr>
                <w:rFonts w:ascii="Arial" w:cs="Arial" w:eastAsia="Arial" w:hAnsi="Arial"/>
                <w:sz w:val="18"/>
                <w:szCs w:val="18"/>
                <w:b w:val="1"/>
                <w:bCs w:val="1"/>
                <w:color w:val="auto"/>
              </w:rPr>
              <w:t>Total stock-based compensation expense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30,549</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60,554</w:t>
            </w:r>
          </w:p>
        </w:tc>
        <w:tc>
          <w:tcPr>
            <w:tcW w:w="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33,713</w:t>
            </w:r>
          </w:p>
        </w:tc>
      </w:tr>
      <w:tr>
        <w:trPr>
          <w:trHeight w:val="27"/>
        </w:trPr>
        <w:tc>
          <w:tcPr>
            <w:tcW w:w="550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940" w:type="dxa"/>
            <w:vAlign w:val="bottom"/>
            <w:tcBorders>
              <w:bottom w:val="single" w:sz="8" w:color="71BF43"/>
            </w:tcBorders>
          </w:tcPr>
          <w:p>
            <w:pPr>
              <w:spacing w:after="0"/>
              <w:rPr>
                <w:sz w:val="2"/>
                <w:szCs w:val="2"/>
                <w:color w:val="auto"/>
              </w:rPr>
            </w:pPr>
          </w:p>
        </w:tc>
        <w:tc>
          <w:tcPr>
            <w:tcW w:w="48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940" w:type="dxa"/>
            <w:vAlign w:val="bottom"/>
            <w:tcBorders>
              <w:bottom w:val="single" w:sz="8" w:color="71BF43"/>
            </w:tcBorders>
          </w:tcPr>
          <w:p>
            <w:pPr>
              <w:spacing w:after="0"/>
              <w:rPr>
                <w:sz w:val="2"/>
                <w:szCs w:val="2"/>
                <w:color w:val="auto"/>
              </w:rPr>
            </w:pPr>
          </w:p>
        </w:tc>
        <w:tc>
          <w:tcPr>
            <w:tcW w:w="48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r>
    </w:tbl>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12.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November 2020, our Board of Directors reauthorized and expanded a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Under the 2020 Credit Facility, we have restrictions on our ability to repurchase shares of our common stock, which are summarized on page 40 below.</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account for purchases of treasury stock under the cost method. During the three and six months ended June 30, 2021, we purchased 405,047 and 870,868 shares for $30.0 million and $58.1 million, respectively. The remaining amount available to purchase stock under the stock repurchase program was $150.9 million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213995</wp:posOffset>
            </wp:positionV>
            <wp:extent cx="65976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(loss) by component,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1940" w:type="dxa"/>
            <w:vAlign w:val="bottom"/>
            <w:tcBorders>
              <w:right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19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65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8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80" w:type="dxa"/>
            <w:vAlign w:val="bottom"/>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82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65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tcBorders>
              <w:bottom w:val="single" w:sz="8" w:color="ACACAC"/>
            </w:tcBorders>
            <w:shd w:val="clear" w:color="auto" w:fill="ACACAC"/>
          </w:tcPr>
          <w:p>
            <w:pPr>
              <w:spacing w:after="0"/>
              <w:rPr>
                <w:sz w:val="20"/>
                <w:szCs w:val="20"/>
                <w:color w:val="auto"/>
              </w:rPr>
            </w:pPr>
          </w:p>
        </w:tc>
        <w:tc>
          <w:tcPr>
            <w:tcW w:w="7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00" w:type="dxa"/>
            <w:vAlign w:val="bottom"/>
            <w:tcBorders>
              <w:bottom w:val="single" w:sz="8" w:color="ACACAC"/>
            </w:tcBorders>
            <w:shd w:val="clear" w:color="auto" w:fill="ACACAC"/>
          </w:tcPr>
          <w:p>
            <w:pPr>
              <w:spacing w:after="0"/>
              <w:rPr>
                <w:sz w:val="20"/>
                <w:szCs w:val="20"/>
                <w:color w:val="auto"/>
              </w:rPr>
            </w:pPr>
          </w:p>
        </w:tc>
        <w:tc>
          <w:tcPr>
            <w:tcW w:w="88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80" w:type="dxa"/>
            <w:vAlign w:val="bottom"/>
            <w:tcBorders>
              <w:bottom w:val="single" w:sz="8" w:color="F4F4F4"/>
            </w:tcBorders>
          </w:tcPr>
          <w:p>
            <w:pPr>
              <w:spacing w:after="0"/>
              <w:rPr>
                <w:sz w:val="20"/>
                <w:szCs w:val="20"/>
                <w:color w:val="auto"/>
              </w:rPr>
            </w:pPr>
          </w:p>
        </w:tc>
        <w:tc>
          <w:tcPr>
            <w:tcW w:w="340" w:type="dxa"/>
            <w:vAlign w:val="bottom"/>
            <w:tcBorders>
              <w:bottom w:val="single" w:sz="8" w:color="ACACAC"/>
            </w:tcBorders>
            <w:shd w:val="clear" w:color="auto" w:fill="ACACAC"/>
          </w:tcPr>
          <w:p>
            <w:pPr>
              <w:spacing w:after="0"/>
              <w:rPr>
                <w:sz w:val="20"/>
                <w:szCs w:val="20"/>
                <w:color w:val="auto"/>
              </w:rPr>
            </w:pPr>
          </w:p>
        </w:tc>
        <w:tc>
          <w:tcPr>
            <w:tcW w:w="8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80" w:type="dxa"/>
            <w:vAlign w:val="bottom"/>
            <w:tcBorders>
              <w:bottom w:val="single" w:sz="8" w:color="ACACAC"/>
            </w:tcBorders>
            <w:shd w:val="clear" w:color="auto" w:fill="ACACAC"/>
          </w:tcPr>
          <w:p>
            <w:pPr>
              <w:spacing w:after="0"/>
              <w:rPr>
                <w:sz w:val="20"/>
                <w:szCs w:val="20"/>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65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income (loss), beginning of period</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4,163</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F4F4F4"/>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(14,140)</w:t>
            </w:r>
          </w:p>
        </w:tc>
        <w:tc>
          <w:tcPr>
            <w:tcW w:w="420" w:type="dxa"/>
            <w:vAlign w:val="bottom"/>
            <w:tcBorders>
              <w:bottom w:val="single" w:sz="8" w:color="F4F4F4"/>
            </w:tcBorders>
            <w:gridSpan w:val="2"/>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(2,497)</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(5,290)</w:t>
            </w:r>
          </w:p>
        </w:tc>
        <w:tc>
          <w:tcPr>
            <w:tcW w:w="20" w:type="dxa"/>
            <w:vAlign w:val="bottom"/>
          </w:tcPr>
          <w:p>
            <w:pPr>
              <w:spacing w:after="0"/>
              <w:rPr>
                <w:sz w:val="21"/>
                <w:szCs w:val="2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By component:</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Gains and losses on cash flow hedges:</w:t>
            </w:r>
          </w:p>
        </w:tc>
        <w:tc>
          <w:tcPr>
            <w:tcW w:w="380" w:type="dxa"/>
            <w:vAlign w:val="bottom"/>
            <w:tcBorders>
              <w:bottom w:val="single" w:sz="8" w:color="F4F4F4"/>
            </w:tcBorders>
            <w:shd w:val="clear" w:color="auto" w:fill="F4F4F4"/>
          </w:tcPr>
          <w:p>
            <w:pPr>
              <w:spacing w:after="0"/>
              <w:rPr>
                <w:sz w:val="21"/>
                <w:szCs w:val="21"/>
                <w:color w:val="auto"/>
              </w:rPr>
            </w:pPr>
          </w:p>
        </w:tc>
        <w:tc>
          <w:tcPr>
            <w:tcW w:w="760" w:type="dxa"/>
            <w:vAlign w:val="bottom"/>
            <w:tcBorders>
              <w:bottom w:val="single" w:sz="8" w:color="F4F4F4"/>
            </w:tcBorders>
            <w:shd w:val="clear" w:color="auto" w:fill="F4F4F4"/>
          </w:tcPr>
          <w:p>
            <w:pPr>
              <w:spacing w:after="0"/>
              <w:rPr>
                <w:sz w:val="21"/>
                <w:szCs w:val="21"/>
                <w:color w:val="auto"/>
              </w:rPr>
            </w:pPr>
          </w:p>
        </w:tc>
        <w:tc>
          <w:tcPr>
            <w:tcW w:w="300" w:type="dxa"/>
            <w:vAlign w:val="bottom"/>
            <w:tcBorders>
              <w:bottom w:val="single" w:sz="8" w:color="F4F4F4"/>
            </w:tcBorders>
            <w:shd w:val="clear" w:color="auto" w:fill="F4F4F4"/>
          </w:tcPr>
          <w:p>
            <w:pPr>
              <w:spacing w:after="0"/>
              <w:rPr>
                <w:sz w:val="21"/>
                <w:szCs w:val="21"/>
                <w:color w:val="auto"/>
              </w:rPr>
            </w:pPr>
          </w:p>
        </w:tc>
        <w:tc>
          <w:tcPr>
            <w:tcW w:w="880" w:type="dxa"/>
            <w:vAlign w:val="bottom"/>
            <w:tcBorders>
              <w:bottom w:val="single" w:sz="8" w:color="F4F4F4"/>
              <w:right w:val="single" w:sz="8" w:color="F4F4F4"/>
            </w:tcBorders>
            <w:shd w:val="clear" w:color="auto" w:fill="F4F4F4"/>
          </w:tcPr>
          <w:p>
            <w:pPr>
              <w:spacing w:after="0"/>
              <w:rPr>
                <w:sz w:val="21"/>
                <w:szCs w:val="21"/>
                <w:color w:val="auto"/>
              </w:rPr>
            </w:pPr>
          </w:p>
        </w:tc>
        <w:tc>
          <w:tcPr>
            <w:tcW w:w="8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balance, beginning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(4,445)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6"/>
        </w:trPr>
        <w:tc>
          <w:tcPr>
            <w:tcW w:w="6540" w:type="dxa"/>
            <w:vAlign w:val="bottom"/>
            <w:shd w:val="clear" w:color="auto" w:fill="F4F4F4"/>
          </w:tcPr>
          <w:p>
            <w:pPr>
              <w:ind w:left="360"/>
              <w:spacing w:after="0"/>
              <w:rPr>
                <w:sz w:val="20"/>
                <w:szCs w:val="20"/>
                <w:color w:val="auto"/>
              </w:rPr>
            </w:pPr>
            <w:r>
              <w:rPr>
                <w:rFonts w:ascii="Arial" w:cs="Arial" w:eastAsia="Arial" w:hAnsi="Arial"/>
                <w:sz w:val="18"/>
                <w:szCs w:val="18"/>
                <w:color w:val="auto"/>
              </w:rPr>
              <w:t>Other comprehensive income (loss) before reclassifications, net of tax effects</w:t>
            </w:r>
          </w:p>
        </w:tc>
        <w:tc>
          <w:tcPr>
            <w:tcW w:w="380" w:type="dxa"/>
            <w:vAlign w:val="bottom"/>
            <w:shd w:val="clear" w:color="auto" w:fill="F4F4F4"/>
          </w:tcPr>
          <w:p>
            <w:pPr>
              <w:spacing w:after="0"/>
              <w:rPr>
                <w:sz w:val="24"/>
                <w:szCs w:val="24"/>
                <w:color w:val="auto"/>
              </w:rPr>
            </w:pPr>
          </w:p>
        </w:tc>
        <w:tc>
          <w:tcPr>
            <w:tcW w:w="760" w:type="dxa"/>
            <w:vAlign w:val="bottom"/>
            <w:shd w:val="clear" w:color="auto" w:fill="F4F4F4"/>
          </w:tcPr>
          <w:p>
            <w:pPr>
              <w:spacing w:after="0"/>
              <w:rPr>
                <w:sz w:val="24"/>
                <w:szCs w:val="24"/>
                <w:color w:val="auto"/>
              </w:rPr>
            </w:pPr>
          </w:p>
        </w:tc>
        <w:tc>
          <w:tcPr>
            <w:tcW w:w="300" w:type="dxa"/>
            <w:vAlign w:val="bottom"/>
            <w:shd w:val="clear" w:color="auto" w:fill="F4F4F4"/>
          </w:tcPr>
          <w:p>
            <w:pPr>
              <w:spacing w:after="0"/>
              <w:rPr>
                <w:sz w:val="24"/>
                <w:szCs w:val="24"/>
                <w:color w:val="auto"/>
              </w:rPr>
            </w:pPr>
          </w:p>
        </w:tc>
        <w:tc>
          <w:tcPr>
            <w:tcW w:w="880" w:type="dxa"/>
            <w:vAlign w:val="bottom"/>
            <w:tcBorders>
              <w:right w:val="single" w:sz="8" w:color="F4F4F4"/>
            </w:tcBorders>
            <w:shd w:val="clear" w:color="auto" w:fill="F4F4F4"/>
          </w:tcPr>
          <w:p>
            <w:pPr>
              <w:spacing w:after="0"/>
              <w:rPr>
                <w:sz w:val="24"/>
                <w:szCs w:val="24"/>
                <w:color w:val="auto"/>
              </w:rPr>
            </w:pPr>
          </w:p>
        </w:tc>
        <w:tc>
          <w:tcPr>
            <w:tcW w:w="80" w:type="dxa"/>
            <w:vAlign w:val="bottom"/>
            <w:shd w:val="clear" w:color="auto" w:fill="F4F4F4"/>
          </w:tcPr>
          <w:p>
            <w:pPr>
              <w:spacing w:after="0"/>
              <w:rPr>
                <w:sz w:val="24"/>
                <w:szCs w:val="24"/>
                <w:color w:val="auto"/>
              </w:rPr>
            </w:pPr>
          </w:p>
        </w:tc>
        <w:tc>
          <w:tcPr>
            <w:tcW w:w="340" w:type="dxa"/>
            <w:vAlign w:val="bottom"/>
            <w:shd w:val="clear" w:color="auto" w:fill="F4F4F4"/>
          </w:tcPr>
          <w:p>
            <w:pPr>
              <w:spacing w:after="0"/>
              <w:rPr>
                <w:sz w:val="24"/>
                <w:szCs w:val="24"/>
                <w:color w:val="auto"/>
              </w:rPr>
            </w:pPr>
          </w:p>
        </w:tc>
        <w:tc>
          <w:tcPr>
            <w:tcW w:w="820" w:type="dxa"/>
            <w:vAlign w:val="bottom"/>
            <w:shd w:val="clear" w:color="auto" w:fill="F4F4F4"/>
          </w:tcPr>
          <w:p>
            <w:pPr>
              <w:spacing w:after="0"/>
              <w:rPr>
                <w:sz w:val="24"/>
                <w:szCs w:val="24"/>
                <w:color w:val="auto"/>
              </w:rPr>
            </w:pPr>
          </w:p>
        </w:tc>
        <w:tc>
          <w:tcPr>
            <w:tcW w:w="280" w:type="dxa"/>
            <w:vAlign w:val="bottom"/>
            <w:shd w:val="clear" w:color="auto" w:fill="F4F4F4"/>
          </w:tcPr>
          <w:p>
            <w:pPr>
              <w:spacing w:after="0"/>
              <w:rPr>
                <w:sz w:val="24"/>
                <w:szCs w:val="24"/>
                <w:color w:val="auto"/>
              </w:rPr>
            </w:pPr>
          </w:p>
        </w:tc>
        <w:tc>
          <w:tcPr>
            <w:tcW w:w="860" w:type="dxa"/>
            <w:vAlign w:val="bottom"/>
            <w:shd w:val="clear" w:color="auto" w:fill="F4F4F4"/>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54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of $244, $71, $(856) and $1,225</w:t>
            </w:r>
          </w:p>
        </w:tc>
        <w:tc>
          <w:tcPr>
            <w:tcW w:w="380" w:type="dxa"/>
            <w:vAlign w:val="bottom"/>
            <w:tcBorders>
              <w:bottom w:val="single" w:sz="8" w:color="F4F4F4"/>
            </w:tcBorders>
            <w:shd w:val="clear" w:color="auto" w:fill="F4F4F4"/>
          </w:tcPr>
          <w:p>
            <w:pPr>
              <w:spacing w:after="0"/>
              <w:rPr>
                <w:sz w:val="19"/>
                <w:szCs w:val="19"/>
                <w:color w:val="auto"/>
              </w:rPr>
            </w:pPr>
          </w:p>
        </w:tc>
        <w:tc>
          <w:tcPr>
            <w:tcW w:w="7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(692)</w:t>
            </w:r>
          </w:p>
        </w:tc>
        <w:tc>
          <w:tcPr>
            <w:tcW w:w="300" w:type="dxa"/>
            <w:vAlign w:val="bottom"/>
            <w:tcBorders>
              <w:bottom w:val="single" w:sz="8" w:color="F4F4F4"/>
            </w:tcBorders>
            <w:shd w:val="clear" w:color="auto" w:fill="F4F4F4"/>
          </w:tcPr>
          <w:p>
            <w:pPr>
              <w:spacing w:after="0"/>
              <w:rPr>
                <w:sz w:val="19"/>
                <w:szCs w:val="19"/>
                <w:color w:val="auto"/>
              </w:rPr>
            </w:pPr>
          </w:p>
        </w:tc>
        <w:tc>
          <w:tcPr>
            <w:tcW w:w="880" w:type="dxa"/>
            <w:vAlign w:val="bottom"/>
            <w:tcBorders>
              <w:bottom w:val="single" w:sz="8" w:color="F4F4F4"/>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F4F4F4"/>
            </w:tcBorders>
            <w:shd w:val="clear" w:color="auto" w:fill="F4F4F4"/>
          </w:tcPr>
          <w:p>
            <w:pPr>
              <w:spacing w:after="0"/>
              <w:rPr>
                <w:sz w:val="19"/>
                <w:szCs w:val="19"/>
                <w:color w:val="auto"/>
              </w:rPr>
            </w:pPr>
          </w:p>
        </w:tc>
        <w:tc>
          <w:tcPr>
            <w:tcW w:w="340" w:type="dxa"/>
            <w:vAlign w:val="bottom"/>
            <w:tcBorders>
              <w:bottom w:val="single" w:sz="8" w:color="F4F4F4"/>
            </w:tcBorders>
            <w:shd w:val="clear" w:color="auto" w:fill="F4F4F4"/>
          </w:tcPr>
          <w:p>
            <w:pPr>
              <w:spacing w:after="0"/>
              <w:rPr>
                <w:sz w:val="19"/>
                <w:szCs w:val="19"/>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2,438</w:t>
            </w:r>
          </w:p>
        </w:tc>
        <w:tc>
          <w:tcPr>
            <w:tcW w:w="280" w:type="dxa"/>
            <w:vAlign w:val="bottom"/>
            <w:tcBorders>
              <w:bottom w:val="single" w:sz="8" w:color="F4F4F4"/>
            </w:tcBorders>
            <w:shd w:val="clear" w:color="auto" w:fill="F4F4F4"/>
          </w:tcPr>
          <w:p>
            <w:pPr>
              <w:spacing w:after="0"/>
              <w:rPr>
                <w:sz w:val="19"/>
                <w:szCs w:val="19"/>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(3,473)</w:t>
            </w:r>
          </w:p>
        </w:tc>
        <w:tc>
          <w:tcPr>
            <w:tcW w:w="20" w:type="dxa"/>
            <w:vAlign w:val="bottom"/>
          </w:tcPr>
          <w:p>
            <w:pPr>
              <w:spacing w:after="0"/>
              <w:rPr>
                <w:sz w:val="19"/>
                <w:szCs w:val="19"/>
                <w:color w:val="auto"/>
              </w:rPr>
            </w:pPr>
          </w:p>
        </w:tc>
      </w:tr>
      <w:tr>
        <w:trPr>
          <w:trHeight w:val="242"/>
        </w:trPr>
        <w:tc>
          <w:tcPr>
            <w:tcW w:w="6540" w:type="dxa"/>
            <w:vAlign w:val="bottom"/>
          </w:tcPr>
          <w:p>
            <w:pPr>
              <w:ind w:left="460"/>
              <w:spacing w:after="0"/>
              <w:rPr>
                <w:sz w:val="20"/>
                <w:szCs w:val="20"/>
                <w:color w:val="auto"/>
              </w:rPr>
            </w:pPr>
            <w:r>
              <w:rPr>
                <w:rFonts w:ascii="Arial" w:cs="Arial" w:eastAsia="Arial" w:hAnsi="Arial"/>
                <w:sz w:val="18"/>
                <w:szCs w:val="18"/>
                <w:color w:val="auto"/>
              </w:rPr>
              <w:t>Amounts reclassified from accumulated other comprehensive (loss) income</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8"/>
                <w:szCs w:val="18"/>
                <w:color w:val="auto"/>
              </w:rPr>
              <w:t>to interest expense</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1,408</w:t>
            </w:r>
          </w:p>
        </w:tc>
        <w:tc>
          <w:tcPr>
            <w:tcW w:w="3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18"/>
                <w:szCs w:val="18"/>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540" w:type="dxa"/>
            <w:vAlign w:val="bottom"/>
            <w:tcBorders>
              <w:bottom w:val="single" w:sz="8" w:color="F4F4F4"/>
            </w:tcBorders>
            <w:shd w:val="clear" w:color="auto" w:fill="F4F4F4"/>
          </w:tcPr>
          <w:p>
            <w:pPr>
              <w:ind w:left="460"/>
              <w:spacing w:after="0"/>
              <w:rPr>
                <w:sz w:val="20"/>
                <w:szCs w:val="20"/>
                <w:color w:val="auto"/>
              </w:rPr>
            </w:pPr>
            <w:r>
              <w:rPr>
                <w:rFonts w:ascii="Arial" w:cs="Arial" w:eastAsia="Arial" w:hAnsi="Arial"/>
                <w:sz w:val="18"/>
                <w:szCs w:val="18"/>
                <w:color w:val="auto"/>
              </w:rPr>
              <w:t>Tax benefit included in provision for income taxes</w:t>
            </w:r>
          </w:p>
        </w:tc>
        <w:tc>
          <w:tcPr>
            <w:tcW w:w="380" w:type="dxa"/>
            <w:vAlign w:val="bottom"/>
            <w:tcBorders>
              <w:bottom w:val="single" w:sz="8" w:color="F4F4F4"/>
            </w:tcBorders>
            <w:shd w:val="clear" w:color="auto" w:fill="F4F4F4"/>
          </w:tcPr>
          <w:p>
            <w:pPr>
              <w:spacing w:after="0"/>
              <w:rPr>
                <w:sz w:val="23"/>
                <w:szCs w:val="23"/>
                <w:color w:val="auto"/>
              </w:rPr>
            </w:pPr>
          </w:p>
        </w:tc>
        <w:tc>
          <w:tcPr>
            <w:tcW w:w="7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Borders>
              <w:bottom w:val="single" w:sz="8" w:color="F4F4F4"/>
            </w:tcBorders>
            <w:shd w:val="clear" w:color="auto" w:fill="F4F4F4"/>
          </w:tcPr>
          <w:p>
            <w:pPr>
              <w:spacing w:after="0"/>
              <w:rPr>
                <w:sz w:val="23"/>
                <w:szCs w:val="23"/>
                <w:color w:val="auto"/>
              </w:rPr>
            </w:pPr>
          </w:p>
        </w:tc>
        <w:tc>
          <w:tcPr>
            <w:tcW w:w="880" w:type="dxa"/>
            <w:vAlign w:val="bottom"/>
            <w:tcBorders>
              <w:bottom w:val="single" w:sz="8" w:color="F4F4F4"/>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bottom w:val="single" w:sz="8" w:color="F4F4F4"/>
            </w:tcBorders>
            <w:shd w:val="clear" w:color="auto" w:fill="F4F4F4"/>
          </w:tcPr>
          <w:p>
            <w:pPr>
              <w:spacing w:after="0"/>
              <w:rPr>
                <w:sz w:val="23"/>
                <w:szCs w:val="23"/>
                <w:color w:val="auto"/>
              </w:rPr>
            </w:pPr>
          </w:p>
        </w:tc>
        <w:tc>
          <w:tcPr>
            <w:tcW w:w="34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3"/>
                <w:szCs w:val="23"/>
                <w:color w:val="auto"/>
              </w:rPr>
            </w:pPr>
          </w:p>
        </w:tc>
      </w:tr>
      <w:tr>
        <w:trPr>
          <w:trHeight w:val="222"/>
        </w:trPr>
        <w:tc>
          <w:tcPr>
            <w:tcW w:w="6540" w:type="dxa"/>
            <w:vAlign w:val="bottom"/>
          </w:tcPr>
          <w:p>
            <w:pPr>
              <w:ind w:left="360"/>
              <w:spacing w:after="0"/>
              <w:rPr>
                <w:sz w:val="20"/>
                <w:szCs w:val="20"/>
                <w:color w:val="auto"/>
              </w:rPr>
            </w:pPr>
            <w:r>
              <w:rPr>
                <w:rFonts w:ascii="Arial" w:cs="Arial" w:eastAsia="Arial" w:hAnsi="Arial"/>
                <w:sz w:val="18"/>
                <w:szCs w:val="18"/>
                <w:color w:val="auto"/>
              </w:rPr>
              <w:t>Total amounts reclassified from accumulated other comprehensive (loss)</w:t>
            </w: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6540" w:type="dxa"/>
            <w:vAlign w:val="bottom"/>
          </w:tcPr>
          <w:p>
            <w:pPr>
              <w:ind w:left="360"/>
              <w:spacing w:after="0"/>
              <w:rPr>
                <w:sz w:val="20"/>
                <w:szCs w:val="20"/>
                <w:color w:val="auto"/>
              </w:rPr>
            </w:pPr>
            <w:r>
              <w:rPr>
                <w:rFonts w:ascii="Arial" w:cs="Arial" w:eastAsia="Arial" w:hAnsi="Arial"/>
                <w:sz w:val="18"/>
                <w:szCs w:val="18"/>
                <w:color w:val="auto"/>
              </w:rPr>
              <w:t>income</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1,037</w:t>
            </w:r>
          </w:p>
        </w:tc>
        <w:tc>
          <w:tcPr>
            <w:tcW w:w="3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2,056</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902</w:t>
            </w:r>
          </w:p>
        </w:tc>
        <w:tc>
          <w:tcPr>
            <w:tcW w:w="20" w:type="dxa"/>
            <w:vAlign w:val="bottom"/>
          </w:tcPr>
          <w:p>
            <w:pPr>
              <w:spacing w:after="0"/>
              <w:rPr>
                <w:sz w:val="18"/>
                <w:szCs w:val="18"/>
                <w:color w:val="auto"/>
              </w:rPr>
            </w:pPr>
          </w:p>
        </w:tc>
      </w:tr>
      <w:tr>
        <w:trPr>
          <w:trHeight w:val="27"/>
        </w:trPr>
        <w:tc>
          <w:tcPr>
            <w:tcW w:w="65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654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color w:val="auto"/>
              </w:rPr>
              <w:t>Net current-period other comprehensive income (loss)</w:t>
            </w:r>
          </w:p>
        </w:tc>
        <w:tc>
          <w:tcPr>
            <w:tcW w:w="380" w:type="dxa"/>
            <w:vAlign w:val="bottom"/>
            <w:tcBorders>
              <w:bottom w:val="single" w:sz="8" w:color="F4F4F4"/>
            </w:tcBorders>
            <w:shd w:val="clear" w:color="auto" w:fill="F4F4F4"/>
          </w:tcPr>
          <w:p>
            <w:pPr>
              <w:spacing w:after="0"/>
              <w:rPr>
                <w:sz w:val="22"/>
                <w:szCs w:val="22"/>
                <w:color w:val="auto"/>
              </w:rPr>
            </w:pPr>
          </w:p>
        </w:tc>
        <w:tc>
          <w:tcPr>
            <w:tcW w:w="7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345</w:t>
            </w:r>
          </w:p>
        </w:tc>
        <w:tc>
          <w:tcPr>
            <w:tcW w:w="300" w:type="dxa"/>
            <w:vAlign w:val="bottom"/>
            <w:tcBorders>
              <w:bottom w:val="single" w:sz="8" w:color="F4F4F4"/>
            </w:tcBorders>
            <w:shd w:val="clear" w:color="auto" w:fill="F4F4F4"/>
          </w:tcPr>
          <w:p>
            <w:pPr>
              <w:spacing w:after="0"/>
              <w:rPr>
                <w:sz w:val="22"/>
                <w:szCs w:val="22"/>
                <w:color w:val="auto"/>
              </w:rPr>
            </w:pPr>
          </w:p>
        </w:tc>
        <w:tc>
          <w:tcPr>
            <w:tcW w:w="880" w:type="dxa"/>
            <w:vAlign w:val="bottom"/>
            <w:tcBorders>
              <w:bottom w:val="single" w:sz="8" w:color="F4F4F4"/>
              <w:right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551</w:t>
            </w:r>
          </w:p>
        </w:tc>
        <w:tc>
          <w:tcPr>
            <w:tcW w:w="80" w:type="dxa"/>
            <w:vAlign w:val="bottom"/>
            <w:tcBorders>
              <w:bottom w:val="single" w:sz="8" w:color="F4F4F4"/>
            </w:tcBorders>
            <w:shd w:val="clear" w:color="auto" w:fill="F4F4F4"/>
          </w:tcPr>
          <w:p>
            <w:pPr>
              <w:spacing w:after="0"/>
              <w:rPr>
                <w:sz w:val="22"/>
                <w:szCs w:val="22"/>
                <w:color w:val="auto"/>
              </w:rPr>
            </w:pPr>
          </w:p>
        </w:tc>
        <w:tc>
          <w:tcPr>
            <w:tcW w:w="340" w:type="dxa"/>
            <w:vAlign w:val="bottom"/>
            <w:tcBorders>
              <w:bottom w:val="single" w:sz="8" w:color="F4F4F4"/>
            </w:tcBorders>
            <w:shd w:val="clear" w:color="auto" w:fill="F4F4F4"/>
          </w:tcPr>
          <w:p>
            <w:pPr>
              <w:spacing w:after="0"/>
              <w:rPr>
                <w:sz w:val="22"/>
                <w:szCs w:val="22"/>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4,494</w:t>
            </w:r>
          </w:p>
        </w:tc>
        <w:tc>
          <w:tcPr>
            <w:tcW w:w="280" w:type="dxa"/>
            <w:vAlign w:val="bottom"/>
            <w:tcBorders>
              <w:bottom w:val="single" w:sz="8" w:color="F4F4F4"/>
            </w:tcBorders>
            <w:shd w:val="clear" w:color="auto" w:fill="F4F4F4"/>
          </w:tcPr>
          <w:p>
            <w:pPr>
              <w:spacing w:after="0"/>
              <w:rPr>
                <w:sz w:val="22"/>
                <w:szCs w:val="22"/>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(2,571)</w:t>
            </w:r>
          </w:p>
        </w:tc>
        <w:tc>
          <w:tcPr>
            <w:tcW w:w="20" w:type="dxa"/>
            <w:vAlign w:val="bottom"/>
          </w:tcPr>
          <w:p>
            <w:pPr>
              <w:spacing w:after="0"/>
              <w:rPr>
                <w:sz w:val="22"/>
                <w:szCs w:val="22"/>
                <w:color w:val="auto"/>
              </w:rPr>
            </w:pPr>
          </w:p>
        </w:tc>
      </w:tr>
      <w:tr>
        <w:trPr>
          <w:trHeight w:val="237"/>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balance, end of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20" w:type="dxa"/>
            <w:vAlign w:val="bottom"/>
          </w:tcPr>
          <w:p>
            <w:pPr>
              <w:spacing w:after="0"/>
              <w:rPr>
                <w:sz w:val="20"/>
                <w:szCs w:val="20"/>
                <w:color w:val="auto"/>
              </w:rPr>
            </w:pPr>
          </w:p>
        </w:tc>
      </w:tr>
      <w:tr>
        <w:trPr>
          <w:trHeight w:val="27"/>
        </w:trPr>
        <w:tc>
          <w:tcPr>
            <w:tcW w:w="65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65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Foreign currency translation adjustment:</w:t>
            </w:r>
          </w:p>
        </w:tc>
        <w:tc>
          <w:tcPr>
            <w:tcW w:w="38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spacing w:after="0"/>
              <w:rPr>
                <w:sz w:val="20"/>
                <w:szCs w:val="20"/>
                <w:color w:val="auto"/>
              </w:rPr>
            </w:pPr>
          </w:p>
        </w:tc>
        <w:tc>
          <w:tcPr>
            <w:tcW w:w="300" w:type="dxa"/>
            <w:vAlign w:val="bottom"/>
            <w:tcBorders>
              <w:bottom w:val="single" w:sz="8" w:color="F4F4F4"/>
            </w:tcBorders>
            <w:shd w:val="clear" w:color="auto" w:fill="F4F4F4"/>
          </w:tcPr>
          <w:p>
            <w:pPr>
              <w:spacing w:after="0"/>
              <w:rPr>
                <w:sz w:val="20"/>
                <w:szCs w:val="20"/>
                <w:color w:val="auto"/>
              </w:rPr>
            </w:pPr>
          </w:p>
        </w:tc>
        <w:tc>
          <w:tcPr>
            <w:tcW w:w="880" w:type="dxa"/>
            <w:vAlign w:val="bottom"/>
            <w:tcBorders>
              <w:bottom w:val="single" w:sz="8" w:color="F4F4F4"/>
              <w:right w:val="single" w:sz="8" w:color="F4F4F4"/>
            </w:tcBorders>
            <w:shd w:val="clear" w:color="auto" w:fill="F4F4F4"/>
          </w:tcPr>
          <w:p>
            <w:pPr>
              <w:spacing w:after="0"/>
              <w:rPr>
                <w:sz w:val="20"/>
                <w:szCs w:val="20"/>
                <w:color w:val="auto"/>
              </w:rPr>
            </w:pPr>
          </w:p>
        </w:tc>
        <w:tc>
          <w:tcPr>
            <w:tcW w:w="80" w:type="dxa"/>
            <w:vAlign w:val="bottom"/>
            <w:tcBorders>
              <w:bottom w:val="single" w:sz="8" w:color="F4F4F4"/>
            </w:tcBorders>
            <w:shd w:val="clear" w:color="auto" w:fill="F4F4F4"/>
          </w:tcPr>
          <w:p>
            <w:pPr>
              <w:spacing w:after="0"/>
              <w:rPr>
                <w:sz w:val="20"/>
                <w:szCs w:val="20"/>
                <w:color w:val="auto"/>
              </w:rPr>
            </w:pPr>
          </w:p>
        </w:tc>
        <w:tc>
          <w:tcPr>
            <w:tcW w:w="340" w:type="dxa"/>
            <w:vAlign w:val="bottom"/>
            <w:tcBorders>
              <w:bottom w:val="single" w:sz="8" w:color="F4F4F4"/>
            </w:tcBorders>
            <w:shd w:val="clear" w:color="auto" w:fill="F4F4F4"/>
          </w:tcPr>
          <w:p>
            <w:pPr>
              <w:spacing w:after="0"/>
              <w:rPr>
                <w:sz w:val="20"/>
                <w:szCs w:val="20"/>
                <w:color w:val="auto"/>
              </w:rPr>
            </w:pPr>
          </w:p>
        </w:tc>
        <w:tc>
          <w:tcPr>
            <w:tcW w:w="820" w:type="dxa"/>
            <w:vAlign w:val="bottom"/>
            <w:tcBorders>
              <w:bottom w:val="single" w:sz="8" w:color="F4F4F4"/>
            </w:tcBorders>
            <w:shd w:val="clear" w:color="auto" w:fill="F4F4F4"/>
          </w:tcPr>
          <w:p>
            <w:pPr>
              <w:spacing w:after="0"/>
              <w:rPr>
                <w:sz w:val="20"/>
                <w:szCs w:val="20"/>
                <w:color w:val="auto"/>
              </w:rPr>
            </w:pPr>
          </w:p>
        </w:tc>
        <w:tc>
          <w:tcPr>
            <w:tcW w:w="280" w:type="dxa"/>
            <w:vAlign w:val="bottom"/>
            <w:tcBorders>
              <w:bottom w:val="single" w:sz="8" w:color="F4F4F4"/>
            </w:tcBorders>
            <w:shd w:val="clear" w:color="auto" w:fill="F4F4F4"/>
          </w:tcPr>
          <w:p>
            <w:pPr>
              <w:spacing w:after="0"/>
              <w:rPr>
                <w:sz w:val="20"/>
                <w:szCs w:val="20"/>
                <w:color w:val="auto"/>
              </w:rPr>
            </w:pPr>
          </w:p>
        </w:tc>
        <w:tc>
          <w:tcPr>
            <w:tcW w:w="860" w:type="dxa"/>
            <w:vAlign w:val="bottom"/>
            <w:tcBorders>
              <w:bottom w:val="single" w:sz="8" w:color="F4F4F4"/>
            </w:tcBorders>
            <w:shd w:val="clear" w:color="auto" w:fill="F4F4F4"/>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balance, beginning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3,115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(9,695)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(3,967)</w:t>
            </w: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540" w:type="dxa"/>
            <w:vAlign w:val="bottom"/>
            <w:tcBorders>
              <w:bottom w:val="single" w:sz="8" w:color="F4F4F4"/>
            </w:tcBorders>
            <w:shd w:val="clear" w:color="auto" w:fill="F4F4F4"/>
          </w:tcPr>
          <w:p>
            <w:pPr>
              <w:ind w:left="220"/>
              <w:spacing w:after="0"/>
              <w:rPr>
                <w:sz w:val="20"/>
                <w:szCs w:val="20"/>
                <w:color w:val="auto"/>
              </w:rPr>
            </w:pPr>
            <w:r>
              <w:rPr>
                <w:rFonts w:ascii="Arial" w:cs="Arial" w:eastAsia="Arial" w:hAnsi="Arial"/>
                <w:sz w:val="18"/>
                <w:szCs w:val="18"/>
                <w:color w:val="auto"/>
              </w:rPr>
              <w:t>Translation adjustments</w:t>
            </w:r>
          </w:p>
        </w:tc>
        <w:tc>
          <w:tcPr>
            <w:tcW w:w="380" w:type="dxa"/>
            <w:vAlign w:val="bottom"/>
            <w:tcBorders>
              <w:bottom w:val="single" w:sz="8" w:color="F4F4F4"/>
            </w:tcBorders>
            <w:shd w:val="clear" w:color="auto" w:fill="F4F4F4"/>
          </w:tcPr>
          <w:p>
            <w:pPr>
              <w:spacing w:after="0"/>
              <w:rPr>
                <w:sz w:val="23"/>
                <w:szCs w:val="23"/>
                <w:color w:val="auto"/>
              </w:rPr>
            </w:pPr>
          </w:p>
        </w:tc>
        <w:tc>
          <w:tcPr>
            <w:tcW w:w="7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1,783</w:t>
            </w:r>
          </w:p>
        </w:tc>
        <w:tc>
          <w:tcPr>
            <w:tcW w:w="300" w:type="dxa"/>
            <w:vAlign w:val="bottom"/>
            <w:tcBorders>
              <w:bottom w:val="single" w:sz="8" w:color="F4F4F4"/>
            </w:tcBorders>
            <w:shd w:val="clear" w:color="auto" w:fill="F4F4F4"/>
          </w:tcPr>
          <w:p>
            <w:pPr>
              <w:spacing w:after="0"/>
              <w:rPr>
                <w:sz w:val="23"/>
                <w:szCs w:val="23"/>
                <w:color w:val="auto"/>
              </w:rPr>
            </w:pPr>
          </w:p>
        </w:tc>
        <w:tc>
          <w:tcPr>
            <w:tcW w:w="880" w:type="dxa"/>
            <w:vAlign w:val="bottom"/>
            <w:tcBorders>
              <w:bottom w:val="single" w:sz="8" w:color="F4F4F4"/>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(887)</w:t>
            </w:r>
          </w:p>
        </w:tc>
        <w:tc>
          <w:tcPr>
            <w:tcW w:w="80" w:type="dxa"/>
            <w:vAlign w:val="bottom"/>
            <w:tcBorders>
              <w:bottom w:val="single" w:sz="8" w:color="F4F4F4"/>
            </w:tcBorders>
            <w:shd w:val="clear" w:color="auto" w:fill="F4F4F4"/>
          </w:tcPr>
          <w:p>
            <w:pPr>
              <w:spacing w:after="0"/>
              <w:rPr>
                <w:sz w:val="23"/>
                <w:szCs w:val="23"/>
                <w:color w:val="auto"/>
              </w:rPr>
            </w:pPr>
          </w:p>
        </w:tc>
        <w:tc>
          <w:tcPr>
            <w:tcW w:w="34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4,294</w:t>
            </w:r>
          </w:p>
        </w:tc>
        <w:tc>
          <w:tcPr>
            <w:tcW w:w="28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(6,615)</w:t>
            </w:r>
          </w:p>
        </w:tc>
        <w:tc>
          <w:tcPr>
            <w:tcW w:w="20" w:type="dxa"/>
            <w:vAlign w:val="bottom"/>
          </w:tcPr>
          <w:p>
            <w:pPr>
              <w:spacing w:after="0"/>
              <w:rPr>
                <w:sz w:val="23"/>
                <w:szCs w:val="23"/>
                <w:color w:val="auto"/>
              </w:rPr>
            </w:pPr>
          </w:p>
        </w:tc>
      </w:tr>
      <w:tr>
        <w:trPr>
          <w:trHeight w:val="237"/>
        </w:trPr>
        <w:tc>
          <w:tcPr>
            <w:tcW w:w="65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balance, end of period</w:t>
            </w: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(10,582)</w:t>
            </w:r>
          </w:p>
        </w:tc>
        <w:tc>
          <w:tcPr>
            <w:tcW w:w="20" w:type="dxa"/>
            <w:vAlign w:val="bottom"/>
          </w:tcPr>
          <w:p>
            <w:pPr>
              <w:spacing w:after="0"/>
              <w:rPr>
                <w:sz w:val="20"/>
                <w:szCs w:val="20"/>
                <w:color w:val="auto"/>
              </w:rPr>
            </w:pPr>
          </w:p>
        </w:tc>
      </w:tr>
      <w:tr>
        <w:trPr>
          <w:trHeight w:val="27"/>
        </w:trPr>
        <w:tc>
          <w:tcPr>
            <w:tcW w:w="65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5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income (loss), end of period</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6,291</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F4F4F4"/>
              <w:right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(14,476)</w:t>
            </w:r>
          </w:p>
        </w:tc>
        <w:tc>
          <w:tcPr>
            <w:tcW w:w="420" w:type="dxa"/>
            <w:vAlign w:val="bottom"/>
            <w:tcBorders>
              <w:bottom w:val="single" w:sz="8" w:color="F4F4F4"/>
            </w:tcBorders>
            <w:gridSpan w:val="2"/>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6,291</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(14,476)</w:t>
            </w:r>
          </w:p>
        </w:tc>
        <w:tc>
          <w:tcPr>
            <w:tcW w:w="20" w:type="dxa"/>
            <w:vAlign w:val="bottom"/>
          </w:tcPr>
          <w:p>
            <w:pPr>
              <w:spacing w:after="0"/>
              <w:rPr>
                <w:sz w:val="21"/>
                <w:szCs w:val="21"/>
                <w:color w:val="auto"/>
              </w:rPr>
            </w:pPr>
          </w:p>
        </w:tc>
      </w:tr>
      <w:tr>
        <w:trPr>
          <w:trHeight w:val="20"/>
        </w:trPr>
        <w:tc>
          <w:tcPr>
            <w:tcW w:w="654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76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880" w:type="dxa"/>
            <w:vAlign w:val="bottom"/>
            <w:tcBorders>
              <w:right w:val="single" w:sz="8" w:color="71BF43"/>
            </w:tcBorders>
            <w:shd w:val="clear" w:color="auto" w:fill="71BF43"/>
          </w:tcPr>
          <w:p>
            <w:pPr>
              <w:spacing w:after="0" w:line="20" w:lineRule="exact"/>
              <w:rPr>
                <w:sz w:val="1"/>
                <w:szCs w:val="1"/>
                <w:color w:val="auto"/>
              </w:rPr>
            </w:pPr>
          </w:p>
        </w:tc>
        <w:tc>
          <w:tcPr>
            <w:tcW w:w="8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82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8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-3213735</wp:posOffset>
            </wp:positionV>
            <wp:extent cx="29914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13.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June 30, 2021, approximately $797 million of revenue is expected to be recognized from remaining performance obligations. We expect to recognize revenue on approximately 55% of these remaining performance obligations over the next 12 months, with the remainder recognized thereafter.</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(transactional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contract assets as of June 30, 2021 and December 31, 2020 were insignificant. Our opening and closing balances of deferred revenue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40" w:type="dxa"/>
            <w:vAlign w:val="bottom"/>
            <w:shd w:val="clear" w:color="auto" w:fill="ACACAC"/>
          </w:tcPr>
          <w:p>
            <w:pPr>
              <w:spacing w:after="0"/>
              <w:rPr>
                <w:sz w:val="16"/>
                <w:szCs w:val="16"/>
                <w:color w:val="auto"/>
              </w:rPr>
            </w:pPr>
          </w:p>
        </w:tc>
        <w:tc>
          <w:tcPr>
            <w:tcW w:w="660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13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6600" w:type="dxa"/>
            <w:vAlign w:val="bottom"/>
            <w:tcBorders>
              <w:bottom w:val="single" w:sz="8" w:color="ACACAC"/>
            </w:tcBorders>
            <w:shd w:val="clear" w:color="auto" w:fill="ACACAC"/>
          </w:tcPr>
          <w:p>
            <w:pPr>
              <w:spacing w:after="0"/>
              <w:rPr>
                <w:sz w:val="17"/>
                <w:szCs w:val="17"/>
                <w:color w:val="auto"/>
              </w:rPr>
            </w:pPr>
          </w:p>
        </w:tc>
        <w:tc>
          <w:tcPr>
            <w:tcW w:w="520" w:type="dxa"/>
            <w:vAlign w:val="bottom"/>
            <w:tcBorders>
              <w:bottom w:val="single" w:sz="8" w:color="ACACAC"/>
            </w:tcBorders>
            <w:shd w:val="clear" w:color="auto" w:fill="ACACAC"/>
          </w:tcPr>
          <w:p>
            <w:pPr>
              <w:spacing w:after="0"/>
              <w:rPr>
                <w:sz w:val="17"/>
                <w:szCs w:val="17"/>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75"/>
        </w:trPr>
        <w:tc>
          <w:tcPr>
            <w:tcW w:w="794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color w:val="auto"/>
              </w:rPr>
              <w:t>Total deferred revenue</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345,419</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316,914</w:t>
            </w:r>
          </w:p>
        </w:tc>
        <w:tc>
          <w:tcPr>
            <w:tcW w:w="20" w:type="dxa"/>
            <w:vAlign w:val="bottom"/>
          </w:tcPr>
          <w:p>
            <w:pPr>
              <w:spacing w:after="0"/>
              <w:rPr>
                <w:sz w:val="23"/>
                <w:szCs w:val="23"/>
                <w:color w:val="auto"/>
              </w:rPr>
            </w:pPr>
          </w:p>
        </w:tc>
      </w:tr>
      <w:tr>
        <w:trPr>
          <w:trHeight w:val="684"/>
        </w:trPr>
        <w:tc>
          <w:tcPr>
            <w:tcW w:w="1340" w:type="dxa"/>
            <w:vAlign w:val="bottom"/>
            <w:tcBorders>
              <w:top w:val="single" w:sz="8" w:color="71BF43"/>
            </w:tcBorders>
          </w:tcPr>
          <w:p>
            <w:pPr>
              <w:ind w:left="20"/>
              <w:spacing w:after="0"/>
              <w:rPr>
                <w:sz w:val="20"/>
                <w:szCs w:val="20"/>
                <w:color w:val="auto"/>
              </w:rPr>
            </w:pPr>
            <w:r>
              <w:rPr>
                <w:rFonts w:ascii="Arial" w:cs="Arial" w:eastAsia="Arial" w:hAnsi="Arial"/>
                <w:sz w:val="14"/>
                <w:szCs w:val="14"/>
                <w:color w:val="auto"/>
              </w:rPr>
              <w:t>20</w:t>
            </w:r>
          </w:p>
        </w:tc>
        <w:tc>
          <w:tcPr>
            <w:tcW w:w="6600" w:type="dxa"/>
            <w:vAlign w:val="bottom"/>
            <w:tcBorders>
              <w:top w:val="single" w:sz="8" w:color="71BF43"/>
            </w:tcBorders>
          </w:tcPr>
          <w:p>
            <w:pPr>
              <w:ind w:left="300"/>
              <w:spacing w:after="0"/>
              <w:rPr>
                <w:sz w:val="20"/>
                <w:szCs w:val="20"/>
                <w:color w:val="auto"/>
              </w:rPr>
            </w:pPr>
            <w:r>
              <w:rPr>
                <w:rFonts w:ascii="Arial" w:cs="Arial" w:eastAsia="Arial" w:hAnsi="Arial"/>
                <w:sz w:val="14"/>
                <w:szCs w:val="14"/>
                <w:color w:val="auto"/>
              </w:rPr>
              <w:t>Second Quarter 2021 Form 10-Q</w:t>
            </w:r>
          </w:p>
        </w:tc>
        <w:tc>
          <w:tcPr>
            <w:tcW w:w="520" w:type="dxa"/>
            <w:vAlign w:val="bottom"/>
            <w:tcBorders>
              <w:top w:val="single" w:sz="8" w:color="71BF43"/>
            </w:tcBorders>
          </w:tcPr>
          <w:p>
            <w:pPr>
              <w:spacing w:after="0"/>
              <w:rPr>
                <w:sz w:val="24"/>
                <w:szCs w:val="24"/>
                <w:color w:val="auto"/>
              </w:rPr>
            </w:pPr>
          </w:p>
        </w:tc>
        <w:tc>
          <w:tcPr>
            <w:tcW w:w="1140" w:type="dxa"/>
            <w:vAlign w:val="bottom"/>
            <w:tcBorders>
              <w:top w:val="single" w:sz="8" w:color="71BF43"/>
            </w:tcBorders>
          </w:tcPr>
          <w:p>
            <w:pPr>
              <w:spacing w:after="0"/>
              <w:rPr>
                <w:sz w:val="24"/>
                <w:szCs w:val="24"/>
                <w:color w:val="auto"/>
              </w:rPr>
            </w:pPr>
          </w:p>
        </w:tc>
        <w:tc>
          <w:tcPr>
            <w:tcW w:w="400" w:type="dxa"/>
            <w:vAlign w:val="bottom"/>
            <w:tcBorders>
              <w:top w:val="single" w:sz="8" w:color="71BF43"/>
            </w:tcBorders>
          </w:tcPr>
          <w:p>
            <w:pPr>
              <w:spacing w:after="0"/>
              <w:rPr>
                <w:sz w:val="24"/>
                <w:szCs w:val="24"/>
                <w:color w:val="auto"/>
              </w:rPr>
            </w:pPr>
          </w:p>
        </w:tc>
        <w:tc>
          <w:tcPr>
            <w:tcW w:w="1240" w:type="dxa"/>
            <w:vAlign w:val="bottom"/>
            <w:tcBorders>
              <w:top w:val="single" w:sz="8" w:color="71BF43"/>
            </w:tcBorders>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134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increase in deferred revenue during the six months ended June 30, 2021 was primarily due to a seasonal increase in customer contract renewals and, to a lesser extent, early progress in initiatives to bring our pricing in line with the market. Historically, due to the timing of customer budget cycles, we have an increase in customer contract renewals at or near the beginning of our third quarter. The amount of revenue recognized during the six months ended June 30, 2021 that was included in the deferred revenue balance at the beginning of the period was approximately $229 million. The amount of revenue recognized during the six months ended June 30, 2021 from performance obligations satisfied in prior periods was insignificant.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30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6"/>
        </w:trPr>
        <w:tc>
          <w:tcPr>
            <w:tcW w:w="59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6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Borders>
              <w:bottom w:val="single" w:sz="8" w:color="F4F4F4"/>
            </w:tcBorders>
          </w:tcPr>
          <w:p>
            <w:pPr>
              <w:spacing w:after="0"/>
              <w:rPr>
                <w:sz w:val="20"/>
                <w:szCs w:val="20"/>
                <w:color w:val="auto"/>
              </w:rPr>
            </w:pPr>
          </w:p>
        </w:tc>
        <w:tc>
          <w:tcPr>
            <w:tcW w:w="36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49"/>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192,000</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189,304</w:t>
            </w:r>
          </w:p>
        </w:tc>
        <w:tc>
          <w:tcPr>
            <w:tcW w:w="460" w:type="dxa"/>
            <w:vAlign w:val="bottom"/>
            <w:tcBorders>
              <w:bottom w:val="single" w:sz="8" w:color="F4F4F4"/>
            </w:tcBorders>
            <w:gridSpan w:val="2"/>
            <w:shd w:val="clear" w:color="auto" w:fill="F4F4F4"/>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377,327</w:t>
            </w:r>
          </w:p>
        </w:tc>
        <w:tc>
          <w:tcPr>
            <w:tcW w:w="3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383,263</w:t>
            </w:r>
          </w:p>
        </w:tc>
        <w:tc>
          <w:tcPr>
            <w:tcW w:w="20" w:type="dxa"/>
            <w:vAlign w:val="bottom"/>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24,505</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46,810</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45,359</w:t>
            </w:r>
          </w:p>
        </w:tc>
        <w:tc>
          <w:tcPr>
            <w:tcW w:w="2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countries</w:t>
            </w:r>
          </w:p>
        </w:tc>
        <w:tc>
          <w:tcPr>
            <w:tcW w:w="34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12,935</w:t>
            </w:r>
          </w:p>
        </w:tc>
        <w:tc>
          <w:tcPr>
            <w:tcW w:w="36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13,152</w:t>
            </w:r>
          </w:p>
        </w:tc>
        <w:tc>
          <w:tcPr>
            <w:tcW w:w="100" w:type="dxa"/>
            <w:vAlign w:val="bottom"/>
            <w:tcBorders>
              <w:bottom w:val="single" w:sz="8" w:color="F4F4F4"/>
            </w:tcBorders>
            <w:shd w:val="clear" w:color="auto" w:fill="F4F4F4"/>
          </w:tcPr>
          <w:p>
            <w:pPr>
              <w:spacing w:after="0"/>
              <w:rPr>
                <w:sz w:val="23"/>
                <w:szCs w:val="23"/>
                <w:color w:val="auto"/>
              </w:rPr>
            </w:pPr>
          </w:p>
        </w:tc>
        <w:tc>
          <w:tcPr>
            <w:tcW w:w="36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24,494</w:t>
            </w:r>
          </w:p>
        </w:tc>
        <w:tc>
          <w:tcPr>
            <w:tcW w:w="34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26,990</w:t>
            </w:r>
          </w:p>
        </w:tc>
        <w:tc>
          <w:tcPr>
            <w:tcW w:w="20" w:type="dxa"/>
            <w:vAlign w:val="bottom"/>
          </w:tcPr>
          <w:p>
            <w:pPr>
              <w:spacing w:after="0"/>
              <w:rPr>
                <w:sz w:val="23"/>
                <w:szCs w:val="23"/>
                <w:color w:val="auto"/>
              </w:rPr>
            </w:pPr>
          </w:p>
        </w:tc>
      </w:tr>
      <w:tr>
        <w:trPr>
          <w:trHeight w:val="237"/>
        </w:trPr>
        <w:tc>
          <w:tcPr>
            <w:tcW w:w="59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229,440</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448,631</w:t>
            </w: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455,612</w:t>
            </w:r>
          </w:p>
        </w:tc>
        <w:tc>
          <w:tcPr>
            <w:tcW w:w="20" w:type="dxa"/>
            <w:vAlign w:val="bottom"/>
          </w:tcPr>
          <w:p>
            <w:pPr>
              <w:spacing w:after="0"/>
              <w:rPr>
                <w:sz w:val="20"/>
                <w:szCs w:val="20"/>
                <w:color w:val="auto"/>
              </w:rPr>
            </w:pPr>
          </w:p>
        </w:tc>
      </w:tr>
      <w:tr>
        <w:trPr>
          <w:trHeight w:val="27"/>
        </w:trPr>
        <w:tc>
          <w:tcPr>
            <w:tcW w:w="590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-856615</wp:posOffset>
            </wp:positionV>
            <wp:extent cx="34029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Beginning in the second quarter of 2021, we combined our General Markets Group ("GMG") and Enterprise Markets Group ("EMG") into a single U.S. Markets Group ("UMG") and moved our Corporations vertical under our International Markets Group ("IMG"). This change was made to better align our resources toward customer retention and growth, which are key objectives as we progress toward our long-term aspirational goals.</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UMG and the IMG comprised our go-to-market organizations as of June 30, 2021. The following is a description of each market group as of that date:</w:t>
      </w:r>
    </w:p>
    <w:p>
      <w:pPr>
        <w:spacing w:after="0" w:line="144"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UMG focuses on sales primarily to all prospects and customers inside of the U.S.; and</w:t>
      </w:r>
    </w:p>
    <w:p>
      <w:pPr>
        <w:spacing w:after="0" w:line="171" w:lineRule="exact"/>
        <w:rPr>
          <w:rFonts w:ascii="Arial" w:cs="Arial" w:eastAsia="Arial" w:hAnsi="Arial"/>
          <w:sz w:val="18"/>
          <w:szCs w:val="18"/>
          <w:color w:val="auto"/>
        </w:rPr>
      </w:pPr>
    </w:p>
    <w:p>
      <w:pPr>
        <w:ind w:right="1860" w:firstLine="332"/>
        <w:spacing w:after="0" w:line="391" w:lineRule="auto"/>
        <w:tabs>
          <w:tab w:leader="none" w:pos="6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IMG focuses on sales primarily to all prospects and customers outside of the U.S, as well as corporations. The following table presents our revenue by market group: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30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41"/>
        </w:trPr>
        <w:tc>
          <w:tcPr>
            <w:tcW w:w="59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6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ind w:left="500"/>
              <w:spacing w:after="0"/>
              <w:rPr>
                <w:sz w:val="20"/>
                <w:szCs w:val="20"/>
                <w:color w:val="auto"/>
              </w:rPr>
            </w:pPr>
            <w:r>
              <w:rPr>
                <w:rFonts w:ascii="Arial" w:cs="Arial" w:eastAsia="Arial" w:hAnsi="Arial"/>
                <w:sz w:val="14"/>
                <w:szCs w:val="14"/>
                <w:b w:val="1"/>
                <w:bCs w:val="1"/>
                <w:color w:val="FFFFFF"/>
                <w:w w:val="95"/>
              </w:rPr>
              <w:t>2020</w:t>
            </w:r>
            <w:r>
              <w:rPr>
                <w:rFonts w:ascii="Arial" w:cs="Arial" w:eastAsia="Arial" w:hAnsi="Arial"/>
                <w:sz w:val="18"/>
                <w:szCs w:val="18"/>
                <w:b w:val="1"/>
                <w:bCs w:val="1"/>
                <w:color w:val="FFFFFF"/>
                <w:w w:val="95"/>
                <w:vertAlign w:val="superscript"/>
              </w:rPr>
              <w:t>(1)</w:t>
            </w:r>
          </w:p>
        </w:tc>
        <w:tc>
          <w:tcPr>
            <w:tcW w:w="100" w:type="dxa"/>
            <w:vAlign w:val="bottom"/>
            <w:tcBorders>
              <w:bottom w:val="single" w:sz="8" w:color="F4F4F4"/>
            </w:tcBorders>
          </w:tcPr>
          <w:p>
            <w:pPr>
              <w:spacing w:after="0"/>
              <w:rPr>
                <w:sz w:val="21"/>
                <w:szCs w:val="21"/>
                <w:color w:val="auto"/>
              </w:rPr>
            </w:pPr>
          </w:p>
        </w:tc>
        <w:tc>
          <w:tcPr>
            <w:tcW w:w="36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ind w:left="500"/>
              <w:spacing w:after="0"/>
              <w:rPr>
                <w:sz w:val="20"/>
                <w:szCs w:val="20"/>
                <w:color w:val="auto"/>
              </w:rPr>
            </w:pPr>
            <w:r>
              <w:rPr>
                <w:rFonts w:ascii="Arial" w:cs="Arial" w:eastAsia="Arial" w:hAnsi="Arial"/>
                <w:sz w:val="14"/>
                <w:szCs w:val="14"/>
                <w:b w:val="1"/>
                <w:bCs w:val="1"/>
                <w:color w:val="FFFFFF"/>
                <w:w w:val="95"/>
              </w:rPr>
              <w:t>2020</w:t>
            </w:r>
            <w:r>
              <w:rPr>
                <w:rFonts w:ascii="Arial" w:cs="Arial" w:eastAsia="Arial" w:hAnsi="Arial"/>
                <w:sz w:val="18"/>
                <w:szCs w:val="18"/>
                <w:b w:val="1"/>
                <w:bCs w:val="1"/>
                <w:color w:val="FFFFFF"/>
                <w:w w:val="95"/>
                <w:vertAlign w:val="superscript"/>
              </w:rPr>
              <w:t>(1)</w:t>
            </w:r>
          </w:p>
        </w:tc>
        <w:tc>
          <w:tcPr>
            <w:tcW w:w="20" w:type="dxa"/>
            <w:vAlign w:val="bottom"/>
            <w:tcBorders>
              <w:bottom w:val="single" w:sz="8" w:color="ACACAC"/>
            </w:tcBorders>
            <w:shd w:val="clear" w:color="auto" w:fill="ACACAC"/>
          </w:tcPr>
          <w:p>
            <w:pPr>
              <w:spacing w:after="0"/>
              <w:rPr>
                <w:sz w:val="21"/>
                <w:szCs w:val="21"/>
                <w:color w:val="auto"/>
              </w:rPr>
            </w:pPr>
          </w:p>
        </w:tc>
      </w:tr>
      <w:tr>
        <w:trPr>
          <w:trHeight w:val="244"/>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UMG</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179,436</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182,925</w:t>
            </w:r>
          </w:p>
        </w:tc>
        <w:tc>
          <w:tcPr>
            <w:tcW w:w="460" w:type="dxa"/>
            <w:vAlign w:val="bottom"/>
            <w:tcBorders>
              <w:bottom w:val="single" w:sz="8" w:color="F4F4F4"/>
            </w:tcBorders>
            <w:gridSpan w:val="2"/>
            <w:shd w:val="clear" w:color="auto" w:fill="F4F4F4"/>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352,903</w:t>
            </w:r>
          </w:p>
        </w:tc>
        <w:tc>
          <w:tcPr>
            <w:tcW w:w="3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370,544</w:t>
            </w:r>
          </w:p>
        </w:tc>
        <w:tc>
          <w:tcPr>
            <w:tcW w:w="20" w:type="dxa"/>
            <w:vAlign w:val="bottom"/>
          </w:tcPr>
          <w:p>
            <w:pPr>
              <w:spacing w:after="0"/>
              <w:rPr>
                <w:sz w:val="21"/>
                <w:szCs w:val="21"/>
                <w:color w:val="auto"/>
              </w:rPr>
            </w:pPr>
          </w:p>
        </w:tc>
      </w:tr>
      <w:tr>
        <w:trPr>
          <w:trHeight w:val="297"/>
        </w:trPr>
        <w:tc>
          <w:tcPr>
            <w:tcW w:w="5900" w:type="dxa"/>
            <w:vAlign w:val="bottom"/>
          </w:tcPr>
          <w:p>
            <w:pPr>
              <w:ind w:left="20"/>
              <w:spacing w:after="0"/>
              <w:rPr>
                <w:sz w:val="20"/>
                <w:szCs w:val="20"/>
                <w:color w:val="auto"/>
              </w:rPr>
            </w:pPr>
            <w:r>
              <w:rPr>
                <w:rFonts w:ascii="Arial" w:cs="Arial" w:eastAsia="Arial" w:hAnsi="Arial"/>
                <w:sz w:val="18"/>
                <w:szCs w:val="18"/>
                <w:color w:val="auto"/>
              </w:rPr>
              <w:t>IMG</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50,028</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49,790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95,797</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85,828</w:t>
            </w:r>
          </w:p>
        </w:tc>
        <w:tc>
          <w:tcPr>
            <w:tcW w:w="20" w:type="dxa"/>
            <w:vAlign w:val="bottom"/>
          </w:tcPr>
          <w:p>
            <w:pPr>
              <w:spacing w:after="0"/>
              <w:rPr>
                <w:sz w:val="24"/>
                <w:szCs w:val="24"/>
                <w:color w:val="auto"/>
              </w:rPr>
            </w:pPr>
          </w:p>
        </w:tc>
      </w:tr>
      <w:tr>
        <w:trPr>
          <w:trHeight w:val="27"/>
        </w:trPr>
        <w:tc>
          <w:tcPr>
            <w:tcW w:w="5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ind w:left="50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F4F4F4"/>
            </w:tcBorders>
            <w:shd w:val="clear" w:color="auto" w:fill="F4F4F4"/>
          </w:tcPr>
          <w:p>
            <w:pPr>
              <w:spacing w:after="0"/>
              <w:rPr>
                <w:sz w:val="23"/>
                <w:szCs w:val="23"/>
                <w:color w:val="auto"/>
              </w:rPr>
            </w:pPr>
          </w:p>
        </w:tc>
        <w:tc>
          <w:tcPr>
            <w:tcW w:w="36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w:t>
            </w:r>
          </w:p>
        </w:tc>
        <w:tc>
          <w:tcPr>
            <w:tcW w:w="34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ind w:left="520"/>
              <w:spacing w:after="0"/>
              <w:rPr>
                <w:sz w:val="20"/>
                <w:szCs w:val="20"/>
                <w:color w:val="auto"/>
              </w:rPr>
            </w:pPr>
            <w:r>
              <w:rPr>
                <w:rFonts w:ascii="Arial" w:cs="Arial" w:eastAsia="Arial" w:hAnsi="Arial"/>
                <w:sz w:val="18"/>
                <w:szCs w:val="18"/>
                <w:color w:val="auto"/>
                <w:w w:val="99"/>
              </w:rPr>
              <w:t>(760)</w:t>
            </w:r>
          </w:p>
        </w:tc>
        <w:tc>
          <w:tcPr>
            <w:tcW w:w="20" w:type="dxa"/>
            <w:vAlign w:val="bottom"/>
          </w:tcPr>
          <w:p>
            <w:pPr>
              <w:spacing w:after="0"/>
              <w:rPr>
                <w:sz w:val="23"/>
                <w:szCs w:val="23"/>
                <w:color w:val="auto"/>
              </w:rPr>
            </w:pPr>
          </w:p>
        </w:tc>
      </w:tr>
      <w:tr>
        <w:trPr>
          <w:trHeight w:val="237"/>
        </w:trPr>
        <w:tc>
          <w:tcPr>
            <w:tcW w:w="59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229,440</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448,631</w:t>
            </w: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455,612</w:t>
            </w:r>
          </w:p>
        </w:tc>
        <w:tc>
          <w:tcPr>
            <w:tcW w:w="20" w:type="dxa"/>
            <w:vAlign w:val="bottom"/>
          </w:tcPr>
          <w:p>
            <w:pPr>
              <w:spacing w:after="0"/>
              <w:rPr>
                <w:sz w:val="20"/>
                <w:szCs w:val="20"/>
                <w:color w:val="auto"/>
              </w:rPr>
            </w:pPr>
          </w:p>
        </w:tc>
      </w:tr>
      <w:tr>
        <w:trPr>
          <w:trHeight w:val="27"/>
        </w:trPr>
        <w:tc>
          <w:tcPr>
            <w:tcW w:w="590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-890905</wp:posOffset>
            </wp:positionV>
            <wp:extent cx="34029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66" w:lineRule="exact"/>
        <w:rPr>
          <w:sz w:val="20"/>
          <w:szCs w:val="20"/>
          <w:color w:val="auto"/>
        </w:rPr>
      </w:pPr>
    </w:p>
    <w:p>
      <w:pPr>
        <w:ind w:left="340" w:right="20" w:hanging="332"/>
        <w:spacing w:after="0" w:line="258" w:lineRule="auto"/>
        <w:tabs>
          <w:tab w:leader="none" w:pos="354"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Due to the market group change discussed above, we have recast our revenue by market group for the three and six months ended June 30, 2020 to present them on a consistent basis with the current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recurring revenue by type: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2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30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20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41"/>
        </w:trPr>
        <w:tc>
          <w:tcPr>
            <w:tcW w:w="5900" w:type="dxa"/>
            <w:vAlign w:val="bottom"/>
            <w:tcBorders>
              <w:bottom w:val="single" w:sz="8" w:color="F4F4F4"/>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0" w:type="dxa"/>
            <w:vAlign w:val="bottom"/>
            <w:tcBorders>
              <w:bottom w:val="single" w:sz="8" w:color="ACACAC"/>
            </w:tcBorders>
            <w:shd w:val="clear" w:color="auto" w:fill="ACACAC"/>
          </w:tcPr>
          <w:p>
            <w:pPr>
              <w:spacing w:after="0"/>
              <w:rPr>
                <w:sz w:val="21"/>
                <w:szCs w:val="21"/>
                <w:color w:val="auto"/>
              </w:rPr>
            </w:pPr>
          </w:p>
        </w:tc>
        <w:tc>
          <w:tcPr>
            <w:tcW w:w="11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0" w:type="dxa"/>
            <w:vAlign w:val="bottom"/>
            <w:tcBorders>
              <w:bottom w:val="single" w:sz="8" w:color="F4F4F4"/>
            </w:tcBorders>
          </w:tcPr>
          <w:p>
            <w:pPr>
              <w:spacing w:after="0"/>
              <w:rPr>
                <w:sz w:val="21"/>
                <w:szCs w:val="21"/>
                <w:color w:val="auto"/>
              </w:rPr>
            </w:pPr>
          </w:p>
        </w:tc>
        <w:tc>
          <w:tcPr>
            <w:tcW w:w="36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1"/>
                <w:szCs w:val="21"/>
                <w:color w:val="auto"/>
              </w:rPr>
            </w:pPr>
          </w:p>
        </w:tc>
      </w:tr>
      <w:tr>
        <w:trPr>
          <w:trHeight w:val="244"/>
        </w:trPr>
        <w:tc>
          <w:tcPr>
            <w:tcW w:w="59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Contractual recurring</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151,150</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148,214</w:t>
            </w:r>
          </w:p>
        </w:tc>
        <w:tc>
          <w:tcPr>
            <w:tcW w:w="46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297,971</w:t>
            </w:r>
          </w:p>
        </w:tc>
        <w:tc>
          <w:tcPr>
            <w:tcW w:w="3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295,958</w:t>
            </w:r>
          </w:p>
        </w:tc>
        <w:tc>
          <w:tcPr>
            <w:tcW w:w="20" w:type="dxa"/>
            <w:vAlign w:val="bottom"/>
          </w:tcPr>
          <w:p>
            <w:pPr>
              <w:spacing w:after="0"/>
              <w:rPr>
                <w:sz w:val="21"/>
                <w:szCs w:val="2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Transactional recurring</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65,836</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125,765</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125,169</w:t>
            </w:r>
          </w:p>
        </w:tc>
        <w:tc>
          <w:tcPr>
            <w:tcW w:w="20" w:type="dxa"/>
            <w:vAlign w:val="bottom"/>
          </w:tcPr>
          <w:p>
            <w:pPr>
              <w:spacing w:after="0"/>
              <w:rPr>
                <w:sz w:val="21"/>
                <w:szCs w:val="21"/>
                <w:color w:val="auto"/>
              </w:rPr>
            </w:pPr>
          </w:p>
        </w:tc>
      </w:tr>
      <w:tr>
        <w:trPr>
          <w:trHeight w:val="27"/>
        </w:trPr>
        <w:tc>
          <w:tcPr>
            <w:tcW w:w="590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590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recurring revenue</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216,986</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216,260</w:t>
            </w:r>
          </w:p>
        </w:tc>
        <w:tc>
          <w:tcPr>
            <w:tcW w:w="46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423,736</w:t>
            </w:r>
          </w:p>
        </w:tc>
        <w:tc>
          <w:tcPr>
            <w:tcW w:w="340" w:type="dxa"/>
            <w:vAlign w:val="bottom"/>
            <w:tcBorders>
              <w:bottom w:val="single" w:sz="8" w:color="F4F4F4"/>
            </w:tcBorders>
            <w:shd w:val="clear" w:color="auto" w:fill="F4F4F4"/>
          </w:tcPr>
          <w:p>
            <w:pPr>
              <w:jc w:val="right"/>
              <w:ind w:right="15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421,127</w:t>
            </w:r>
          </w:p>
        </w:tc>
        <w:tc>
          <w:tcPr>
            <w:tcW w:w="20" w:type="dxa"/>
            <w:vAlign w:val="bottom"/>
          </w:tcPr>
          <w:p>
            <w:pPr>
              <w:spacing w:after="0"/>
              <w:rPr>
                <w:sz w:val="22"/>
                <w:szCs w:val="22"/>
                <w:color w:val="auto"/>
              </w:rPr>
            </w:pPr>
          </w:p>
        </w:tc>
      </w:tr>
      <w:tr>
        <w:trPr>
          <w:trHeight w:val="684"/>
        </w:trPr>
        <w:tc>
          <w:tcPr>
            <w:tcW w:w="5900" w:type="dxa"/>
            <w:vAlign w:val="bottom"/>
            <w:tcBorders>
              <w:top w:val="single" w:sz="8" w:color="8CBE4F"/>
            </w:tcBorders>
          </w:tcPr>
          <w:p>
            <w:pPr>
              <w:spacing w:after="0"/>
              <w:rPr>
                <w:sz w:val="24"/>
                <w:szCs w:val="24"/>
                <w:color w:val="auto"/>
              </w:rPr>
            </w:pPr>
          </w:p>
        </w:tc>
        <w:tc>
          <w:tcPr>
            <w:tcW w:w="340" w:type="dxa"/>
            <w:vAlign w:val="bottom"/>
            <w:tcBorders>
              <w:top w:val="single" w:sz="8" w:color="8CBE4F"/>
            </w:tcBorders>
          </w:tcPr>
          <w:p>
            <w:pPr>
              <w:spacing w:after="0"/>
              <w:rPr>
                <w:sz w:val="24"/>
                <w:szCs w:val="24"/>
                <w:color w:val="auto"/>
              </w:rPr>
            </w:pPr>
          </w:p>
        </w:tc>
        <w:tc>
          <w:tcPr>
            <w:tcW w:w="960" w:type="dxa"/>
            <w:vAlign w:val="bottom"/>
            <w:tcBorders>
              <w:top w:val="single" w:sz="8" w:color="8CBE4F"/>
            </w:tcBorders>
          </w:tcPr>
          <w:p>
            <w:pPr>
              <w:spacing w:after="0"/>
              <w:rPr>
                <w:sz w:val="24"/>
                <w:szCs w:val="24"/>
                <w:color w:val="auto"/>
              </w:rPr>
            </w:pPr>
          </w:p>
        </w:tc>
        <w:tc>
          <w:tcPr>
            <w:tcW w:w="200" w:type="dxa"/>
            <w:vAlign w:val="bottom"/>
            <w:tcBorders>
              <w:top w:val="single" w:sz="8" w:color="8CBE4F"/>
            </w:tcBorders>
          </w:tcPr>
          <w:p>
            <w:pPr>
              <w:spacing w:after="0"/>
              <w:rPr>
                <w:sz w:val="24"/>
                <w:szCs w:val="24"/>
                <w:color w:val="auto"/>
              </w:rPr>
            </w:pPr>
          </w:p>
        </w:tc>
        <w:tc>
          <w:tcPr>
            <w:tcW w:w="2540" w:type="dxa"/>
            <w:vAlign w:val="bottom"/>
            <w:tcBorders>
              <w:top w:val="single" w:sz="8" w:color="8CBE4F"/>
            </w:tcBorders>
            <w:gridSpan w:val="4"/>
          </w:tcPr>
          <w:p>
            <w:pPr>
              <w:jc w:val="right"/>
              <w:ind w:right="275"/>
              <w:spacing w:after="0"/>
              <w:rPr>
                <w:sz w:val="20"/>
                <w:szCs w:val="20"/>
                <w:color w:val="auto"/>
              </w:rPr>
            </w:pPr>
            <w:r>
              <w:rPr>
                <w:rFonts w:ascii="Arial" w:cs="Arial" w:eastAsia="Arial" w:hAnsi="Arial"/>
                <w:sz w:val="14"/>
                <w:szCs w:val="14"/>
                <w:color w:val="auto"/>
              </w:rPr>
              <w:t>Second Quarter 2021 Form 10-Q</w:t>
            </w:r>
          </w:p>
        </w:tc>
        <w:tc>
          <w:tcPr>
            <w:tcW w:w="340" w:type="dxa"/>
            <w:vAlign w:val="bottom"/>
            <w:tcBorders>
              <w:top w:val="single" w:sz="8" w:color="8CBE4F"/>
            </w:tcBorders>
          </w:tcPr>
          <w:p>
            <w:pPr>
              <w:spacing w:after="0"/>
              <w:rPr>
                <w:sz w:val="24"/>
                <w:szCs w:val="24"/>
                <w:color w:val="auto"/>
              </w:rPr>
            </w:pPr>
          </w:p>
        </w:tc>
        <w:tc>
          <w:tcPr>
            <w:tcW w:w="960" w:type="dxa"/>
            <w:vAlign w:val="bottom"/>
            <w:tcBorders>
              <w:top w:val="single" w:sz="8" w:color="8CBE4F"/>
            </w:tcBorders>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24"/>
                <w:szCs w:val="24"/>
                <w:color w:val="auto"/>
              </w:rPr>
            </w:pPr>
          </w:p>
        </w:tc>
      </w:tr>
      <w:tr>
        <w:trPr>
          <w:trHeight w:val="329"/>
        </w:trPr>
        <w:tc>
          <w:tcPr>
            <w:tcW w:w="5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-1344930</wp:posOffset>
            </wp:positionV>
            <wp:extent cx="34029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2021, we entered into an additional interest rate swap agreement (the "July 2021 Swap Agreement"), which effectively converts portions of our variable rate debt under the 2020 Credit Facility to a fixed rate for the term of the July 2021 Swap Agreement. The notional value of the July 2021 Swap Agreement was $75.0 million with an effective date beginning in July 2021 through Oct 2024. We designated the July 2021 Swap Agreement as a cash flow hedge at the inception of the contract. See Note 8 for information about our other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22</w:t>
      </w:r>
      <w:r>
        <w:rPr>
          <w:sz w:val="20"/>
          <w:szCs w:val="20"/>
          <w:color w:val="auto"/>
        </w:rPr>
        <w:tab/>
      </w:r>
      <w:r>
        <w:rPr>
          <w:sz w:val="1"/>
          <w:szCs w:val="1"/>
          <w:color w:val="auto"/>
        </w:rPr>
        <w:drawing>
          <wp:inline distT="0" distB="0" distL="0" distR="0">
            <wp:extent cx="651510" cy="1714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0"/>
        <w:spacing w:after="0" w:line="278" w:lineRule="auto"/>
        <w:rPr>
          <w:sz w:val="20"/>
          <w:szCs w:val="20"/>
          <w:color w:val="auto"/>
        </w:rPr>
      </w:pPr>
      <w:r>
        <w:rPr>
          <w:rFonts w:ascii="Arial" w:cs="Arial" w:eastAsia="Arial" w:hAnsi="Arial"/>
          <w:sz w:val="29"/>
          <w:szCs w:val="29"/>
          <w:b w:val="1"/>
          <w:bCs w:val="1"/>
          <w:color w:val="71BF43"/>
        </w:rPr>
        <w:t>ITEM 2. MANAGEMENT'S DISCUSSION AND ANALYSIS OF FINANCIAL CONDITION AND RESULTS OF OPERATIONS</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condensed consolidated financial statements and related notes which are primarily denominated in thousands of dollars.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four decades, we are headquartered in Charleston, South Carolina, and have operations in the United States, Australia, Canada, Costa Rica and the United Kingdom.</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revenue is primarily generated from the following sources: (i) charging for the use of our software solutions in cloud and hosted environments; (ii) providing payment and other transactional-type services; (iii) providing software maintenance and support services; and (iv) providing professional services, including implementation, consulting, training, analytic and other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economic impact of COVID-19 on the social good industry remains uncertain, although we are beginning to see signs of recovery in the industry. If our existing and prospective customers remain cautious in their purchase decisions, our operating environment may continue to be challenging for the remainder of 2021 and potentially beyond. Notwithstanding these conditions, we remain focused on continuing to execute our four-point strategy and strengthening our leadership position.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Four-Point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140335</wp:posOffset>
            </wp:positionV>
            <wp:extent cx="265430" cy="196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19" w:lineRule="exact"/>
        <w:rPr>
          <w:sz w:val="20"/>
          <w:szCs w:val="20"/>
          <w:color w:val="auto"/>
        </w:rPr>
      </w:pPr>
    </w:p>
    <w:p>
      <w:pPr>
        <w:ind w:left="1300" w:hanging="471"/>
        <w:spacing w:after="0"/>
        <w:tabs>
          <w:tab w:leader="none" w:pos="1300" w:val="left"/>
        </w:tabs>
        <w:numPr>
          <w:ilvl w:val="0"/>
          <w:numId w:val="12"/>
        </w:numPr>
        <w:rPr>
          <w:rFonts w:ascii="Arial" w:cs="Arial" w:eastAsia="Arial" w:hAnsi="Arial"/>
          <w:sz w:val="18"/>
          <w:szCs w:val="18"/>
          <w:b w:val="1"/>
          <w:bCs w:val="1"/>
          <w:color w:val="FFFFFF"/>
        </w:rPr>
      </w:pPr>
      <w:r>
        <w:rPr>
          <w:rFonts w:ascii="Arial" w:cs="Arial" w:eastAsia="Arial" w:hAnsi="Arial"/>
          <w:sz w:val="18"/>
          <w:szCs w:val="18"/>
          <w:b w:val="1"/>
          <w:bCs w:val="1"/>
          <w:color w:val="auto"/>
        </w:rPr>
        <w:t>Expand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0"/>
          <w:numId w:val="13"/>
        </w:numPr>
        <w:rPr>
          <w:rFonts w:ascii="Arial" w:cs="Arial" w:eastAsia="Arial" w:hAnsi="Arial"/>
          <w:sz w:val="18"/>
          <w:szCs w:val="18"/>
          <w:b w:val="1"/>
          <w:bCs w:val="1"/>
          <w:color w:val="FFFFFF"/>
        </w:rPr>
      </w:pPr>
      <w:r>
        <w:rPr>
          <w:rFonts w:ascii="Arial" w:cs="Arial" w:eastAsia="Arial" w:hAnsi="Arial"/>
          <w:sz w:val="18"/>
          <w:szCs w:val="18"/>
          <w:b w:val="1"/>
          <w:bCs w:val="1"/>
          <w:color w:val="auto"/>
        </w:rPr>
        <w:t>Lead with World Class Teams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7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430" cy="197485"/>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1"/>
          <w:numId w:val="14"/>
        </w:numPr>
        <w:rPr>
          <w:rFonts w:ascii="Arial" w:cs="Arial" w:eastAsia="Arial" w:hAnsi="Arial"/>
          <w:sz w:val="18"/>
          <w:szCs w:val="18"/>
          <w:b w:val="1"/>
          <w:bCs w:val="1"/>
          <w:color w:val="FFFFFF"/>
        </w:rPr>
      </w:pPr>
      <w:r>
        <w:rPr>
          <w:rFonts w:ascii="Arial" w:cs="Arial" w:eastAsia="Arial" w:hAnsi="Arial"/>
          <w:sz w:val="18"/>
          <w:szCs w:val="18"/>
          <w:b w:val="1"/>
          <w:bCs w:val="1"/>
          <w:color w:val="auto"/>
        </w:rPr>
        <w:t>Delight Customers with Innovative Cloud Solutions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7"/>
          <w:szCs w:val="17"/>
          <w:b w:val="1"/>
          <w:bCs w:val="1"/>
          <w:color w:val="auto"/>
        </w:rPr>
        <w:t>Focus on Employees, Culture and ESG Initiatives</w:t>
      </w:r>
    </w:p>
    <w:p>
      <w:pPr>
        <w:spacing w:after="0" w:line="310" w:lineRule="exact"/>
        <w:rPr>
          <w:rFonts w:ascii="Arial" w:cs="Arial" w:eastAsia="Arial" w:hAnsi="Arial"/>
          <w:sz w:val="18"/>
          <w:szCs w:val="18"/>
          <w:b w:val="1"/>
          <w:bCs w:val="1"/>
          <w:color w:val="FFFFFF"/>
        </w:rPr>
      </w:pPr>
    </w:p>
    <w:p>
      <w:pPr>
        <w:ind w:left="320" w:hanging="312"/>
        <w:spacing w:after="0"/>
        <w:tabs>
          <w:tab w:leader="none" w:pos="3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Expand Total Addressable Market ("TAM")</w:t>
      </w:r>
    </w:p>
    <w:p>
      <w:pPr>
        <w:spacing w:after="0" w:line="189" w:lineRule="exact"/>
        <w:rPr>
          <w:rFonts w:ascii="Arial" w:cs="Arial" w:eastAsia="Arial" w:hAnsi="Arial"/>
          <w:sz w:val="18"/>
          <w:szCs w:val="18"/>
          <w:i w:val="1"/>
          <w:iCs w:val="1"/>
          <w:color w:val="auto"/>
        </w:rPr>
      </w:pPr>
    </w:p>
    <w:p>
      <w:pPr>
        <w:jc w:val="both"/>
        <w:ind w:left="34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We are now once again actively evaluating opportunities to further expand our addressable market through acquisitions and internal product development. We have significant opportunities in front of us as we are less than 10% penetrated into a TAM of over $10 billion. Acquisitions are an important element of our strategy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-1010920</wp:posOffset>
            </wp:positionV>
            <wp:extent cx="265430"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430" cy="1968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222885</wp:posOffset>
            </wp:positionV>
            <wp:extent cx="65976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Lead with World Class Teams and Operations</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This strategy expands upon our previous strategies to drive sales effectiveness and improve operating efficiency to include improving overall company performance as measured by the Rule of 40 (see discussion of Non-GAAP Financial Measures below). We have a strong executive team that is delivering on our mission and executing on our strategy. We have talent across our company, at every level, who are aligned with these goals as well. In support of this strategy, during the second quarter of 2021, we merged our EMG and GMG to create one U.S. Market Group ("UMG") to better align our resources toward customer retention and growth. For more information, see Note 13 to our condensed consolidated financial statements in this report.</w:t>
      </w:r>
    </w:p>
    <w:p>
      <w:pPr>
        <w:spacing w:after="0" w:line="135" w:lineRule="exact"/>
        <w:rPr>
          <w:rFonts w:ascii="Arial" w:cs="Arial" w:eastAsia="Arial" w:hAnsi="Arial"/>
          <w:sz w:val="18"/>
          <w:szCs w:val="18"/>
          <w:i w:val="1"/>
          <w:iCs w:val="1"/>
          <w:color w:val="auto"/>
        </w:rPr>
      </w:pPr>
    </w:p>
    <w:p>
      <w:pPr>
        <w:ind w:left="320" w:hanging="312"/>
        <w:spacing w:after="0"/>
        <w:tabs>
          <w:tab w:leader="none" w:pos="3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2020 required unprecedented speed and scale to support our customers, and we were quick to reprioritize and expedite product enhancements to support our customers' changing needs as they needed to operate more digitally. We have carried that momentum into 2021. For example, as arts and cultural organizations begin to open their doors, maintaining high standards for the safety and security of their patrons is a top priority; therefore, we recently announced the general availability of Payment Terminal™. This solution allows organizations to receive secure, contactless chip and tap payments for tickets and donations through Blackbaud Altru® and Blackbaud Merchant Services™. Not only does this minimize staff handling of credit cards during point-of-sale, but it enables them to process payments faster than with a magnetic swipe device and helps to better protect their constituents and their organization from credit card fraud with EMV-certified card readers that offer end-to-end encryption. During the second quarter, we also announced the general availability of Blackbaud Peer-to-Peer Fundraising™, powered by JustGiving® in Australia, New Zealand and Canada bringing this turnkey solution to even more organizations with no subscription fees or setup costs and furthering our efforts to globalize our products.</w:t>
      </w:r>
    </w:p>
    <w:p>
      <w:pPr>
        <w:spacing w:after="0" w:line="139" w:lineRule="exact"/>
        <w:rPr>
          <w:rFonts w:ascii="Arial" w:cs="Arial" w:eastAsia="Arial" w:hAnsi="Arial"/>
          <w:sz w:val="18"/>
          <w:szCs w:val="18"/>
          <w:i w:val="1"/>
          <w:iCs w:val="1"/>
          <w:color w:val="auto"/>
        </w:rPr>
      </w:pPr>
    </w:p>
    <w:p>
      <w:pPr>
        <w:ind w:left="320" w:hanging="312"/>
        <w:spacing w:after="0"/>
        <w:tabs>
          <w:tab w:leader="none" w:pos="3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Focus on Employees, Culture and ESG Initiatives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During the first quarter of 2021, we elevated a specific strategy focused on employees, culture and ESG initiatives. This is not new for us. It is something that is in our DNA and is a big advantage as we look to attract and retain top talent. This is evident in our 2020 social responsibility report, which was released in April 2021. We are fully committed to continuing to create a diverse and inclusive environment at all levels of the organization. During May 2021, we held a month-long celebration of our 40th anniversary with our employees, some of whom have been around to watch our business grow from just one product to providing purpose-built solutions for the entire social good industry. In the second quarter of 2021, we furthered our efforts to create a best-in-class candidate and employee experience with the launch of our new careers site. This enables us to lift our social presence and visibility, create personalized experiences for candidates via artificial intelligence, reduce the time to apply, and accept applications start to finish from a mobile device. It also enables us to leverage data analytics to better understand the talent marketplace and inform future investments.</w:t>
      </w:r>
    </w:p>
    <w:p>
      <w:pPr>
        <w:spacing w:after="0" w:line="31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24</w:t>
      </w:r>
      <w:r>
        <w:rPr>
          <w:sz w:val="20"/>
          <w:szCs w:val="20"/>
          <w:color w:val="auto"/>
        </w:rPr>
        <w:tab/>
      </w:r>
      <w:r>
        <w:rPr>
          <w:sz w:val="1"/>
          <w:szCs w:val="1"/>
          <w:color w:val="auto"/>
        </w:rPr>
        <w:drawing>
          <wp:inline distT="0" distB="0" distL="0" distR="0">
            <wp:extent cx="651510" cy="1714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4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auto"/>
                <w:w w:val="98"/>
              </w:rPr>
              <w:t>Total revenue ($M)</w:t>
            </w:r>
          </w:p>
        </w:tc>
        <w:tc>
          <w:tcPr>
            <w:tcW w:w="4300" w:type="dxa"/>
            <w:vAlign w:val="bottom"/>
          </w:tcPr>
          <w:p>
            <w:pPr>
              <w:jc w:val="center"/>
              <w:spacing w:after="0"/>
              <w:rPr>
                <w:sz w:val="20"/>
                <w:szCs w:val="20"/>
                <w:color w:val="auto"/>
              </w:rPr>
            </w:pPr>
            <w:r>
              <w:rPr>
                <w:rFonts w:ascii="Arial" w:cs="Arial" w:eastAsia="Arial" w:hAnsi="Arial"/>
                <w:sz w:val="18"/>
                <w:szCs w:val="18"/>
                <w:i w:val="1"/>
                <w:iCs w:val="1"/>
                <w:color w:val="auto"/>
                <w:w w:val="99"/>
              </w:rPr>
              <w:t>Income from operations ($M)</w:t>
            </w:r>
          </w:p>
        </w:tc>
      </w:tr>
      <w:tr>
        <w:trPr>
          <w:trHeight w:val="27"/>
        </w:trPr>
        <w:tc>
          <w:tcPr>
            <w:tcW w:w="42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1"/>
        </w:trPr>
        <w:tc>
          <w:tcPr>
            <w:tcW w:w="4940" w:type="dxa"/>
            <w:vAlign w:val="bottom"/>
            <w:gridSpan w:val="2"/>
          </w:tcPr>
          <w:p>
            <w:pPr>
              <w:jc w:val="center"/>
              <w:ind w:right="640"/>
              <w:spacing w:after="0"/>
              <w:rPr>
                <w:sz w:val="20"/>
                <w:szCs w:val="20"/>
                <w:color w:val="auto"/>
              </w:rPr>
            </w:pPr>
            <w:r>
              <w:rPr>
                <w:rFonts w:ascii="Arial" w:cs="Arial" w:eastAsia="Arial" w:hAnsi="Arial"/>
                <w:sz w:val="13"/>
                <w:szCs w:val="13"/>
                <w:i w:val="1"/>
                <w:iCs w:val="1"/>
                <w:color w:val="auto"/>
                <w:w w:val="95"/>
              </w:rPr>
              <w:t>YoY Growth (%)</w:t>
            </w:r>
          </w:p>
        </w:tc>
        <w:tc>
          <w:tcPr>
            <w:tcW w:w="4300" w:type="dxa"/>
            <w:vAlign w:val="bottom"/>
          </w:tcPr>
          <w:p>
            <w:pPr>
              <w:jc w:val="center"/>
              <w:spacing w:after="0"/>
              <w:rPr>
                <w:sz w:val="20"/>
                <w:szCs w:val="20"/>
                <w:color w:val="auto"/>
              </w:rPr>
            </w:pPr>
            <w:r>
              <w:rPr>
                <w:rFonts w:ascii="Arial" w:cs="Arial" w:eastAsia="Arial" w:hAnsi="Arial"/>
                <w:sz w:val="13"/>
                <w:szCs w:val="13"/>
                <w:i w:val="1"/>
                <w:iCs w:val="1"/>
                <w:color w:val="auto"/>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181610</wp:posOffset>
            </wp:positionV>
            <wp:extent cx="5417820" cy="3008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1782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decreased by $2.6 million and $ 7.0 million during the three and six months ended June 30, 2021, respectively, when compared to the same periods in 2020, driven largely by the following:</w:t>
      </w:r>
    </w:p>
    <w:p>
      <w:pPr>
        <w:spacing w:after="0" w:line="90" w:lineRule="exact"/>
        <w:rPr>
          <w:sz w:val="20"/>
          <w:szCs w:val="20"/>
          <w:color w:val="auto"/>
        </w:rPr>
      </w:pPr>
    </w:p>
    <w:p>
      <w:pPr>
        <w:jc w:val="both"/>
        <w:ind w:left="700" w:right="20" w:hanging="351"/>
        <w:spacing w:after="0" w:line="254"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Decreases in one-time consulting revenue due primarily to less implementation and customization services. We changed our commission plans during the first quarter of 2020 to intentionally shift our sales teams' focus towards selling our cloud solutions. Additionally, the bookings shortfalls during 2020 caused by the COVID-19 pandemic contributed to the decreases in one-time consulting revenue.</w:t>
      </w:r>
    </w:p>
    <w:p>
      <w:pPr>
        <w:spacing w:after="0" w:line="41" w:lineRule="exact"/>
        <w:rPr>
          <w:rFonts w:ascii="Arial" w:cs="Arial" w:eastAsia="Arial" w:hAnsi="Arial"/>
          <w:sz w:val="18"/>
          <w:szCs w:val="18"/>
          <w:color w:val="auto"/>
        </w:rPr>
      </w:pPr>
    </w:p>
    <w:p>
      <w:pPr>
        <w:ind w:left="700" w:hanging="351"/>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Decreases in one-time analytics revenue as analytics are generally integrated in our cloud solutions</w:t>
      </w:r>
    </w:p>
    <w:p>
      <w:pPr>
        <w:spacing w:after="0" w:line="63" w:lineRule="exact"/>
        <w:rPr>
          <w:sz w:val="20"/>
          <w:szCs w:val="20"/>
          <w:color w:val="auto"/>
        </w:rPr>
      </w:pPr>
    </w:p>
    <w:p>
      <w:pPr>
        <w:ind w:left="700" w:right="20" w:hanging="373"/>
        <w:spacing w:after="0" w:line="261"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Growth in recurring revenue related to increases in contractual revenue related to the performance of our cloud software solutions and, to a lesser extent, early progress in initiatives to bring our pricing in line with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288925</wp:posOffset>
            </wp:positionV>
            <wp:extent cx="65976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from operations decreased by $6.5 million and $ 8.3 million during the three and six months ended June 30, 2021, respectively, when compared to the same periods in 2020, driven largely by the following:</w:t>
      </w:r>
    </w:p>
    <w:p>
      <w:pPr>
        <w:ind w:left="700" w:hanging="351"/>
        <w:spacing w:after="0" w:line="209" w:lineRule="auto"/>
        <w:tabs>
          <w:tab w:leader="none" w:pos="70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Increases in stock-based compensation expense of $10.4 million and $26.8 million, respectively, due to:</w:t>
      </w:r>
    </w:p>
    <w:p>
      <w:pPr>
        <w:spacing w:after="0" w:line="53" w:lineRule="exact"/>
        <w:rPr>
          <w:rFonts w:ascii="Arial" w:cs="Arial" w:eastAsia="Arial" w:hAnsi="Arial"/>
          <w:sz w:val="36"/>
          <w:szCs w:val="36"/>
          <w:color w:val="auto"/>
          <w:vertAlign w:val="superscript"/>
        </w:rPr>
      </w:pPr>
    </w:p>
    <w:p>
      <w:pPr>
        <w:ind w:left="1340" w:right="320" w:hanging="315"/>
        <w:spacing w:after="0" w:line="261" w:lineRule="auto"/>
        <w:tabs>
          <w:tab w:leader="none" w:pos="13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Certain changes to our compensation program that are expected to cause stock-based compensation expense to remain higher than historical levels, including</w:t>
      </w:r>
    </w:p>
    <w:p>
      <w:pPr>
        <w:spacing w:after="0" w:line="35" w:lineRule="exact"/>
        <w:rPr>
          <w:rFonts w:ascii="Arial" w:cs="Arial" w:eastAsia="Arial" w:hAnsi="Arial"/>
          <w:sz w:val="18"/>
          <w:szCs w:val="18"/>
          <w:color w:val="auto"/>
        </w:rPr>
      </w:pPr>
    </w:p>
    <w:p>
      <w:pPr>
        <w:ind w:left="2000" w:hanging="327"/>
        <w:spacing w:after="0"/>
        <w:tabs>
          <w:tab w:leader="none" w:pos="20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replacement of our annual cash bonus plans with a short-term performance-based equity award plan</w:t>
      </w:r>
    </w:p>
    <w:p>
      <w:pPr>
        <w:spacing w:after="0" w:line="63" w:lineRule="exact"/>
        <w:rPr>
          <w:rFonts w:ascii="Arial" w:cs="Arial" w:eastAsia="Arial" w:hAnsi="Arial"/>
          <w:sz w:val="18"/>
          <w:szCs w:val="18"/>
          <w:color w:val="auto"/>
        </w:rPr>
      </w:pPr>
    </w:p>
    <w:p>
      <w:pPr>
        <w:ind w:left="2000" w:right="300" w:hanging="327"/>
        <w:spacing w:after="0" w:line="261" w:lineRule="auto"/>
        <w:tabs>
          <w:tab w:leader="none" w:pos="1996"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decrease in the vesting period for our annual long-term incentive time-based equity awards from 4 years (1/4 per year) to 3 years (1/3 per year), beginning in February 2021; and</w:t>
      </w:r>
    </w:p>
    <w:p>
      <w:pPr>
        <w:spacing w:after="0" w:line="35" w:lineRule="exact"/>
        <w:rPr>
          <w:rFonts w:ascii="Arial" w:cs="Arial" w:eastAsia="Arial" w:hAnsi="Arial"/>
          <w:sz w:val="18"/>
          <w:szCs w:val="18"/>
          <w:color w:val="auto"/>
        </w:rPr>
      </w:pPr>
    </w:p>
    <w:p>
      <w:pPr>
        <w:ind w:left="2000" w:hanging="327"/>
        <w:spacing w:after="0"/>
        <w:tabs>
          <w:tab w:leader="none" w:pos="2000" w:val="left"/>
        </w:tabs>
        <w:numPr>
          <w:ilvl w:val="2"/>
          <w:numId w:val="18"/>
        </w:numPr>
        <w:rPr>
          <w:rFonts w:ascii="Arial" w:cs="Arial" w:eastAsia="Arial" w:hAnsi="Arial"/>
          <w:sz w:val="18"/>
          <w:szCs w:val="18"/>
          <w:color w:val="auto"/>
        </w:rPr>
      </w:pPr>
      <w:r>
        <w:rPr>
          <w:rFonts w:ascii="Arial" w:cs="Arial" w:eastAsia="Arial" w:hAnsi="Arial"/>
          <w:sz w:val="18"/>
          <w:szCs w:val="18"/>
          <w:color w:val="auto"/>
        </w:rPr>
        <w:t>replacement of cash sign-on and retention bonuses with time-based equity awards.</w:t>
      </w:r>
    </w:p>
    <w:p>
      <w:pPr>
        <w:spacing w:after="0" w:line="63" w:lineRule="exact"/>
        <w:rPr>
          <w:rFonts w:ascii="Arial" w:cs="Arial" w:eastAsia="Arial" w:hAnsi="Arial"/>
          <w:sz w:val="18"/>
          <w:szCs w:val="18"/>
          <w:color w:val="auto"/>
        </w:rPr>
      </w:pPr>
    </w:p>
    <w:p>
      <w:pPr>
        <w:ind w:left="1320" w:hanging="295"/>
        <w:spacing w:after="0"/>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Increases in the grant date fair values of our annual equity awards granted to employees;</w:t>
      </w:r>
    </w:p>
    <w:p>
      <w:pPr>
        <w:spacing w:after="0" w:line="63" w:lineRule="exact"/>
        <w:rPr>
          <w:rFonts w:ascii="Arial" w:cs="Arial" w:eastAsia="Arial" w:hAnsi="Arial"/>
          <w:sz w:val="18"/>
          <w:szCs w:val="18"/>
          <w:color w:val="auto"/>
        </w:rPr>
      </w:pPr>
    </w:p>
    <w:p>
      <w:pPr>
        <w:ind w:left="1340" w:right="60" w:hanging="315"/>
        <w:spacing w:after="0" w:line="261" w:lineRule="auto"/>
        <w:tabs>
          <w:tab w:leader="none" w:pos="13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 a one-time response to COVID-19, replacement of our 2020 base salary merit increases with one-year time-based equity awards, which vested and were recognized as expense between May 1, 2020 and May 1, 2021; and</w:t>
      </w:r>
    </w:p>
    <w:p>
      <w:pPr>
        <w:spacing w:after="0" w:line="35" w:lineRule="exact"/>
        <w:rPr>
          <w:rFonts w:ascii="Arial" w:cs="Arial" w:eastAsia="Arial" w:hAnsi="Arial"/>
          <w:sz w:val="18"/>
          <w:szCs w:val="18"/>
          <w:color w:val="auto"/>
        </w:rPr>
      </w:pPr>
    </w:p>
    <w:p>
      <w:pPr>
        <w:ind w:left="1320" w:hanging="295"/>
        <w:spacing w:after="0"/>
        <w:tabs>
          <w:tab w:leader="none" w:pos="1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Overall Company performance against 2020 goals.</w:t>
      </w:r>
    </w:p>
    <w:p>
      <w:pPr>
        <w:spacing w:after="0" w:line="9" w:lineRule="exact"/>
        <w:rPr>
          <w:rFonts w:ascii="Arial" w:cs="Arial" w:eastAsia="Arial" w:hAnsi="Arial"/>
          <w:sz w:val="18"/>
          <w:szCs w:val="18"/>
          <w:color w:val="auto"/>
        </w:rPr>
      </w:pPr>
    </w:p>
    <w:p>
      <w:pPr>
        <w:ind w:left="700" w:hanging="351"/>
        <w:spacing w:after="0" w:line="187" w:lineRule="auto"/>
        <w:tabs>
          <w:tab w:leader="none" w:pos="70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Decreases in total revenue, as described above</w:t>
      </w:r>
    </w:p>
    <w:p>
      <w:pPr>
        <w:spacing w:after="0" w:line="108" w:lineRule="exact"/>
        <w:rPr>
          <w:rFonts w:ascii="Arial" w:cs="Arial" w:eastAsia="Arial" w:hAnsi="Arial"/>
          <w:sz w:val="36"/>
          <w:szCs w:val="36"/>
          <w:color w:val="auto"/>
          <w:vertAlign w:val="superscript"/>
        </w:rPr>
      </w:pPr>
    </w:p>
    <w:p>
      <w:pPr>
        <w:ind w:left="700" w:right="20" w:hanging="351"/>
        <w:spacing w:after="0" w:line="180" w:lineRule="auto"/>
        <w:tabs>
          <w:tab w:leader="none" w:pos="700" w:val="left"/>
        </w:tabs>
        <w:numPr>
          <w:ilvl w:val="0"/>
          <w:numId w:val="18"/>
        </w:numPr>
        <w:rPr>
          <w:rFonts w:ascii="Arial" w:cs="Arial" w:eastAsia="Arial" w:hAnsi="Arial"/>
          <w:sz w:val="33"/>
          <w:szCs w:val="33"/>
          <w:color w:val="auto"/>
          <w:vertAlign w:val="superscript"/>
        </w:rPr>
      </w:pPr>
      <w:r>
        <w:rPr>
          <w:rFonts w:ascii="Arial" w:cs="Arial" w:eastAsia="Arial" w:hAnsi="Arial"/>
          <w:sz w:val="17"/>
          <w:szCs w:val="17"/>
          <w:color w:val="auto"/>
        </w:rPr>
        <w:t>Increases in transaction-based costs of $1.9 million and $1.7 million, respectively, related to payment services integrated in our cloud solutions</w:t>
      </w:r>
    </w:p>
    <w:p>
      <w:pPr>
        <w:spacing w:after="0" w:line="108" w:lineRule="exact"/>
        <w:rPr>
          <w:rFonts w:ascii="Arial" w:cs="Arial" w:eastAsia="Arial" w:hAnsi="Arial"/>
          <w:sz w:val="33"/>
          <w:szCs w:val="33"/>
          <w:color w:val="auto"/>
          <w:vertAlign w:val="superscript"/>
        </w:rPr>
      </w:pPr>
    </w:p>
    <w:p>
      <w:pPr>
        <w:ind w:left="700" w:right="20" w:hanging="351"/>
        <w:spacing w:after="0" w:line="180" w:lineRule="auto"/>
        <w:tabs>
          <w:tab w:leader="none" w:pos="700" w:val="left"/>
        </w:tabs>
        <w:numPr>
          <w:ilvl w:val="0"/>
          <w:numId w:val="18"/>
        </w:numPr>
        <w:rPr>
          <w:rFonts w:ascii="Arial" w:cs="Arial" w:eastAsia="Arial" w:hAnsi="Arial"/>
          <w:sz w:val="33"/>
          <w:szCs w:val="33"/>
          <w:color w:val="auto"/>
          <w:vertAlign w:val="superscript"/>
        </w:rPr>
      </w:pPr>
      <w:r>
        <w:rPr>
          <w:rFonts w:ascii="Arial" w:cs="Arial" w:eastAsia="Arial" w:hAnsi="Arial"/>
          <w:sz w:val="17"/>
          <w:szCs w:val="17"/>
          <w:color w:val="auto"/>
        </w:rPr>
        <w:t>Increases in hosting and data center costs of $0.8 million and $1.5 million, respectively, as we continue to migrate our cloud infrastructure to leading public cloud service providers</w:t>
      </w:r>
    </w:p>
    <w:p>
      <w:pPr>
        <w:spacing w:after="0" w:line="109" w:lineRule="exact"/>
        <w:rPr>
          <w:sz w:val="20"/>
          <w:szCs w:val="20"/>
          <w:color w:val="auto"/>
        </w:rPr>
      </w:pPr>
    </w:p>
    <w:p>
      <w:pPr>
        <w:jc w:val="both"/>
        <w:ind w:left="700" w:right="20" w:hanging="373"/>
        <w:spacing w:after="0" w:line="188" w:lineRule="auto"/>
        <w:tabs>
          <w:tab w:leader="none" w:pos="700" w:val="left"/>
        </w:tabs>
        <w:numPr>
          <w:ilvl w:val="0"/>
          <w:numId w:val="19"/>
        </w:numPr>
        <w:rPr>
          <w:rFonts w:ascii="Arial" w:cs="Arial" w:eastAsia="Arial" w:hAnsi="Arial"/>
          <w:sz w:val="36"/>
          <w:szCs w:val="36"/>
          <w:color w:val="auto"/>
          <w:vertAlign w:val="superscript"/>
        </w:rPr>
      </w:pPr>
      <w:r>
        <w:rPr>
          <w:rFonts w:ascii="Arial" w:cs="Arial" w:eastAsia="Arial" w:hAnsi="Arial"/>
          <w:sz w:val="18"/>
          <w:szCs w:val="18"/>
          <w:color w:val="auto"/>
        </w:rPr>
        <w:t>Decreases in rent expense of $4.1 million and $7.2 million, respectively, related to the purchase of our global headquarters facility during the third quarter of 2020 and our exit of certain other office leases globally during the second half of 2020 in-line with our new workforce strategy</w:t>
      </w:r>
    </w:p>
    <w:p>
      <w:pPr>
        <w:spacing w:after="0" w:line="107" w:lineRule="exact"/>
        <w:rPr>
          <w:rFonts w:ascii="Arial" w:cs="Arial" w:eastAsia="Arial" w:hAnsi="Arial"/>
          <w:sz w:val="36"/>
          <w:szCs w:val="36"/>
          <w:color w:val="auto"/>
          <w:vertAlign w:val="superscript"/>
        </w:rPr>
      </w:pPr>
    </w:p>
    <w:p>
      <w:pPr>
        <w:ind w:left="700" w:right="20" w:hanging="373"/>
        <w:spacing w:after="0" w:line="180" w:lineRule="auto"/>
        <w:tabs>
          <w:tab w:leader="none" w:pos="700" w:val="left"/>
        </w:tabs>
        <w:numPr>
          <w:ilvl w:val="0"/>
          <w:numId w:val="19"/>
        </w:numPr>
        <w:rPr>
          <w:rFonts w:ascii="Arial" w:cs="Arial" w:eastAsia="Arial" w:hAnsi="Arial"/>
          <w:sz w:val="33"/>
          <w:szCs w:val="33"/>
          <w:color w:val="auto"/>
          <w:vertAlign w:val="superscript"/>
        </w:rPr>
      </w:pPr>
      <w:r>
        <w:rPr>
          <w:rFonts w:ascii="Arial" w:cs="Arial" w:eastAsia="Arial" w:hAnsi="Arial"/>
          <w:sz w:val="17"/>
          <w:szCs w:val="17"/>
          <w:color w:val="auto"/>
        </w:rPr>
        <w:t>Decreases in employee severance of $3.8 million and $2.9 million, related to a modest and targeted headcount reduction during the three months ended June 30, 2020, in response to the COVID-19 pandemic</w:t>
      </w:r>
    </w:p>
    <w:p>
      <w:pPr>
        <w:spacing w:after="0" w:line="1" w:lineRule="exact"/>
        <w:rPr>
          <w:rFonts w:ascii="Arial" w:cs="Arial" w:eastAsia="Arial" w:hAnsi="Arial"/>
          <w:sz w:val="33"/>
          <w:szCs w:val="33"/>
          <w:color w:val="auto"/>
          <w:vertAlign w:val="superscript"/>
        </w:rPr>
      </w:pPr>
    </w:p>
    <w:p>
      <w:pPr>
        <w:ind w:left="700" w:hanging="373"/>
        <w:spacing w:after="0" w:line="187" w:lineRule="auto"/>
        <w:tabs>
          <w:tab w:leader="none" w:pos="700" w:val="left"/>
        </w:tabs>
        <w:numPr>
          <w:ilvl w:val="0"/>
          <w:numId w:val="19"/>
        </w:numPr>
        <w:rPr>
          <w:rFonts w:ascii="Arial" w:cs="Arial" w:eastAsia="Arial" w:hAnsi="Arial"/>
          <w:sz w:val="36"/>
          <w:szCs w:val="36"/>
          <w:color w:val="auto"/>
          <w:vertAlign w:val="superscript"/>
        </w:rPr>
      </w:pPr>
      <w:r>
        <w:rPr>
          <w:rFonts w:ascii="Arial" w:cs="Arial" w:eastAsia="Arial" w:hAnsi="Arial"/>
          <w:sz w:val="18"/>
          <w:szCs w:val="18"/>
          <w:color w:val="auto"/>
        </w:rPr>
        <w:t>Decreases in amortization of intangible assets from business combinations of $1.0 million and $3.0 million, respectively</w:t>
      </w:r>
    </w:p>
    <w:p>
      <w:pPr>
        <w:spacing w:after="0" w:line="108" w:lineRule="exact"/>
        <w:rPr>
          <w:rFonts w:ascii="Arial" w:cs="Arial" w:eastAsia="Arial" w:hAnsi="Arial"/>
          <w:sz w:val="36"/>
          <w:szCs w:val="36"/>
          <w:color w:val="auto"/>
          <w:vertAlign w:val="superscript"/>
        </w:rPr>
      </w:pPr>
    </w:p>
    <w:p>
      <w:pPr>
        <w:ind w:left="700" w:right="20" w:hanging="373"/>
        <w:spacing w:after="0" w:line="180" w:lineRule="auto"/>
        <w:tabs>
          <w:tab w:leader="none" w:pos="700" w:val="left"/>
        </w:tabs>
        <w:numPr>
          <w:ilvl w:val="0"/>
          <w:numId w:val="19"/>
        </w:numPr>
        <w:rPr>
          <w:rFonts w:ascii="Arial" w:cs="Arial" w:eastAsia="Arial" w:hAnsi="Arial"/>
          <w:sz w:val="33"/>
          <w:szCs w:val="33"/>
          <w:color w:val="auto"/>
          <w:vertAlign w:val="superscript"/>
        </w:rPr>
      </w:pPr>
      <w:r>
        <w:rPr>
          <w:rFonts w:ascii="Arial" w:cs="Arial" w:eastAsia="Arial" w:hAnsi="Arial"/>
          <w:sz w:val="17"/>
          <w:szCs w:val="17"/>
          <w:color w:val="auto"/>
        </w:rPr>
        <w:t>Decrease in compensation costs other than stock-based compensation of $13.2 million, during the six months ended June 30, 2021, primarily due to a decrease in headcount</w:t>
      </w:r>
    </w:p>
    <w:p>
      <w:pPr>
        <w:spacing w:after="0" w:line="108" w:lineRule="exact"/>
        <w:rPr>
          <w:rFonts w:ascii="Arial" w:cs="Arial" w:eastAsia="Arial" w:hAnsi="Arial"/>
          <w:sz w:val="33"/>
          <w:szCs w:val="33"/>
          <w:color w:val="auto"/>
          <w:vertAlign w:val="superscript"/>
        </w:rPr>
      </w:pPr>
    </w:p>
    <w:p>
      <w:pPr>
        <w:ind w:left="700" w:right="20" w:hanging="373"/>
        <w:spacing w:after="0" w:line="180" w:lineRule="auto"/>
        <w:tabs>
          <w:tab w:leader="none" w:pos="700" w:val="left"/>
        </w:tabs>
        <w:numPr>
          <w:ilvl w:val="0"/>
          <w:numId w:val="19"/>
        </w:numPr>
        <w:rPr>
          <w:rFonts w:ascii="Arial" w:cs="Arial" w:eastAsia="Arial" w:hAnsi="Arial"/>
          <w:sz w:val="33"/>
          <w:szCs w:val="33"/>
          <w:color w:val="auto"/>
          <w:vertAlign w:val="superscript"/>
        </w:rPr>
      </w:pPr>
      <w:r>
        <w:rPr>
          <w:rFonts w:ascii="Arial" w:cs="Arial" w:eastAsia="Arial" w:hAnsi="Arial"/>
          <w:sz w:val="17"/>
          <w:szCs w:val="17"/>
          <w:color w:val="auto"/>
        </w:rPr>
        <w:t>Decrease in travel costs of $3.5 million, during the six months ended June 30, 2021, due to our restriction on non-essential employee travel in response to the COVID-19 pandemic</w:t>
      </w: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continuing to make critical investments in the business in areas such as digital marketing, engineering, security, customer success and our continued shift of cloud infrastructure to leading public cloud service providers. We expect the level of investment in these areas to increase in the second half of 2021.</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26</w:t>
      </w:r>
      <w:r>
        <w:rPr>
          <w:sz w:val="20"/>
          <w:szCs w:val="20"/>
          <w:color w:val="auto"/>
        </w:rPr>
        <w:tab/>
      </w:r>
      <w:r>
        <w:rPr>
          <w:sz w:val="1"/>
          <w:szCs w:val="1"/>
          <w:color w:val="auto"/>
        </w:rPr>
        <w:drawing>
          <wp:inline distT="0" distB="0" distL="0" distR="0">
            <wp:extent cx="651510" cy="1714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7260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206375</wp:posOffset>
            </wp:positionV>
            <wp:extent cx="2280285" cy="131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service customer contracts provides a better representation of our customers' overall behavior. For the twelve months ended June 30, 2021, approximately 92% of our customers with recurring revenue contracts were retained. This customer retention rate is materially unchanged from our rate for the full year ended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and cash flow</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June 30, 2021, our cash and cash equivalents were $28.3 million and the carrying amount of our debt under the 2020 Credit Facility was $483.1 million. Our net leverage ratio was 1.78 to 1.00.</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six months ended June 30, 2021, we generated $99.9 million in cash from operations, had a net increase in borrowings of $14.8 million, returned $58.1 million to stockholders by way of share repurchases and had aggregate cash outlays of $26.0 million for purchases of property and equipment and capitalized software development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Incident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9 to our unaudited, condensed consolidated financial statements included in this report, we believe it is probable that total losses related to the Security Incident will ultimately exceed the limits of our insurance coverage. However, as we are currently unable to determine when that will be the case and the approximate amount or range of any such excess, we are unable to determine the effect the Security Incident will have on our results of operations, liquidity,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481330</wp:posOffset>
            </wp:positionV>
            <wp:extent cx="65976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of Revenue</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Recurring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9"/>
              </w:rPr>
              <w:t>Gross profit ($M)</w:t>
            </w:r>
          </w:p>
        </w:tc>
      </w:tr>
      <w:tr>
        <w:trPr>
          <w:trHeight w:val="235"/>
        </w:trPr>
        <w:tc>
          <w:tcPr>
            <w:tcW w:w="320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9"/>
              </w:rPr>
              <w:t>Revenue ($M)</w:t>
            </w:r>
          </w:p>
        </w:tc>
        <w:tc>
          <w:tcPr>
            <w:tcW w:w="31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9"/>
              </w:rPr>
              <w:t>Cost of revenue ($M)</w:t>
            </w:r>
          </w:p>
        </w:tc>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9"/>
              </w:rPr>
              <w:t>and gross margin (%)</w:t>
            </w:r>
          </w:p>
        </w:tc>
      </w:tr>
      <w:tr>
        <w:trPr>
          <w:trHeight w:val="27"/>
        </w:trPr>
        <w:tc>
          <w:tcPr>
            <w:tcW w:w="27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1"/>
        </w:trPr>
        <w:tc>
          <w:tcPr>
            <w:tcW w:w="3200" w:type="dxa"/>
            <w:vAlign w:val="bottom"/>
            <w:gridSpan w:val="2"/>
          </w:tcPr>
          <w:p>
            <w:pPr>
              <w:jc w:val="center"/>
              <w:ind w:right="420"/>
              <w:spacing w:after="0"/>
              <w:rPr>
                <w:sz w:val="20"/>
                <w:szCs w:val="20"/>
                <w:color w:val="auto"/>
              </w:rPr>
            </w:pPr>
            <w:r>
              <w:rPr>
                <w:rFonts w:ascii="Arial" w:cs="Arial" w:eastAsia="Arial" w:hAnsi="Arial"/>
                <w:sz w:val="13"/>
                <w:szCs w:val="13"/>
                <w:i w:val="1"/>
                <w:iCs w:val="1"/>
                <w:color w:val="auto"/>
                <w:w w:val="95"/>
              </w:rPr>
              <w:t>YoY Growth (%)</w:t>
            </w:r>
          </w:p>
        </w:tc>
        <w:tc>
          <w:tcPr>
            <w:tcW w:w="3140" w:type="dxa"/>
            <w:vAlign w:val="bottom"/>
            <w:gridSpan w:val="2"/>
          </w:tcPr>
          <w:p>
            <w:pPr>
              <w:jc w:val="center"/>
              <w:ind w:right="400"/>
              <w:spacing w:after="0"/>
              <w:rPr>
                <w:sz w:val="20"/>
                <w:szCs w:val="20"/>
                <w:color w:val="auto"/>
              </w:rPr>
            </w:pPr>
            <w:r>
              <w:rPr>
                <w:rFonts w:ascii="Arial" w:cs="Arial" w:eastAsia="Arial" w:hAnsi="Arial"/>
                <w:sz w:val="13"/>
                <w:szCs w:val="13"/>
                <w:i w:val="1"/>
                <w:iCs w:val="1"/>
                <w:color w:val="auto"/>
                <w:w w:val="95"/>
              </w:rPr>
              <w:t>YoY Growth (%)</w:t>
            </w:r>
          </w:p>
        </w:tc>
        <w:tc>
          <w:tcPr>
            <w:tcW w:w="2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812155" cy="3008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121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online training programs, subscription-based analytic services, such as donor acquisitions and data enrichment, and payment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28</w:t>
      </w:r>
      <w:r>
        <w:rPr>
          <w:sz w:val="20"/>
          <w:szCs w:val="20"/>
          <w:color w:val="auto"/>
        </w:rPr>
        <w:tab/>
      </w:r>
      <w:r>
        <w:rPr>
          <w:sz w:val="1"/>
          <w:szCs w:val="1"/>
          <w:color w:val="auto"/>
        </w:rPr>
        <w:drawing>
          <wp:inline distT="0" distB="0" distL="0" distR="0">
            <wp:extent cx="651510" cy="1714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Recurring revenue increased by $0.7 million, or 0.3%, during the three months ended June 30, 2021, when compared to the same period in 2020, driven primarily by the following:</w:t>
      </w:r>
    </w:p>
    <w:p>
      <w:pPr>
        <w:spacing w:after="0" w:line="144" w:lineRule="exact"/>
        <w:rPr>
          <w:sz w:val="20"/>
          <w:szCs w:val="20"/>
          <w:color w:val="auto"/>
        </w:rPr>
      </w:pPr>
    </w:p>
    <w:p>
      <w:pPr>
        <w:jc w:val="both"/>
        <w:ind w:left="700" w:right="20" w:hanging="373"/>
        <w:spacing w:after="0" w:line="188" w:lineRule="auto"/>
        <w:tabs>
          <w:tab w:leader="none" w:pos="70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Increase in contractual recurring revenue of $2.9 million related to the performance of our cloud solutions and, to a lesser extent, early progress in initiatives to bring our pricing in line with the market, partially offset by a decrease in maintenance revenue as customers migrate to our cloud solutions</w:t>
      </w:r>
    </w:p>
    <w:p>
      <w:pPr>
        <w:spacing w:after="0" w:line="107" w:lineRule="exact"/>
        <w:rPr>
          <w:sz w:val="20"/>
          <w:szCs w:val="20"/>
          <w:color w:val="auto"/>
        </w:rPr>
      </w:pPr>
    </w:p>
    <w:p>
      <w:pPr>
        <w:ind w:left="700" w:right="20" w:hanging="351"/>
        <w:spacing w:after="0" w:line="180" w:lineRule="auto"/>
        <w:tabs>
          <w:tab w:leader="none" w:pos="700" w:val="left"/>
        </w:tabs>
        <w:numPr>
          <w:ilvl w:val="0"/>
          <w:numId w:val="21"/>
        </w:numPr>
        <w:rPr>
          <w:rFonts w:ascii="Arial" w:cs="Arial" w:eastAsia="Arial" w:hAnsi="Arial"/>
          <w:sz w:val="33"/>
          <w:szCs w:val="33"/>
          <w:color w:val="auto"/>
          <w:vertAlign w:val="superscript"/>
        </w:rPr>
      </w:pPr>
      <w:r>
        <w:rPr>
          <w:rFonts w:ascii="Arial" w:cs="Arial" w:eastAsia="Arial" w:hAnsi="Arial"/>
          <w:sz w:val="17"/>
          <w:szCs w:val="17"/>
          <w:color w:val="auto"/>
        </w:rPr>
        <w:t>Decrease in transactional revenue of $2.2 million primarily due to a decrease in the volume of transactions for which we process payments when compared to the elevated online charitable giving, mainly related to COVID-19, during the second quarter of 2020</w:t>
      </w:r>
    </w:p>
    <w:p>
      <w:pPr>
        <w:spacing w:after="0" w:line="2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Recurring revenue increased by $2.6 million, or 0.6%, during the six months ended June 30, 2021, when compared to the same period in 2020, driven primarily by the following:</w:t>
      </w:r>
    </w:p>
    <w:p>
      <w:pPr>
        <w:spacing w:after="0" w:line="144" w:lineRule="exact"/>
        <w:rPr>
          <w:sz w:val="20"/>
          <w:szCs w:val="20"/>
          <w:color w:val="auto"/>
        </w:rPr>
      </w:pPr>
    </w:p>
    <w:p>
      <w:pPr>
        <w:ind w:left="700" w:right="20" w:hanging="373"/>
        <w:spacing w:after="0" w:line="180" w:lineRule="auto"/>
        <w:tabs>
          <w:tab w:leader="none" w:pos="700" w:val="left"/>
        </w:tabs>
        <w:numPr>
          <w:ilvl w:val="0"/>
          <w:numId w:val="22"/>
        </w:numPr>
        <w:rPr>
          <w:rFonts w:ascii="Arial" w:cs="Arial" w:eastAsia="Arial" w:hAnsi="Arial"/>
          <w:sz w:val="33"/>
          <w:szCs w:val="33"/>
          <w:color w:val="auto"/>
          <w:vertAlign w:val="superscript"/>
        </w:rPr>
      </w:pPr>
      <w:r>
        <w:rPr>
          <w:rFonts w:ascii="Arial" w:cs="Arial" w:eastAsia="Arial" w:hAnsi="Arial"/>
          <w:sz w:val="17"/>
          <w:szCs w:val="17"/>
          <w:color w:val="auto"/>
        </w:rPr>
        <w:t>Increase in contractual recurring revenue of $2.0 million related to the performance of our cloud solutions, partially offset by a decrease in maintenance revenue as customers migrate to our cloud solutions</w:t>
      </w:r>
    </w:p>
    <w:p>
      <w:pPr>
        <w:spacing w:after="0" w:line="108" w:lineRule="exact"/>
        <w:rPr>
          <w:rFonts w:ascii="Arial" w:cs="Arial" w:eastAsia="Arial" w:hAnsi="Arial"/>
          <w:sz w:val="33"/>
          <w:szCs w:val="33"/>
          <w:color w:val="auto"/>
          <w:vertAlign w:val="superscript"/>
        </w:rPr>
      </w:pPr>
    </w:p>
    <w:p>
      <w:pPr>
        <w:jc w:val="both"/>
        <w:ind w:left="700" w:right="20" w:hanging="373"/>
        <w:spacing w:after="0" w:line="188" w:lineRule="auto"/>
        <w:tabs>
          <w:tab w:leader="none" w:pos="7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Increase in transactional revenue of $0.6 million, primarily due to the continued shift toward virtual fundraising and online charitable giving, partially offset by the second quarter 2021 decrease in the volume of transactions for which we process payments, as discussed above</w:t>
      </w:r>
    </w:p>
    <w:p>
      <w:pPr>
        <w:spacing w:after="0" w:line="2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recurring revenue increased by $3.1 million, or 3.4%, and $2.4 million, or 1.3%, during the three and six months ended June 30, 2021, respectively, when compared to the same periods in 2020, driven primarily by the following:</w:t>
      </w:r>
    </w:p>
    <w:p>
      <w:pPr>
        <w:spacing w:after="0" w:line="144" w:lineRule="exact"/>
        <w:rPr>
          <w:sz w:val="20"/>
          <w:szCs w:val="20"/>
          <w:color w:val="auto"/>
        </w:rPr>
      </w:pPr>
    </w:p>
    <w:p>
      <w:pPr>
        <w:ind w:left="700" w:right="60" w:hanging="373"/>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Increases in compensation costs of $2.8 million and $4.2 million, respectively, primarily related to stock-based compensation due to the factors discussed above on page 26</w:t>
      </w:r>
    </w:p>
    <w:p>
      <w:pPr>
        <w:spacing w:after="0" w:line="108" w:lineRule="exact"/>
        <w:rPr>
          <w:rFonts w:ascii="Arial" w:cs="Arial" w:eastAsia="Arial" w:hAnsi="Arial"/>
          <w:sz w:val="33"/>
          <w:szCs w:val="33"/>
          <w:color w:val="auto"/>
          <w:vertAlign w:val="superscript"/>
        </w:rPr>
      </w:pPr>
    </w:p>
    <w:p>
      <w:pPr>
        <w:ind w:left="700" w:right="60" w:hanging="373"/>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Increases in transaction-based costs of $1.9 million and $1.7 million, respectively, related to payment services integrated in our cloud solutions</w:t>
      </w:r>
    </w:p>
    <w:p>
      <w:pPr>
        <w:spacing w:after="0" w:line="108" w:lineRule="exact"/>
        <w:rPr>
          <w:rFonts w:ascii="Arial" w:cs="Arial" w:eastAsia="Arial" w:hAnsi="Arial"/>
          <w:sz w:val="33"/>
          <w:szCs w:val="33"/>
          <w:color w:val="auto"/>
          <w:vertAlign w:val="superscript"/>
        </w:rPr>
      </w:pPr>
    </w:p>
    <w:p>
      <w:pPr>
        <w:ind w:left="700" w:right="60" w:hanging="373"/>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Increases in hosting and data center costs of $0.6 million and $1.1 million, respectively, as we continue to migrate our cloud infrastructure to leading public cloud service providers</w:t>
      </w:r>
    </w:p>
    <w:p>
      <w:pPr>
        <w:spacing w:after="0" w:line="108" w:lineRule="exact"/>
        <w:rPr>
          <w:rFonts w:ascii="Arial" w:cs="Arial" w:eastAsia="Arial" w:hAnsi="Arial"/>
          <w:sz w:val="33"/>
          <w:szCs w:val="33"/>
          <w:color w:val="auto"/>
          <w:vertAlign w:val="superscript"/>
        </w:rPr>
      </w:pPr>
    </w:p>
    <w:p>
      <w:pPr>
        <w:ind w:left="700" w:right="60" w:hanging="373"/>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Increase in third-party contractor costs of $0.8 million during the three months ended June 30, 2021; the increase in third-party contractor costs during the six months ended June 30, 2021 was insignificant</w:t>
      </w:r>
    </w:p>
    <w:p>
      <w:pPr>
        <w:spacing w:after="0" w:line="109" w:lineRule="exact"/>
        <w:rPr>
          <w:sz w:val="20"/>
          <w:szCs w:val="20"/>
          <w:color w:val="auto"/>
        </w:rPr>
      </w:pPr>
    </w:p>
    <w:p>
      <w:pPr>
        <w:ind w:left="700" w:right="60" w:hanging="351"/>
        <w:spacing w:after="0" w:line="180" w:lineRule="auto"/>
        <w:tabs>
          <w:tab w:leader="none" w:pos="700" w:val="left"/>
        </w:tabs>
        <w:numPr>
          <w:ilvl w:val="0"/>
          <w:numId w:val="24"/>
        </w:numPr>
        <w:rPr>
          <w:rFonts w:ascii="Arial" w:cs="Arial" w:eastAsia="Arial" w:hAnsi="Arial"/>
          <w:sz w:val="33"/>
          <w:szCs w:val="33"/>
          <w:color w:val="auto"/>
          <w:vertAlign w:val="superscript"/>
        </w:rPr>
      </w:pPr>
      <w:r>
        <w:rPr>
          <w:rFonts w:ascii="Arial" w:cs="Arial" w:eastAsia="Arial" w:hAnsi="Arial"/>
          <w:sz w:val="17"/>
          <w:szCs w:val="17"/>
          <w:color w:val="auto"/>
        </w:rPr>
        <w:t>Decreases in amortization of software development costs of $2.6 million and $1.6 million, respectively, due to an impairment charge in Q2 2020 which did not occur during the same period in 2021</w:t>
      </w:r>
    </w:p>
    <w:p>
      <w:pPr>
        <w:spacing w:after="0" w:line="1" w:lineRule="exact"/>
        <w:rPr>
          <w:rFonts w:ascii="Arial" w:cs="Arial" w:eastAsia="Arial" w:hAnsi="Arial"/>
          <w:sz w:val="33"/>
          <w:szCs w:val="33"/>
          <w:color w:val="auto"/>
          <w:vertAlign w:val="superscript"/>
        </w:rPr>
      </w:pPr>
    </w:p>
    <w:p>
      <w:pPr>
        <w:ind w:left="700" w:hanging="351"/>
        <w:spacing w:after="0" w:line="187" w:lineRule="auto"/>
        <w:tabs>
          <w:tab w:leader="none" w:pos="70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Decreases in amortization of intangible assets from business combinations of $0.7 million and $2.5 million, respectively</w:t>
      </w:r>
    </w:p>
    <w:p>
      <w:pPr>
        <w:spacing w:after="0" w:line="2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Recurring gross margin decreased by 1.3% for the three months ended June 30, 2021, when compared to the same period in 2020, primarily due to the decrease in higher margin transactional revenue.</w:t>
      </w:r>
    </w:p>
    <w:p>
      <w:pPr>
        <w:spacing w:after="0" w:line="14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Recurring gross margin remained relatively consistent during the six months ended June 30, 2021, when compared to the same period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212090</wp:posOffset>
            </wp:positionV>
            <wp:extent cx="65976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One-time services and other</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32"/>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r>
      <w:tr>
        <w:trPr>
          <w:trHeight w:val="235"/>
        </w:trPr>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w w:val="99"/>
              </w:rPr>
              <w:t>Revenue ($M)</w:t>
            </w:r>
          </w:p>
        </w:tc>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rPr>
              <w:t>Cost of revenue ($M)</w:t>
            </w: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w w:val="99"/>
              </w:rPr>
              <w:t>and gross margin (%)</w:t>
            </w:r>
          </w:p>
        </w:tc>
      </w:tr>
      <w:tr>
        <w:trPr>
          <w:trHeight w:val="27"/>
        </w:trPr>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1"/>
        </w:trPr>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30003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fees from user conferences and third-party software referral fees.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costs of user conferences, allocated depreciation, facilities and IT support costs and amortization of intangible assets from business combinations.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One-time services and other revenue decreased by $3.3 million, or 20.8%, and $9.6 million, or 27.8%, during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2021, respectively, when compared to the same periods in 2020, driven primarily by the following:</w:t>
      </w:r>
    </w:p>
    <w:p>
      <w:pPr>
        <w:spacing w:after="0" w:line="171" w:lineRule="exact"/>
        <w:rPr>
          <w:sz w:val="20"/>
          <w:szCs w:val="20"/>
          <w:color w:val="auto"/>
        </w:rPr>
      </w:pPr>
    </w:p>
    <w:p>
      <w:pPr>
        <w:jc w:val="both"/>
        <w:ind w:left="700" w:right="60" w:hanging="351"/>
        <w:spacing w:after="0" w:line="208" w:lineRule="auto"/>
        <w:tabs>
          <w:tab w:leader="none" w:pos="700" w:val="left"/>
        </w:tabs>
        <w:numPr>
          <w:ilvl w:val="0"/>
          <w:numId w:val="25"/>
        </w:numPr>
        <w:rPr>
          <w:rFonts w:ascii="Arial" w:cs="Arial" w:eastAsia="Arial" w:hAnsi="Arial"/>
          <w:sz w:val="36"/>
          <w:szCs w:val="36"/>
          <w:color w:val="auto"/>
          <w:vertAlign w:val="superscript"/>
        </w:rPr>
      </w:pPr>
      <w:r>
        <w:rPr>
          <w:rFonts w:ascii="Arial" w:cs="Arial" w:eastAsia="Arial" w:hAnsi="Arial"/>
          <w:sz w:val="18"/>
          <w:szCs w:val="18"/>
          <w:color w:val="auto"/>
        </w:rPr>
        <w:t>Decreases in one-time consulting revenue of $2.4 million and $7.1 million, respectively, due primarily to less implementation and customization services. In line with our multi-year strategic shift from a license-based and one-time services business model to a cloud subscription business model, we changed our commission plans during the first quarter of 2020 to intentionally shift our sales teams' focus towards selling our cloud solutions. Additionally, the bookings shortfalls during 2020 caused by the COVID-19 pandemic contributed to the decreases in one-time consulting revenue.</w:t>
      </w:r>
    </w:p>
    <w:p>
      <w:pPr>
        <w:spacing w:after="0" w:line="111" w:lineRule="exact"/>
        <w:rPr>
          <w:rFonts w:ascii="Arial" w:cs="Arial" w:eastAsia="Arial" w:hAnsi="Arial"/>
          <w:sz w:val="36"/>
          <w:szCs w:val="36"/>
          <w:color w:val="auto"/>
          <w:vertAlign w:val="superscript"/>
        </w:rPr>
      </w:pPr>
    </w:p>
    <w:p>
      <w:pPr>
        <w:ind w:left="700" w:right="80" w:hanging="351"/>
        <w:spacing w:after="0" w:line="180" w:lineRule="auto"/>
        <w:tabs>
          <w:tab w:leader="none" w:pos="700" w:val="left"/>
        </w:tabs>
        <w:numPr>
          <w:ilvl w:val="0"/>
          <w:numId w:val="25"/>
        </w:numPr>
        <w:rPr>
          <w:rFonts w:ascii="Arial" w:cs="Arial" w:eastAsia="Arial" w:hAnsi="Arial"/>
          <w:sz w:val="33"/>
          <w:szCs w:val="33"/>
          <w:color w:val="auto"/>
          <w:vertAlign w:val="superscript"/>
        </w:rPr>
      </w:pPr>
      <w:r>
        <w:rPr>
          <w:rFonts w:ascii="Arial" w:cs="Arial" w:eastAsia="Arial" w:hAnsi="Arial"/>
          <w:sz w:val="17"/>
          <w:szCs w:val="17"/>
          <w:color w:val="auto"/>
        </w:rPr>
        <w:t>Decreases in one-time analytics revenue of $0.8 million and $1.8 million, respectively, as analytics are generally integrated in our cloud solutions</w:t>
      </w: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30</w:t>
      </w:r>
      <w:r>
        <w:rPr>
          <w:sz w:val="20"/>
          <w:szCs w:val="20"/>
          <w:color w:val="auto"/>
        </w:rPr>
        <w:tab/>
      </w:r>
      <w:r>
        <w:rPr>
          <w:sz w:val="1"/>
          <w:szCs w:val="1"/>
          <w:color w:val="auto"/>
        </w:rPr>
        <w:drawing>
          <wp:inline distT="0" distB="0" distL="0" distR="0">
            <wp:extent cx="651510" cy="1714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one-time services and other remained relatively consistent during the three months ended June 30, 2021, when compared to the same period in 2020.</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one-time services and other decreased by $ 0.7 million, or 2.5%, during the six months ended June 30, 2021, when compared to the same period in 2020, driven primarily by a decrease in third-party contractor costs of $1.0 million due to the timing of our spending.</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gross margin decreased by 23.2% and 29.3% during the three and six months ended June 30, 2021, respectively, when compared to the same periods in 2020, primarily due to the significant reductions in one-time consulting and analytics revenue discussed above.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521"/>
        </w:trPr>
        <w:tc>
          <w:tcPr>
            <w:tcW w:w="2540" w:type="dxa"/>
            <w:vAlign w:val="bottom"/>
          </w:tcPr>
          <w:p>
            <w:pPr>
              <w:jc w:val="center"/>
              <w:ind w:left="50"/>
              <w:spacing w:after="0"/>
              <w:rPr>
                <w:sz w:val="20"/>
                <w:szCs w:val="20"/>
                <w:color w:val="auto"/>
              </w:rPr>
            </w:pPr>
            <w:r>
              <w:rPr>
                <w:rFonts w:ascii="Arial" w:cs="Arial" w:eastAsia="Arial" w:hAnsi="Arial"/>
                <w:sz w:val="18"/>
                <w:szCs w:val="18"/>
                <w:i w:val="1"/>
                <w:iCs w:val="1"/>
                <w:color w:val="auto"/>
                <w:w w:val="99"/>
              </w:rPr>
              <w:t>Sales, marketing and</w:t>
            </w:r>
          </w:p>
        </w:tc>
        <w:tc>
          <w:tcPr>
            <w:tcW w:w="4200" w:type="dxa"/>
            <w:vAlign w:val="bottom"/>
          </w:tcPr>
          <w:p>
            <w:pPr>
              <w:jc w:val="center"/>
              <w:ind w:right="119"/>
              <w:spacing w:after="0"/>
              <w:rPr>
                <w:sz w:val="20"/>
                <w:szCs w:val="20"/>
                <w:color w:val="auto"/>
              </w:rPr>
            </w:pPr>
            <w:r>
              <w:rPr>
                <w:rFonts w:ascii="Arial" w:cs="Arial" w:eastAsia="Arial" w:hAnsi="Arial"/>
                <w:sz w:val="18"/>
                <w:szCs w:val="18"/>
                <w:i w:val="1"/>
                <w:iCs w:val="1"/>
                <w:color w:val="auto"/>
                <w:w w:val="99"/>
              </w:rPr>
              <w:t>Research and</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auto"/>
                <w:w w:val="98"/>
              </w:rPr>
              <w:t>General and</w:t>
            </w:r>
          </w:p>
        </w:tc>
      </w:tr>
      <w:tr>
        <w:trPr>
          <w:trHeight w:val="235"/>
        </w:trPr>
        <w:tc>
          <w:tcPr>
            <w:tcW w:w="2540" w:type="dxa"/>
            <w:vAlign w:val="bottom"/>
          </w:tcPr>
          <w:p>
            <w:pPr>
              <w:jc w:val="center"/>
              <w:ind w:left="70"/>
              <w:spacing w:after="0"/>
              <w:rPr>
                <w:sz w:val="20"/>
                <w:szCs w:val="20"/>
                <w:color w:val="auto"/>
              </w:rPr>
            </w:pPr>
            <w:r>
              <w:rPr>
                <w:rFonts w:ascii="Arial" w:cs="Arial" w:eastAsia="Arial" w:hAnsi="Arial"/>
                <w:sz w:val="18"/>
                <w:szCs w:val="18"/>
                <w:i w:val="1"/>
                <w:iCs w:val="1"/>
                <w:color w:val="auto"/>
                <w:w w:val="99"/>
              </w:rPr>
              <w:t>customer success ($M)</w:t>
            </w:r>
          </w:p>
        </w:tc>
        <w:tc>
          <w:tcPr>
            <w:tcW w:w="4200" w:type="dxa"/>
            <w:vAlign w:val="bottom"/>
          </w:tcPr>
          <w:p>
            <w:pPr>
              <w:jc w:val="center"/>
              <w:ind w:right="119"/>
              <w:spacing w:after="0"/>
              <w:rPr>
                <w:sz w:val="20"/>
                <w:szCs w:val="20"/>
                <w:color w:val="auto"/>
              </w:rPr>
            </w:pPr>
            <w:r>
              <w:rPr>
                <w:rFonts w:ascii="Arial" w:cs="Arial" w:eastAsia="Arial" w:hAnsi="Arial"/>
                <w:sz w:val="18"/>
                <w:szCs w:val="18"/>
                <w:i w:val="1"/>
                <w:iCs w:val="1"/>
                <w:color w:val="auto"/>
                <w:w w:val="99"/>
              </w:rPr>
              <w:t>development ($M)</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auto"/>
              </w:rPr>
              <w:t>administrative ($M)</w:t>
            </w:r>
          </w:p>
        </w:tc>
      </w:tr>
      <w:tr>
        <w:trPr>
          <w:trHeight w:val="27"/>
        </w:trPr>
        <w:tc>
          <w:tcPr>
            <w:tcW w:w="25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21"/>
        </w:trPr>
        <w:tc>
          <w:tcPr>
            <w:tcW w:w="2540" w:type="dxa"/>
            <w:vAlign w:val="bottom"/>
          </w:tcPr>
          <w:p>
            <w:pPr>
              <w:spacing w:after="0"/>
              <w:rPr>
                <w:sz w:val="19"/>
                <w:szCs w:val="19"/>
                <w:color w:val="auto"/>
              </w:rPr>
            </w:pPr>
          </w:p>
        </w:tc>
        <w:tc>
          <w:tcPr>
            <w:tcW w:w="4200" w:type="dxa"/>
            <w:vAlign w:val="bottom"/>
          </w:tcPr>
          <w:p>
            <w:pPr>
              <w:ind w:left="280"/>
              <w:spacing w:after="0"/>
              <w:rPr>
                <w:sz w:val="20"/>
                <w:szCs w:val="20"/>
                <w:color w:val="auto"/>
              </w:rPr>
            </w:pPr>
            <w:r>
              <w:rPr>
                <w:rFonts w:ascii="Arial" w:cs="Arial" w:eastAsia="Arial" w:hAnsi="Arial"/>
                <w:sz w:val="13"/>
                <w:szCs w:val="13"/>
                <w:i w:val="1"/>
                <w:iCs w:val="1"/>
                <w:color w:val="auto"/>
              </w:rPr>
              <w:t>Percentages indicate expenses as a percentage of total revenue</w:t>
            </w:r>
          </w:p>
        </w:tc>
        <w:tc>
          <w:tcPr>
            <w:tcW w:w="2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30003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customer success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 a large market opportunity in the long-term and will continue to make investments to drive sales effectiveness. We have also implemented software tools to enhance our digital footprint and drive lead generation. In response to the COVID-19 pandemic, we implemented a modest and targeted headcount reduction during the second quarter of 2020, including a reduction in our sales headcount with a focus on retaining our most highly productive sales executives. The enhancements we are making in our go-to-market approach are expected to significantly reduce our average customer acquisition cost as well as the related payback period while increasing sales velocity. As a result, we do not expect our sales, marketing and customer success expense to return to pre-pandemic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218440</wp:posOffset>
            </wp:positionV>
            <wp:extent cx="65976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Sales, marketing and customer success expense decreased by $6.5 million, or 12.5%, and $16.4 million, or 14.9%, during the three and six months ended June 30, 2021, respectively, when compared to the same periods in 2020, primarily driven by the following:</w:t>
      </w:r>
    </w:p>
    <w:p>
      <w:pPr>
        <w:spacing w:after="0" w:line="144" w:lineRule="exact"/>
        <w:rPr>
          <w:sz w:val="20"/>
          <w:szCs w:val="20"/>
          <w:color w:val="auto"/>
        </w:rPr>
      </w:pPr>
    </w:p>
    <w:p>
      <w:pPr>
        <w:ind w:left="700" w:right="60" w:hanging="351"/>
        <w:spacing w:after="0" w:line="180" w:lineRule="auto"/>
        <w:tabs>
          <w:tab w:leader="none" w:pos="700" w:val="left"/>
        </w:tabs>
        <w:numPr>
          <w:ilvl w:val="0"/>
          <w:numId w:val="26"/>
        </w:numPr>
        <w:rPr>
          <w:rFonts w:ascii="Arial" w:cs="Arial" w:eastAsia="Arial" w:hAnsi="Arial"/>
          <w:sz w:val="33"/>
          <w:szCs w:val="33"/>
          <w:color w:val="auto"/>
          <w:vertAlign w:val="superscript"/>
        </w:rPr>
      </w:pPr>
      <w:r>
        <w:rPr>
          <w:rFonts w:ascii="Arial" w:cs="Arial" w:eastAsia="Arial" w:hAnsi="Arial"/>
          <w:sz w:val="17"/>
          <w:szCs w:val="17"/>
          <w:color w:val="auto"/>
        </w:rPr>
        <w:t>Decreases in compensation costs other than stock-based compensation of $5.4 million and $14.0 million, respectively, due to the targeted reduction in sales headcount during the second quarter of 2020, discussed above</w:t>
      </w:r>
    </w:p>
    <w:p>
      <w:pPr>
        <w:spacing w:after="0" w:line="108" w:lineRule="exact"/>
        <w:rPr>
          <w:rFonts w:ascii="Arial" w:cs="Arial" w:eastAsia="Arial" w:hAnsi="Arial"/>
          <w:sz w:val="33"/>
          <w:szCs w:val="33"/>
          <w:color w:val="auto"/>
          <w:vertAlign w:val="superscript"/>
        </w:rPr>
      </w:pPr>
    </w:p>
    <w:p>
      <w:pPr>
        <w:ind w:left="700" w:right="60" w:hanging="351"/>
        <w:spacing w:after="0" w:line="180" w:lineRule="auto"/>
        <w:tabs>
          <w:tab w:leader="none" w:pos="700" w:val="left"/>
        </w:tabs>
        <w:numPr>
          <w:ilvl w:val="0"/>
          <w:numId w:val="26"/>
        </w:numPr>
        <w:rPr>
          <w:rFonts w:ascii="Arial" w:cs="Arial" w:eastAsia="Arial" w:hAnsi="Arial"/>
          <w:sz w:val="33"/>
          <w:szCs w:val="33"/>
          <w:color w:val="auto"/>
          <w:vertAlign w:val="superscript"/>
        </w:rPr>
      </w:pPr>
      <w:r>
        <w:rPr>
          <w:rFonts w:ascii="Arial" w:cs="Arial" w:eastAsia="Arial" w:hAnsi="Arial"/>
          <w:sz w:val="17"/>
          <w:szCs w:val="17"/>
          <w:color w:val="auto"/>
        </w:rPr>
        <w:t>Decreases in allocated costs of $1.9 million and $4.4 million, respectively, primarily related to a decrease in rent expense and the impact of the targeted reduction in sales headcount during the second quarter of 2020, as discussed above</w:t>
      </w:r>
    </w:p>
    <w:p>
      <w:pPr>
        <w:spacing w:after="0" w:line="108" w:lineRule="exact"/>
        <w:rPr>
          <w:rFonts w:ascii="Arial" w:cs="Arial" w:eastAsia="Arial" w:hAnsi="Arial"/>
          <w:sz w:val="33"/>
          <w:szCs w:val="33"/>
          <w:color w:val="auto"/>
          <w:vertAlign w:val="superscript"/>
        </w:rPr>
      </w:pPr>
    </w:p>
    <w:p>
      <w:pPr>
        <w:ind w:left="700" w:right="60" w:hanging="351"/>
        <w:spacing w:after="0" w:line="180" w:lineRule="auto"/>
        <w:tabs>
          <w:tab w:leader="none" w:pos="700" w:val="left"/>
        </w:tabs>
        <w:numPr>
          <w:ilvl w:val="0"/>
          <w:numId w:val="26"/>
        </w:numPr>
        <w:rPr>
          <w:rFonts w:ascii="Arial" w:cs="Arial" w:eastAsia="Arial" w:hAnsi="Arial"/>
          <w:sz w:val="33"/>
          <w:szCs w:val="33"/>
          <w:color w:val="auto"/>
          <w:vertAlign w:val="superscript"/>
        </w:rPr>
      </w:pPr>
      <w:r>
        <w:rPr>
          <w:rFonts w:ascii="Arial" w:cs="Arial" w:eastAsia="Arial" w:hAnsi="Arial"/>
          <w:sz w:val="17"/>
          <w:szCs w:val="17"/>
          <w:color w:val="auto"/>
        </w:rPr>
        <w:t>Decrease in travel costs of $2.1 million, during the six months ended June 30, 2021, due to our restriction on non-essential employee travel in response to the COVID-19 pandemic, which went into effect during March 2020</w:t>
      </w:r>
    </w:p>
    <w:p>
      <w:pPr>
        <w:spacing w:after="0" w:line="109" w:lineRule="exact"/>
        <w:rPr>
          <w:sz w:val="20"/>
          <w:szCs w:val="20"/>
          <w:color w:val="auto"/>
        </w:rPr>
      </w:pPr>
    </w:p>
    <w:p>
      <w:pPr>
        <w:ind w:left="700" w:right="60" w:hanging="373"/>
        <w:spacing w:after="0"/>
        <w:tabs>
          <w:tab w:leader="none" w:pos="700" w:val="left"/>
        </w:tabs>
        <w:numPr>
          <w:ilvl w:val="0"/>
          <w:numId w:val="27"/>
        </w:numPr>
        <w:rPr>
          <w:rFonts w:ascii="Arial" w:cs="Arial" w:eastAsia="Arial" w:hAnsi="Arial"/>
          <w:sz w:val="34"/>
          <w:szCs w:val="34"/>
          <w:color w:val="auto"/>
          <w:vertAlign w:val="superscript"/>
        </w:rPr>
      </w:pPr>
      <w:r>
        <w:rPr>
          <w:rFonts w:ascii="Arial" w:cs="Arial" w:eastAsia="Arial" w:hAnsi="Arial"/>
          <w:sz w:val="17"/>
          <w:szCs w:val="17"/>
          <w:color w:val="auto"/>
        </w:rPr>
        <w:t>Increases in stock-based compensation costs of $1.1 million and $4.0 million, respectively, due to the factors discussed above on page 26</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make investments to delight our customers with innovative cloud solutions, which is a component of our four-point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increased engineering hiring beginning in the fourth quarter of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by $5.3 million or 21.4%, and $9.5 million or 19.1%, during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2021, respectively, when compared to the same periods in 2020, primarily driven by the following:</w:t>
      </w:r>
    </w:p>
    <w:p>
      <w:pPr>
        <w:spacing w:after="0" w:line="171" w:lineRule="exact"/>
        <w:rPr>
          <w:sz w:val="20"/>
          <w:szCs w:val="20"/>
          <w:color w:val="auto"/>
        </w:rPr>
      </w:pPr>
    </w:p>
    <w:p>
      <w:pPr>
        <w:ind w:left="720" w:right="40" w:hanging="373"/>
        <w:spacing w:after="0" w:line="180" w:lineRule="auto"/>
        <w:tabs>
          <w:tab w:leader="none" w:pos="720" w:val="left"/>
        </w:tabs>
        <w:numPr>
          <w:ilvl w:val="0"/>
          <w:numId w:val="28"/>
        </w:numPr>
        <w:rPr>
          <w:rFonts w:ascii="Arial" w:cs="Arial" w:eastAsia="Arial" w:hAnsi="Arial"/>
          <w:sz w:val="33"/>
          <w:szCs w:val="33"/>
          <w:color w:val="auto"/>
          <w:vertAlign w:val="superscript"/>
        </w:rPr>
      </w:pPr>
      <w:r>
        <w:rPr>
          <w:rFonts w:ascii="Arial" w:cs="Arial" w:eastAsia="Arial" w:hAnsi="Arial"/>
          <w:sz w:val="17"/>
          <w:szCs w:val="17"/>
          <w:color w:val="auto"/>
        </w:rPr>
        <w:t>Increases in compensation costs of $4.8 million and $8.1 million, respectively, primarily related to stock-based compensation due to the factors discussed above on page 26</w:t>
      </w:r>
    </w:p>
    <w:p>
      <w:pPr>
        <w:spacing w:after="0" w:line="108" w:lineRule="exact"/>
        <w:rPr>
          <w:rFonts w:ascii="Arial" w:cs="Arial" w:eastAsia="Arial" w:hAnsi="Arial"/>
          <w:sz w:val="33"/>
          <w:szCs w:val="33"/>
          <w:color w:val="auto"/>
          <w:vertAlign w:val="superscript"/>
        </w:rPr>
      </w:pPr>
    </w:p>
    <w:p>
      <w:pPr>
        <w:ind w:left="720" w:right="40" w:hanging="373"/>
        <w:spacing w:after="0" w:line="180" w:lineRule="auto"/>
        <w:tabs>
          <w:tab w:leader="none" w:pos="720" w:val="left"/>
        </w:tabs>
        <w:numPr>
          <w:ilvl w:val="0"/>
          <w:numId w:val="28"/>
        </w:numPr>
        <w:rPr>
          <w:rFonts w:ascii="Arial" w:cs="Arial" w:eastAsia="Arial" w:hAnsi="Arial"/>
          <w:sz w:val="33"/>
          <w:szCs w:val="33"/>
          <w:color w:val="auto"/>
          <w:vertAlign w:val="superscript"/>
        </w:rPr>
      </w:pPr>
      <w:r>
        <w:rPr>
          <w:rFonts w:ascii="Arial" w:cs="Arial" w:eastAsia="Arial" w:hAnsi="Arial"/>
          <w:sz w:val="17"/>
          <w:szCs w:val="17"/>
          <w:color w:val="auto"/>
        </w:rPr>
        <w:t>Decrease in software development costs of $1.9 million, during the six months ended June 30, 2021, that were required to be capitalized under the internal-use software guidance</w:t>
      </w:r>
    </w:p>
    <w:p>
      <w:pPr>
        <w:spacing w:after="0" w:line="2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 included in research and development expense for the three months ended June 30, 2021 and 2020 were $10.4 million and $10.6 million, respectively, and for the six months ended June 30, 2021 and 2020 were $19.5 million and $21.4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development costs associated with our cloud solutions are subsequently amortized to cost of subscriptions revenue over the related asset's estimated useful life, which generally range from three to seven years. We expect that the amount of software development costs capitalized will be relatively consistent in the near-term as we continue making investments in innovation, quality and the integration of our solutions, which we believe will drive long-term revenue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2020, we adjusted our workforce strategy to provide more flexibility to our employees and we now have more employees working remotely either part-time or full-time, even within our hub locations. This change has created efficiencies within our real estate footprint as we have shifted toward more collaborative workspaces within our offices.</w:t>
      </w:r>
    </w:p>
    <w:p>
      <w:pPr>
        <w:spacing w:after="0" w:line="32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32</w:t>
      </w:r>
      <w:r>
        <w:rPr>
          <w:sz w:val="20"/>
          <w:szCs w:val="20"/>
          <w:color w:val="auto"/>
        </w:rPr>
        <w:tab/>
      </w:r>
      <w:r>
        <w:rPr>
          <w:sz w:val="1"/>
          <w:szCs w:val="1"/>
          <w:color w:val="auto"/>
        </w:rPr>
        <w:drawing>
          <wp:inline distT="0" distB="0" distL="0" distR="0">
            <wp:extent cx="651510"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increased by $2.2 million, or 7.3%, and $6.9 million, or 12.4%, during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2021, respectively, when compared to the same periods in 2020, primarily driven by the following:</w:t>
      </w:r>
    </w:p>
    <w:p>
      <w:pPr>
        <w:spacing w:after="0" w:line="171" w:lineRule="exact"/>
        <w:rPr>
          <w:sz w:val="20"/>
          <w:szCs w:val="20"/>
          <w:color w:val="auto"/>
        </w:rPr>
      </w:pPr>
    </w:p>
    <w:p>
      <w:pPr>
        <w:ind w:left="700" w:right="40" w:hanging="373"/>
        <w:spacing w:after="0"/>
        <w:tabs>
          <w:tab w:leader="none" w:pos="700" w:val="left"/>
        </w:tabs>
        <w:numPr>
          <w:ilvl w:val="0"/>
          <w:numId w:val="29"/>
        </w:numPr>
        <w:rPr>
          <w:rFonts w:ascii="Arial" w:cs="Arial" w:eastAsia="Arial" w:hAnsi="Arial"/>
          <w:sz w:val="34"/>
          <w:szCs w:val="34"/>
          <w:color w:val="auto"/>
          <w:vertAlign w:val="superscript"/>
        </w:rPr>
      </w:pPr>
      <w:r>
        <w:rPr>
          <w:rFonts w:ascii="Arial" w:cs="Arial" w:eastAsia="Arial" w:hAnsi="Arial"/>
          <w:sz w:val="17"/>
          <w:szCs w:val="17"/>
          <w:color w:val="auto"/>
        </w:rPr>
        <w:t>Increases in stock-based compensation costs of $4.1 million and $9.2 million, respectively, due to the factors discussed above on page 26</w:t>
      </w:r>
    </w:p>
    <w:p>
      <w:pPr>
        <w:spacing w:after="0" w:line="149" w:lineRule="exact"/>
        <w:rPr>
          <w:sz w:val="20"/>
          <w:szCs w:val="20"/>
          <w:color w:val="auto"/>
        </w:rPr>
      </w:pPr>
    </w:p>
    <w:p>
      <w:pPr>
        <w:jc w:val="both"/>
        <w:ind w:left="700" w:right="40" w:hanging="351"/>
        <w:spacing w:after="0" w:line="188" w:lineRule="auto"/>
        <w:tabs>
          <w:tab w:leader="none" w:pos="70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Decreases in rent expense, net of allocated costs, of $2.0 million and $0.9 million, respectively, primarily related to the purchase of our global headquarters facility during the third quarter of 2020 and our exit of certain other office leases globally during the second half of 2020 in-line with our new workforce strategy</w:t>
      </w:r>
    </w:p>
    <w:p>
      <w:pPr>
        <w:ind w:left="700" w:hanging="351"/>
        <w:spacing w:after="0" w:line="187" w:lineRule="auto"/>
        <w:tabs>
          <w:tab w:leader="none" w:pos="70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Decrease in third-party contractor costs of $1.5 million during the six months ended June 30, 2021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83" w:lineRule="exact"/>
        <w:rPr>
          <w:sz w:val="20"/>
          <w:szCs w:val="20"/>
          <w:color w:val="auto"/>
        </w:rPr>
      </w:pPr>
    </w:p>
    <w:p>
      <w:pPr>
        <w:jc w:val="center"/>
        <w:ind w:right="2000"/>
        <w:spacing w:after="0"/>
        <w:rPr>
          <w:sz w:val="20"/>
          <w:szCs w:val="20"/>
          <w:color w:val="auto"/>
        </w:rPr>
      </w:pPr>
      <w:r>
        <w:rPr>
          <w:rFonts w:ascii="Arial" w:cs="Arial" w:eastAsia="Arial" w:hAnsi="Arial"/>
          <w:sz w:val="18"/>
          <w:szCs w:val="18"/>
          <w:i w:val="1"/>
          <w:iCs w:val="1"/>
          <w:color w:val="auto"/>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635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left="2820"/>
        <w:spacing w:after="0"/>
        <w:rPr>
          <w:sz w:val="20"/>
          <w:szCs w:val="20"/>
          <w:color w:val="auto"/>
        </w:rPr>
      </w:pPr>
      <w:r>
        <w:rPr>
          <w:rFonts w:ascii="Arial" w:cs="Arial" w:eastAsia="Arial" w:hAnsi="Arial"/>
          <w:sz w:val="13"/>
          <w:szCs w:val="13"/>
          <w:i w:val="1"/>
          <w:iCs w:val="1"/>
          <w:color w:val="auto"/>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182245</wp:posOffset>
            </wp:positionV>
            <wp:extent cx="4766310" cy="1423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631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increases in interest expense in dollars and as a percentage of total revenue during the three and six months ended June 30, 2021, respectively, when compared to the same periods in 2020, was primarily due to the Real Estate Loans assumed for the purchase of our global headquarters facility in August 2020 and the deferred financing costs and debt discount associated with the 2020 Credit Facility, which was entered into in October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components of deferred revenue from our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shd w:val="clear" w:color="auto" w:fill="ACACAC"/>
          </w:tcPr>
          <w:p>
            <w:pPr>
              <w:spacing w:after="0"/>
              <w:rPr>
                <w:sz w:val="16"/>
                <w:szCs w:val="16"/>
                <w:color w:val="auto"/>
              </w:rPr>
            </w:pPr>
          </w:p>
        </w:tc>
        <w:tc>
          <w:tcPr>
            <w:tcW w:w="340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r>
      <w:tr>
        <w:trPr>
          <w:trHeight w:val="196"/>
        </w:trPr>
        <w:tc>
          <w:tcPr>
            <w:tcW w:w="39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4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Timing of recognition</w:t>
            </w:r>
          </w:p>
        </w:tc>
        <w:tc>
          <w:tcPr>
            <w:tcW w:w="440" w:type="dxa"/>
            <w:vAlign w:val="bottom"/>
            <w:tcBorders>
              <w:bottom w:val="single" w:sz="8" w:color="ACACAC"/>
            </w:tcBorders>
            <w:shd w:val="clear" w:color="auto" w:fill="ACACAC"/>
          </w:tcPr>
          <w:p>
            <w:pPr>
              <w:spacing w:after="0"/>
              <w:rPr>
                <w:sz w:val="17"/>
                <w:szCs w:val="17"/>
                <w:color w:val="auto"/>
              </w:rPr>
            </w:pPr>
          </w:p>
        </w:tc>
        <w:tc>
          <w:tcPr>
            <w:tcW w:w="9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tcBorders>
              <w:bottom w:val="single" w:sz="8" w:color="ACACAC"/>
            </w:tcBorders>
            <w:shd w:val="clear" w:color="auto" w:fill="ACACAC"/>
          </w:tcPr>
          <w:p>
            <w:pPr>
              <w:spacing w:after="0"/>
              <w:rPr>
                <w:sz w:val="17"/>
                <w:szCs w:val="17"/>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2"/>
        </w:trPr>
        <w:tc>
          <w:tcPr>
            <w:tcW w:w="398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Recurring</w:t>
            </w:r>
          </w:p>
        </w:tc>
        <w:tc>
          <w:tcPr>
            <w:tcW w:w="3840" w:type="dxa"/>
            <w:vAlign w:val="bottom"/>
            <w:gridSpan w:val="2"/>
            <w:shd w:val="clear" w:color="auto" w:fill="F4F4F4"/>
          </w:tcPr>
          <w:p>
            <w:pPr>
              <w:jc w:val="right"/>
              <w:ind w:right="460"/>
              <w:spacing w:after="0"/>
              <w:rPr>
                <w:sz w:val="20"/>
                <w:szCs w:val="20"/>
                <w:color w:val="auto"/>
              </w:rPr>
            </w:pPr>
            <w:r>
              <w:rPr>
                <w:rFonts w:ascii="Arial" w:cs="Arial" w:eastAsia="Arial" w:hAnsi="Arial"/>
                <w:sz w:val="18"/>
                <w:szCs w:val="18"/>
                <w:color w:val="auto"/>
              </w:rPr>
              <w:t>Over the period billed in advance,</w:t>
            </w:r>
          </w:p>
        </w:tc>
        <w:tc>
          <w:tcPr>
            <w:tcW w:w="920" w:type="dxa"/>
            <w:vAlign w:val="bottom"/>
            <w:shd w:val="clear" w:color="auto" w:fill="F4F4F4"/>
          </w:tcPr>
          <w:p>
            <w:pPr>
              <w:spacing w:after="0"/>
              <w:rPr>
                <w:sz w:val="21"/>
                <w:szCs w:val="21"/>
                <w:color w:val="auto"/>
              </w:rPr>
            </w:pPr>
          </w:p>
        </w:tc>
        <w:tc>
          <w:tcPr>
            <w:tcW w:w="260" w:type="dxa"/>
            <w:vAlign w:val="bottom"/>
            <w:shd w:val="clear" w:color="auto" w:fill="F4F4F4"/>
          </w:tcPr>
          <w:p>
            <w:pPr>
              <w:spacing w:after="0"/>
              <w:rPr>
                <w:sz w:val="21"/>
                <w:szCs w:val="21"/>
                <w:color w:val="auto"/>
              </w:rPr>
            </w:pPr>
          </w:p>
        </w:tc>
        <w:tc>
          <w:tcPr>
            <w:tcW w:w="1100" w:type="dxa"/>
            <w:vAlign w:val="bottom"/>
            <w:shd w:val="clear" w:color="auto" w:fill="F4F4F4"/>
          </w:tcPr>
          <w:p>
            <w:pPr>
              <w:spacing w:after="0"/>
              <w:rPr>
                <w:sz w:val="21"/>
                <w:szCs w:val="21"/>
                <w:color w:val="auto"/>
              </w:rPr>
            </w:pPr>
          </w:p>
        </w:tc>
        <w:tc>
          <w:tcPr>
            <w:tcW w:w="11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24"/>
        </w:trPr>
        <w:tc>
          <w:tcPr>
            <w:tcW w:w="3980" w:type="dxa"/>
            <w:vAlign w:val="bottom"/>
            <w:tcBorders>
              <w:bottom w:val="single" w:sz="8" w:color="F4F4F4"/>
            </w:tcBorders>
            <w:shd w:val="clear" w:color="auto" w:fill="F4F4F4"/>
          </w:tcPr>
          <w:p>
            <w:pPr>
              <w:spacing w:after="0"/>
              <w:rPr>
                <w:sz w:val="19"/>
                <w:szCs w:val="19"/>
                <w:color w:val="auto"/>
              </w:rPr>
            </w:pPr>
          </w:p>
        </w:tc>
        <w:tc>
          <w:tcPr>
            <w:tcW w:w="3840" w:type="dxa"/>
            <w:vAlign w:val="bottom"/>
            <w:tcBorders>
              <w:bottom w:val="single" w:sz="8" w:color="F4F4F4"/>
            </w:tcBorders>
            <w:gridSpan w:val="2"/>
            <w:shd w:val="clear" w:color="auto" w:fill="F4F4F4"/>
          </w:tcPr>
          <w:p>
            <w:pPr>
              <w:jc w:val="right"/>
              <w:ind w:right="320"/>
              <w:spacing w:after="0"/>
              <w:rPr>
                <w:sz w:val="20"/>
                <w:szCs w:val="20"/>
                <w:color w:val="auto"/>
              </w:rPr>
            </w:pPr>
            <w:r>
              <w:rPr>
                <w:rFonts w:ascii="Arial" w:cs="Arial" w:eastAsia="Arial" w:hAnsi="Arial"/>
                <w:sz w:val="18"/>
                <w:szCs w:val="18"/>
                <w:color w:val="auto"/>
              </w:rPr>
              <w:t>generally one year $</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324.3</w:t>
            </w:r>
          </w:p>
        </w:tc>
        <w:tc>
          <w:tcPr>
            <w:tcW w:w="26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303.8</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6.7 %</w:t>
            </w:r>
          </w:p>
        </w:tc>
        <w:tc>
          <w:tcPr>
            <w:tcW w:w="20" w:type="dxa"/>
            <w:vAlign w:val="bottom"/>
          </w:tcPr>
          <w:p>
            <w:pPr>
              <w:spacing w:after="0"/>
              <w:rPr>
                <w:sz w:val="19"/>
                <w:szCs w:val="19"/>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One-time services and other</w:t>
            </w:r>
          </w:p>
        </w:tc>
        <w:tc>
          <w:tcPr>
            <w:tcW w:w="3840" w:type="dxa"/>
            <w:vAlign w:val="bottom"/>
            <w:gridSpan w:val="2"/>
          </w:tcPr>
          <w:p>
            <w:pPr>
              <w:jc w:val="right"/>
              <w:ind w:right="460"/>
              <w:spacing w:after="0"/>
              <w:rPr>
                <w:sz w:val="20"/>
                <w:szCs w:val="20"/>
                <w:color w:val="auto"/>
              </w:rPr>
            </w:pPr>
            <w:r>
              <w:rPr>
                <w:rFonts w:ascii="Arial" w:cs="Arial" w:eastAsia="Arial" w:hAnsi="Arial"/>
                <w:sz w:val="18"/>
                <w:szCs w:val="18"/>
                <w:color w:val="auto"/>
              </w:rPr>
              <w:t>As services are delivered</w:t>
            </w: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140" w:type="dxa"/>
            <w:vAlign w:val="bottom"/>
          </w:tcPr>
          <w:p>
            <w:pPr>
              <w:jc w:val="right"/>
              <w:spacing w:after="0"/>
              <w:rPr>
                <w:sz w:val="20"/>
                <w:szCs w:val="20"/>
                <w:color w:val="auto"/>
              </w:rPr>
            </w:pPr>
            <w:r>
              <w:rPr>
                <w:rFonts w:ascii="Arial" w:cs="Arial" w:eastAsia="Arial" w:hAnsi="Arial"/>
                <w:sz w:val="18"/>
                <w:szCs w:val="18"/>
                <w:color w:val="auto"/>
              </w:rPr>
              <w:t>61.4 %</w:t>
            </w:r>
          </w:p>
        </w:tc>
        <w:tc>
          <w:tcPr>
            <w:tcW w:w="20" w:type="dxa"/>
            <w:vAlign w:val="bottom"/>
          </w:tcPr>
          <w:p>
            <w:pPr>
              <w:spacing w:after="0"/>
              <w:rPr>
                <w:sz w:val="21"/>
                <w:szCs w:val="21"/>
                <w:color w:val="auto"/>
              </w:rPr>
            </w:pPr>
          </w:p>
        </w:tc>
      </w:tr>
      <w:tr>
        <w:trPr>
          <w:trHeight w:val="27"/>
        </w:trPr>
        <w:tc>
          <w:tcPr>
            <w:tcW w:w="3980" w:type="dxa"/>
            <w:vAlign w:val="bottom"/>
            <w:tcBorders>
              <w:bottom w:val="single" w:sz="8" w:color="F4F4F4"/>
            </w:tcBorders>
          </w:tcPr>
          <w:p>
            <w:pPr>
              <w:spacing w:after="0"/>
              <w:rPr>
                <w:sz w:val="2"/>
                <w:szCs w:val="2"/>
                <w:color w:val="auto"/>
              </w:rPr>
            </w:pPr>
          </w:p>
        </w:tc>
        <w:tc>
          <w:tcPr>
            <w:tcW w:w="340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F4F4F4"/>
            </w:tcBorders>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3980" w:type="dxa"/>
            <w:vAlign w:val="bottom"/>
            <w:shd w:val="clear" w:color="auto" w:fill="F4F4F4"/>
          </w:tcPr>
          <w:p>
            <w:pPr>
              <w:ind w:left="140"/>
              <w:spacing w:after="0"/>
              <w:rPr>
                <w:sz w:val="20"/>
                <w:szCs w:val="20"/>
                <w:color w:val="auto"/>
              </w:rPr>
            </w:pPr>
            <w:r>
              <w:rPr>
                <w:rFonts w:ascii="Arial" w:cs="Arial" w:eastAsia="Arial" w:hAnsi="Arial"/>
                <w:sz w:val="18"/>
                <w:szCs w:val="18"/>
                <w:color w:val="auto"/>
              </w:rPr>
              <w:t>Total deferred revenue</w:t>
            </w:r>
            <w:r>
              <w:rPr>
                <w:rFonts w:ascii="Arial" w:cs="Arial" w:eastAsia="Arial" w:hAnsi="Arial"/>
                <w:sz w:val="23"/>
                <w:szCs w:val="23"/>
                <w:color w:val="auto"/>
                <w:vertAlign w:val="superscript"/>
              </w:rPr>
              <w:t>(1)</w:t>
            </w:r>
          </w:p>
        </w:tc>
        <w:tc>
          <w:tcPr>
            <w:tcW w:w="3400" w:type="dxa"/>
            <w:vAlign w:val="bottom"/>
            <w:shd w:val="clear" w:color="auto" w:fill="F4F4F4"/>
          </w:tcPr>
          <w:p>
            <w:pPr>
              <w:spacing w:after="0"/>
              <w:rPr>
                <w:sz w:val="24"/>
                <w:szCs w:val="24"/>
                <w:color w:val="auto"/>
              </w:rPr>
            </w:pPr>
          </w:p>
        </w:tc>
        <w:tc>
          <w:tcPr>
            <w:tcW w:w="440" w:type="dxa"/>
            <w:vAlign w:val="bottom"/>
            <w:shd w:val="clear" w:color="auto" w:fill="F4F4F4"/>
          </w:tcPr>
          <w:p>
            <w:pPr>
              <w:spacing w:after="0"/>
              <w:rPr>
                <w:sz w:val="24"/>
                <w:szCs w:val="24"/>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345.4</w:t>
            </w:r>
          </w:p>
        </w:tc>
        <w:tc>
          <w:tcPr>
            <w:tcW w:w="260" w:type="dxa"/>
            <w:vAlign w:val="bottom"/>
            <w:shd w:val="clear" w:color="auto" w:fill="F4F4F4"/>
          </w:tcPr>
          <w:p>
            <w:pPr>
              <w:spacing w:after="0"/>
              <w:rPr>
                <w:sz w:val="24"/>
                <w:szCs w:val="24"/>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316.9</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9.0 %</w:t>
            </w:r>
          </w:p>
        </w:tc>
        <w:tc>
          <w:tcPr>
            <w:tcW w:w="20" w:type="dxa"/>
            <w:vAlign w:val="bottom"/>
          </w:tcPr>
          <w:p>
            <w:pPr>
              <w:spacing w:after="0"/>
              <w:rPr>
                <w:sz w:val="24"/>
                <w:szCs w:val="24"/>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3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140" w:type="dxa"/>
            <w:vAlign w:val="bottom"/>
          </w:tcPr>
          <w:p>
            <w:pPr>
              <w:jc w:val="right"/>
              <w:spacing w:after="0"/>
              <w:rPr>
                <w:sz w:val="20"/>
                <w:szCs w:val="20"/>
                <w:color w:val="auto"/>
              </w:rPr>
            </w:pPr>
            <w:r>
              <w:rPr>
                <w:rFonts w:ascii="Arial" w:cs="Arial" w:eastAsia="Arial" w:hAnsi="Arial"/>
                <w:sz w:val="18"/>
                <w:szCs w:val="18"/>
                <w:color w:val="auto"/>
              </w:rPr>
              <w:t>22.9 %</w:t>
            </w:r>
          </w:p>
        </w:tc>
        <w:tc>
          <w:tcPr>
            <w:tcW w:w="20" w:type="dxa"/>
            <w:vAlign w:val="bottom"/>
          </w:tcPr>
          <w:p>
            <w:pPr>
              <w:spacing w:after="0"/>
              <w:rPr>
                <w:sz w:val="21"/>
                <w:szCs w:val="21"/>
                <w:color w:val="auto"/>
              </w:rPr>
            </w:pPr>
          </w:p>
        </w:tc>
      </w:tr>
      <w:tr>
        <w:trPr>
          <w:trHeight w:val="27"/>
        </w:trPr>
        <w:tc>
          <w:tcPr>
            <w:tcW w:w="3980" w:type="dxa"/>
            <w:vAlign w:val="bottom"/>
            <w:tcBorders>
              <w:bottom w:val="single" w:sz="8" w:color="F4F4F4"/>
            </w:tcBorders>
          </w:tcPr>
          <w:p>
            <w:pPr>
              <w:spacing w:after="0"/>
              <w:rPr>
                <w:sz w:val="2"/>
                <w:szCs w:val="2"/>
                <w:color w:val="auto"/>
              </w:rPr>
            </w:pPr>
          </w:p>
        </w:tc>
        <w:tc>
          <w:tcPr>
            <w:tcW w:w="340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F4F4F4"/>
            </w:tcBorders>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39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Current portion</w:t>
            </w:r>
            <w:r>
              <w:rPr>
                <w:rFonts w:ascii="Arial" w:cs="Arial" w:eastAsia="Arial" w:hAnsi="Arial"/>
                <w:sz w:val="23"/>
                <w:szCs w:val="23"/>
                <w:color w:val="auto"/>
                <w:vertAlign w:val="superscript"/>
              </w:rPr>
              <w:t>(1)</w:t>
            </w:r>
          </w:p>
        </w:tc>
        <w:tc>
          <w:tcPr>
            <w:tcW w:w="3840" w:type="dxa"/>
            <w:vAlign w:val="bottom"/>
            <w:tcBorders>
              <w:bottom w:val="single" w:sz="8" w:color="71BF43"/>
            </w:tcBorders>
            <w:gridSpan w:val="2"/>
            <w:shd w:val="clear" w:color="auto" w:fill="F4F4F4"/>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339.7</w:t>
            </w:r>
          </w:p>
        </w:tc>
        <w:tc>
          <w:tcPr>
            <w:tcW w:w="26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312.2</w:t>
            </w:r>
          </w:p>
        </w:tc>
        <w:tc>
          <w:tcPr>
            <w:tcW w:w="1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8.8 %</w:t>
            </w:r>
          </w:p>
        </w:tc>
        <w:tc>
          <w:tcPr>
            <w:tcW w:w="20" w:type="dxa"/>
            <w:vAlign w:val="bottom"/>
          </w:tcPr>
          <w:p>
            <w:pPr>
              <w:spacing w:after="0"/>
              <w:rPr>
                <w:sz w:val="24"/>
                <w:szCs w:val="24"/>
                <w:color w:val="auto"/>
              </w:rPr>
            </w:pPr>
          </w:p>
        </w:tc>
      </w:tr>
    </w:tbl>
    <w:p>
      <w:pPr>
        <w:spacing w:after="0" w:line="9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total deferred revenue or current portion of deferred revenue due to rounding.</w:t>
      </w:r>
    </w:p>
    <w:p>
      <w:pPr>
        <w:spacing w:after="0" w:line="15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To the extent that our customers are billed for our solutions and services in advance of delivery, we record such amounts in deferred revenue. Our recurring revenue contracts are generally for a term of three years at contract inception, billed annually in advance, and non-cancelable. We have been for several years successfully shifting our legacy customer base away from annual renewals and moving them onto multi-year renewal contracts. We generally invoice our customers with recurring revenue contracts in annual cycles 30 days prior to the end each one-year period.</w:t>
      </w:r>
    </w:p>
    <w:p>
      <w:pPr>
        <w:spacing w:after="0" w:line="15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Deferred revenue from recurring revenue contracts increased during the six months ended June 30, 2021, primarily due a seasonal increase in customer contract renewals and, to a lesser extent, early progress in initiatives to bring our pricing in line with the market. Historically, due to the timing of customer budget cycles, we have an increase in customer contract renewals at or near the beginning of our third quarter. Deferred revenue from one-time services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215900</wp:posOffset>
            </wp:positionV>
            <wp:extent cx="65976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increased during the six months ended June 30, 2021, primarily due to a seasonal increase in one-time service billings during the second quarter.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99" w:lineRule="exact"/>
        <w:rPr>
          <w:sz w:val="20"/>
          <w:szCs w:val="20"/>
          <w:color w:val="auto"/>
        </w:rPr>
      </w:pPr>
    </w:p>
    <w:p>
      <w:pPr>
        <w:jc w:val="center"/>
        <w:ind w:right="2000"/>
        <w:spacing w:after="0"/>
        <w:rPr>
          <w:sz w:val="20"/>
          <w:szCs w:val="20"/>
          <w:color w:val="auto"/>
        </w:rPr>
      </w:pPr>
      <w:r>
        <w:rPr>
          <w:rFonts w:ascii="Arial" w:cs="Arial" w:eastAsia="Arial" w:hAnsi="Arial"/>
          <w:sz w:val="18"/>
          <w:szCs w:val="18"/>
          <w:i w:val="1"/>
          <w:iCs w:val="1"/>
          <w:color w:val="auto"/>
        </w:rPr>
        <w:t>Income tax provision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635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3"/>
          <w:szCs w:val="13"/>
          <w:i w:val="1"/>
          <w:iCs w:val="1"/>
          <w:color w:val="auto"/>
        </w:rPr>
        <w:t>Percentages indicate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190500</wp:posOffset>
            </wp:positionV>
            <wp:extent cx="4766310" cy="1423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631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decrease in our effective income tax rate for the three months ended June 30, 2021, when compared to the same period in 2020, was primarily attributable to a 2021 discrete tax benefit against lower pre-tax income. The 2020 effective income tax rate was negatively impacted by discrete adjustments comprised of tax expense attributable to stock-based compensation and unrecognized tax benefits net of benefit attributable to deferred tax adjustment. The 2021 effective income tax rate was positively impacted by increased tax benefit attributable to stock-based compensation offset against tax expense attributable to a corporate income tax rate increase enacted during the period against lower pre-tax income.</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our effective income tax rate for the six months ended June 30, 2021 when compared to the same periods in 2020, was primarily attributable to the impact of non deductible expenses against lower pre-tax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32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34</w:t>
      </w:r>
      <w:r>
        <w:rPr>
          <w:sz w:val="20"/>
          <w:szCs w:val="20"/>
          <w:color w:val="auto"/>
        </w:rPr>
        <w:tab/>
      </w:r>
      <w:r>
        <w:rPr>
          <w:sz w:val="1"/>
          <w:szCs w:val="1"/>
          <w:color w:val="auto"/>
        </w:rPr>
        <w:drawing>
          <wp:inline distT="0" distB="0" distL="0" distR="0">
            <wp:extent cx="651510" cy="1714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20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210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r>
      <w:tr>
        <w:trPr>
          <w:trHeight w:val="190"/>
        </w:trPr>
        <w:tc>
          <w:tcPr>
            <w:tcW w:w="39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100" w:type="dxa"/>
            <w:vAlign w:val="bottom"/>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r>
      <w:tr>
        <w:trPr>
          <w:trHeight w:val="236"/>
        </w:trPr>
        <w:tc>
          <w:tcPr>
            <w:tcW w:w="3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40" w:type="dxa"/>
            <w:vAlign w:val="bottom"/>
            <w:tcBorders>
              <w:bottom w:val="single" w:sz="8" w:color="ACACAC"/>
            </w:tcBorders>
            <w:shd w:val="clear" w:color="auto" w:fill="ACACAC"/>
          </w:tcPr>
          <w:p>
            <w:pPr>
              <w:spacing w:after="0"/>
              <w:rPr>
                <w:sz w:val="20"/>
                <w:szCs w:val="20"/>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4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100" w:type="dxa"/>
            <w:vAlign w:val="bottom"/>
            <w:tcBorders>
              <w:bottom w:val="single" w:sz="8" w:color="F4F4F4"/>
            </w:tcBorders>
          </w:tcPr>
          <w:p>
            <w:pPr>
              <w:spacing w:after="0"/>
              <w:rPr>
                <w:sz w:val="20"/>
                <w:szCs w:val="20"/>
                <w:color w:val="auto"/>
              </w:rPr>
            </w:pPr>
          </w:p>
        </w:tc>
        <w:tc>
          <w:tcPr>
            <w:tcW w:w="24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209"/>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Revenue</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229.4</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232.0</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(1.1)%</w:t>
            </w:r>
          </w:p>
        </w:tc>
        <w:tc>
          <w:tcPr>
            <w:tcW w:w="340" w:type="dxa"/>
            <w:vAlign w:val="bottom"/>
            <w:gridSpan w:val="2"/>
            <w:shd w:val="clear" w:color="auto" w:fill="F4F4F4"/>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448.6</w:t>
            </w:r>
          </w:p>
        </w:tc>
        <w:tc>
          <w:tcPr>
            <w:tcW w:w="2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455.6</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(1.5)%</w:t>
            </w:r>
          </w:p>
        </w:tc>
      </w:tr>
      <w:tr>
        <w:trPr>
          <w:trHeight w:val="135"/>
        </w:trPr>
        <w:tc>
          <w:tcPr>
            <w:tcW w:w="39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60" w:type="dxa"/>
            <w:vAlign w:val="bottom"/>
          </w:tcPr>
          <w:p>
            <w:pPr>
              <w:spacing w:after="0"/>
              <w:rPr>
                <w:sz w:val="11"/>
                <w:szCs w:val="11"/>
                <w:color w:val="auto"/>
              </w:rPr>
            </w:pPr>
          </w:p>
        </w:tc>
      </w:tr>
      <w:tr>
        <w:trPr>
          <w:trHeight w:val="216"/>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gross profit</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121.4</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127.1</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(4.5)%</w:t>
            </w:r>
          </w:p>
        </w:tc>
        <w:tc>
          <w:tcPr>
            <w:tcW w:w="340" w:type="dxa"/>
            <w:vAlign w:val="bottom"/>
            <w:gridSpan w:val="2"/>
            <w:shd w:val="clear" w:color="auto" w:fill="F4F4F4"/>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237.2</w:t>
            </w:r>
          </w:p>
        </w:tc>
        <w:tc>
          <w:tcPr>
            <w:tcW w:w="2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245.8</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(3.5)%</w:t>
            </w: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b w:val="1"/>
                <w:bCs w:val="1"/>
                <w:color w:val="auto"/>
              </w:rPr>
              <w:t>GAAP gross margin</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52.9 %</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54.8 %</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52.9 %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54.0 %</w:t>
            </w:r>
          </w:p>
        </w:tc>
        <w:tc>
          <w:tcPr>
            <w:tcW w:w="1060" w:type="dxa"/>
            <w:vAlign w:val="bottom"/>
          </w:tcPr>
          <w:p>
            <w:pPr>
              <w:spacing w:after="0"/>
              <w:rPr>
                <w:sz w:val="18"/>
                <w:szCs w:val="18"/>
                <w:color w:val="auto"/>
              </w:rPr>
            </w:pPr>
          </w:p>
        </w:tc>
      </w:tr>
      <w:tr>
        <w:trPr>
          <w:trHeight w:val="222"/>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4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color w:val="auto"/>
              </w:rPr>
              <w:t>Add: Stock-based compensation expense</w:t>
            </w:r>
          </w:p>
        </w:tc>
        <w:tc>
          <w:tcPr>
            <w:tcW w:w="24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5.2</w:t>
            </w: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1040" w:type="dxa"/>
            <w:vAlign w:val="bottom"/>
          </w:tcPr>
          <w:p>
            <w:pPr>
              <w:jc w:val="right"/>
              <w:spacing w:after="0"/>
              <w:rPr>
                <w:sz w:val="20"/>
                <w:szCs w:val="20"/>
                <w:color w:val="auto"/>
              </w:rPr>
            </w:pPr>
            <w:r>
              <w:rPr>
                <w:rFonts w:ascii="Arial" w:cs="Arial" w:eastAsia="Arial" w:hAnsi="Arial"/>
                <w:sz w:val="14"/>
                <w:szCs w:val="14"/>
                <w:color w:val="auto"/>
              </w:rPr>
              <w:t>103.8 %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10.6</w:t>
            </w: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1060" w:type="dxa"/>
            <w:vAlign w:val="bottom"/>
          </w:tcPr>
          <w:p>
            <w:pPr>
              <w:jc w:val="right"/>
              <w:spacing w:after="0"/>
              <w:rPr>
                <w:sz w:val="20"/>
                <w:szCs w:val="20"/>
                <w:color w:val="auto"/>
              </w:rPr>
            </w:pPr>
            <w:r>
              <w:rPr>
                <w:rFonts w:ascii="Arial" w:cs="Arial" w:eastAsia="Arial" w:hAnsi="Arial"/>
                <w:sz w:val="14"/>
                <w:szCs w:val="14"/>
                <w:color w:val="auto"/>
              </w:rPr>
              <w:t>208.4 %</w:t>
            </w:r>
          </w:p>
        </w:tc>
      </w:tr>
      <w:tr>
        <w:trPr>
          <w:trHeight w:val="200"/>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intangibles from business</w:t>
            </w:r>
          </w:p>
        </w:tc>
        <w:tc>
          <w:tcPr>
            <w:tcW w:w="240" w:type="dxa"/>
            <w:vAlign w:val="bottom"/>
            <w:shd w:val="clear" w:color="auto" w:fill="F4F4F4"/>
          </w:tcPr>
          <w:p>
            <w:pPr>
              <w:spacing w:after="0"/>
              <w:rPr>
                <w:sz w:val="17"/>
                <w:szCs w:val="17"/>
                <w:color w:val="auto"/>
              </w:rPr>
            </w:pPr>
          </w:p>
        </w:tc>
        <w:tc>
          <w:tcPr>
            <w:tcW w:w="102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60" w:type="dxa"/>
            <w:vAlign w:val="bottom"/>
            <w:shd w:val="clear" w:color="auto" w:fill="F4F4F4"/>
          </w:tcPr>
          <w:p>
            <w:pPr>
              <w:spacing w:after="0"/>
              <w:rPr>
                <w:sz w:val="17"/>
                <w:szCs w:val="17"/>
                <w:color w:val="auto"/>
              </w:rPr>
            </w:pPr>
          </w:p>
        </w:tc>
      </w:tr>
      <w:tr>
        <w:trPr>
          <w:trHeight w:val="184"/>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combinations</w:t>
            </w:r>
          </w:p>
        </w:tc>
        <w:tc>
          <w:tcPr>
            <w:tcW w:w="24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8.9</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9.7</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F4F4F4"/>
          </w:tcPr>
          <w:p>
            <w:pPr>
              <w:spacing w:after="0"/>
              <w:rPr>
                <w:sz w:val="16"/>
                <w:szCs w:val="16"/>
                <w:color w:val="auto"/>
              </w:rPr>
            </w:pP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18.0</w:t>
            </w:r>
          </w:p>
        </w:tc>
        <w:tc>
          <w:tcPr>
            <w:tcW w:w="22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20.6</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(12.7)%</w:t>
            </w:r>
          </w:p>
        </w:tc>
      </w:tr>
      <w:tr>
        <w:trPr>
          <w:trHeight w:val="210"/>
        </w:trPr>
        <w:tc>
          <w:tcPr>
            <w:tcW w:w="394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Employee severance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0.8</w:t>
            </w:r>
          </w:p>
        </w:tc>
        <w:tc>
          <w:tcPr>
            <w:tcW w:w="10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(98.1)%</w:t>
            </w:r>
          </w:p>
        </w:tc>
        <w:tc>
          <w:tcPr>
            <w:tcW w:w="100" w:type="dxa"/>
            <w:vAlign w:val="bottom"/>
            <w:tcBorders>
              <w:bottom w:val="single" w:sz="8" w:color="F4F4F4"/>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0.8</w:t>
            </w:r>
          </w:p>
        </w:tc>
        <w:tc>
          <w:tcPr>
            <w:tcW w:w="106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(98.2)%</w:t>
            </w:r>
          </w:p>
        </w:tc>
      </w:tr>
      <w:tr>
        <w:trPr>
          <w:trHeight w:val="215"/>
        </w:trPr>
        <w:tc>
          <w:tcPr>
            <w:tcW w:w="394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F4F4F4"/>
          </w:tcPr>
          <w:p>
            <w:pPr>
              <w:spacing w:after="0"/>
              <w:rPr>
                <w:sz w:val="18"/>
                <w:szCs w:val="18"/>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14.1</w:t>
            </w:r>
          </w:p>
        </w:tc>
        <w:tc>
          <w:tcPr>
            <w:tcW w:w="24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13.0</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8.4 %</w:t>
            </w:r>
          </w:p>
        </w:tc>
        <w:tc>
          <w:tcPr>
            <w:tcW w:w="100" w:type="dxa"/>
            <w:vAlign w:val="bottom"/>
            <w:shd w:val="clear" w:color="auto" w:fill="F4F4F4"/>
          </w:tcPr>
          <w:p>
            <w:pPr>
              <w:spacing w:after="0"/>
              <w:rPr>
                <w:sz w:val="18"/>
                <w:szCs w:val="18"/>
                <w:color w:val="auto"/>
              </w:rPr>
            </w:pPr>
          </w:p>
        </w:tc>
        <w:tc>
          <w:tcPr>
            <w:tcW w:w="24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28.6</w:t>
            </w:r>
          </w:p>
        </w:tc>
        <w:tc>
          <w:tcPr>
            <w:tcW w:w="22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24.9</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15.1 %</w:t>
            </w:r>
          </w:p>
        </w:tc>
      </w:tr>
      <w:tr>
        <w:trPr>
          <w:trHeight w:val="209"/>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Non-GAAP gross profit</w:t>
            </w:r>
            <w:r>
              <w:rPr>
                <w:rFonts w:ascii="Arial" w:cs="Arial" w:eastAsia="Arial" w:hAnsi="Arial"/>
                <w:sz w:val="18"/>
                <w:szCs w:val="18"/>
                <w:b w:val="1"/>
                <w:bCs w:val="1"/>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135.5</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140.1</w:t>
            </w:r>
          </w:p>
        </w:tc>
        <w:tc>
          <w:tcPr>
            <w:tcW w:w="1040" w:type="dxa"/>
            <w:vAlign w:val="bottom"/>
          </w:tcPr>
          <w:p>
            <w:pPr>
              <w:jc w:val="right"/>
              <w:spacing w:after="0"/>
              <w:rPr>
                <w:sz w:val="20"/>
                <w:szCs w:val="20"/>
                <w:color w:val="auto"/>
              </w:rPr>
            </w:pPr>
            <w:r>
              <w:rPr>
                <w:rFonts w:ascii="Arial" w:cs="Arial" w:eastAsia="Arial" w:hAnsi="Arial"/>
                <w:sz w:val="14"/>
                <w:szCs w:val="14"/>
                <w:color w:val="auto"/>
              </w:rPr>
              <w:t>(3.3)%</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265.8</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270.7</w:t>
            </w: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0"/>
        </w:trPr>
        <w:tc>
          <w:tcPr>
            <w:tcW w:w="3940" w:type="dxa"/>
            <w:vAlign w:val="bottom"/>
            <w:tcBorders>
              <w:top w:val="single" w:sz="8" w:color="F4F4F4"/>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gross margin</w:t>
            </w:r>
          </w:p>
        </w:tc>
        <w:tc>
          <w:tcPr>
            <w:tcW w:w="240" w:type="dxa"/>
            <w:vAlign w:val="bottom"/>
            <w:tcBorders>
              <w:top w:val="single" w:sz="8" w:color="auto"/>
            </w:tcBorders>
            <w:shd w:val="clear" w:color="auto" w:fill="F4F4F4"/>
          </w:tcPr>
          <w:p>
            <w:pPr>
              <w:spacing w:after="0"/>
              <w:rPr>
                <w:sz w:val="18"/>
                <w:szCs w:val="18"/>
                <w:color w:val="auto"/>
              </w:rPr>
            </w:pPr>
          </w:p>
        </w:tc>
        <w:tc>
          <w:tcPr>
            <w:tcW w:w="10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59.1 %</w:t>
            </w:r>
          </w:p>
        </w:tc>
        <w:tc>
          <w:tcPr>
            <w:tcW w:w="24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60.4 %</w:t>
            </w:r>
          </w:p>
        </w:tc>
        <w:tc>
          <w:tcPr>
            <w:tcW w:w="1040" w:type="dxa"/>
            <w:vAlign w:val="bottom"/>
            <w:tcBorders>
              <w:top w:val="single" w:sz="8" w:color="F4F4F4"/>
            </w:tcBorders>
            <w:shd w:val="clear" w:color="auto" w:fill="F4F4F4"/>
          </w:tcPr>
          <w:p>
            <w:pPr>
              <w:spacing w:after="0"/>
              <w:rPr>
                <w:sz w:val="18"/>
                <w:szCs w:val="18"/>
                <w:color w:val="auto"/>
              </w:rPr>
            </w:pPr>
          </w:p>
        </w:tc>
        <w:tc>
          <w:tcPr>
            <w:tcW w:w="100" w:type="dxa"/>
            <w:vAlign w:val="bottom"/>
            <w:tcBorders>
              <w:top w:val="single" w:sz="8" w:color="F4F4F4"/>
            </w:tcBorders>
            <w:shd w:val="clear" w:color="auto" w:fill="F4F4F4"/>
          </w:tcPr>
          <w:p>
            <w:pPr>
              <w:spacing w:after="0"/>
              <w:rPr>
                <w:sz w:val="18"/>
                <w:szCs w:val="18"/>
                <w:color w:val="auto"/>
              </w:rPr>
            </w:pPr>
          </w:p>
        </w:tc>
        <w:tc>
          <w:tcPr>
            <w:tcW w:w="24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59.2 %</w:t>
            </w:r>
          </w:p>
        </w:tc>
        <w:tc>
          <w:tcPr>
            <w:tcW w:w="220" w:type="dxa"/>
            <w:vAlign w:val="bottom"/>
            <w:tcBorders>
              <w:top w:val="single" w:sz="8" w:color="auto"/>
            </w:tcBorders>
            <w:shd w:val="clear" w:color="auto" w:fill="F4F4F4"/>
          </w:tcPr>
          <w:p>
            <w:pPr>
              <w:spacing w:after="0"/>
              <w:rPr>
                <w:sz w:val="18"/>
                <w:szCs w:val="18"/>
                <w:color w:val="auto"/>
              </w:rPr>
            </w:pPr>
          </w:p>
        </w:tc>
        <w:tc>
          <w:tcPr>
            <w:tcW w:w="104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59.4 %</w:t>
            </w:r>
          </w:p>
        </w:tc>
        <w:tc>
          <w:tcPr>
            <w:tcW w:w="1060" w:type="dxa"/>
            <w:vAlign w:val="bottom"/>
            <w:tcBorders>
              <w:top w:val="single" w:sz="8" w:color="F4F4F4"/>
            </w:tcBorders>
            <w:shd w:val="clear" w:color="auto" w:fill="F4F4F4"/>
          </w:tcPr>
          <w:p>
            <w:pPr>
              <w:spacing w:after="0"/>
              <w:rPr>
                <w:sz w:val="18"/>
                <w:szCs w:val="18"/>
                <w:color w:val="auto"/>
              </w:rPr>
            </w:pPr>
          </w:p>
        </w:tc>
      </w:tr>
      <w:tr>
        <w:trPr>
          <w:trHeight w:val="148"/>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income from operations</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13.0</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19.6</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(33.4)%</w:t>
            </w:r>
          </w:p>
        </w:tc>
        <w:tc>
          <w:tcPr>
            <w:tcW w:w="340" w:type="dxa"/>
            <w:vAlign w:val="bottom"/>
            <w:gridSpan w:val="2"/>
            <w:shd w:val="clear" w:color="auto" w:fill="F4F4F4"/>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19.7</w:t>
            </w:r>
          </w:p>
        </w:tc>
        <w:tc>
          <w:tcPr>
            <w:tcW w:w="2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28.0</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(29.7)%</w:t>
            </w: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b w:val="1"/>
                <w:bCs w:val="1"/>
                <w:color w:val="auto"/>
              </w:rPr>
              <w:t>GAAP operating margin</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5.7 %</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8.4 %</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6.1 %</w:t>
            </w:r>
          </w:p>
        </w:tc>
        <w:tc>
          <w:tcPr>
            <w:tcW w:w="1060" w:type="dxa"/>
            <w:vAlign w:val="bottom"/>
          </w:tcPr>
          <w:p>
            <w:pPr>
              <w:spacing w:after="0"/>
              <w:rPr>
                <w:sz w:val="18"/>
                <w:szCs w:val="18"/>
                <w:color w:val="auto"/>
              </w:rPr>
            </w:pPr>
          </w:p>
        </w:tc>
      </w:tr>
      <w:tr>
        <w:trPr>
          <w:trHeight w:val="222"/>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4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color w:val="auto"/>
              </w:rPr>
              <w:t>Add: Stock-based compensation expense</w:t>
            </w:r>
          </w:p>
        </w:tc>
        <w:tc>
          <w:tcPr>
            <w:tcW w:w="24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30.5</w:t>
            </w: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20.1</w:t>
            </w:r>
          </w:p>
        </w:tc>
        <w:tc>
          <w:tcPr>
            <w:tcW w:w="1040" w:type="dxa"/>
            <w:vAlign w:val="bottom"/>
          </w:tcPr>
          <w:p>
            <w:pPr>
              <w:jc w:val="right"/>
              <w:spacing w:after="0"/>
              <w:rPr>
                <w:sz w:val="20"/>
                <w:szCs w:val="20"/>
                <w:color w:val="auto"/>
              </w:rPr>
            </w:pPr>
            <w:r>
              <w:rPr>
                <w:rFonts w:ascii="Arial" w:cs="Arial" w:eastAsia="Arial" w:hAnsi="Arial"/>
                <w:sz w:val="14"/>
                <w:szCs w:val="14"/>
                <w:color w:val="auto"/>
              </w:rPr>
              <w:t>51.7 %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60.6</w:t>
            </w: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33.7</w:t>
            </w:r>
          </w:p>
        </w:tc>
        <w:tc>
          <w:tcPr>
            <w:tcW w:w="1060" w:type="dxa"/>
            <w:vAlign w:val="bottom"/>
          </w:tcPr>
          <w:p>
            <w:pPr>
              <w:jc w:val="right"/>
              <w:spacing w:after="0"/>
              <w:rPr>
                <w:sz w:val="20"/>
                <w:szCs w:val="20"/>
                <w:color w:val="auto"/>
              </w:rPr>
            </w:pPr>
            <w:r>
              <w:rPr>
                <w:rFonts w:ascii="Arial" w:cs="Arial" w:eastAsia="Arial" w:hAnsi="Arial"/>
                <w:sz w:val="14"/>
                <w:szCs w:val="14"/>
                <w:color w:val="auto"/>
              </w:rPr>
              <w:t>79.6 %</w:t>
            </w:r>
          </w:p>
        </w:tc>
      </w:tr>
      <w:tr>
        <w:trPr>
          <w:trHeight w:val="200"/>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intangibles from business</w:t>
            </w:r>
          </w:p>
        </w:tc>
        <w:tc>
          <w:tcPr>
            <w:tcW w:w="240" w:type="dxa"/>
            <w:vAlign w:val="bottom"/>
            <w:shd w:val="clear" w:color="auto" w:fill="F4F4F4"/>
          </w:tcPr>
          <w:p>
            <w:pPr>
              <w:spacing w:after="0"/>
              <w:rPr>
                <w:sz w:val="17"/>
                <w:szCs w:val="17"/>
                <w:color w:val="auto"/>
              </w:rPr>
            </w:pPr>
          </w:p>
        </w:tc>
        <w:tc>
          <w:tcPr>
            <w:tcW w:w="102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60" w:type="dxa"/>
            <w:vAlign w:val="bottom"/>
            <w:shd w:val="clear" w:color="auto" w:fill="F4F4F4"/>
          </w:tcPr>
          <w:p>
            <w:pPr>
              <w:spacing w:after="0"/>
              <w:rPr>
                <w:sz w:val="17"/>
                <w:szCs w:val="17"/>
                <w:color w:val="auto"/>
              </w:rPr>
            </w:pPr>
          </w:p>
        </w:tc>
      </w:tr>
      <w:tr>
        <w:trPr>
          <w:trHeight w:val="184"/>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combinations</w:t>
            </w:r>
          </w:p>
        </w:tc>
        <w:tc>
          <w:tcPr>
            <w:tcW w:w="240" w:type="dxa"/>
            <w:vAlign w:val="bottom"/>
            <w:shd w:val="clear" w:color="auto" w:fill="F4F4F4"/>
          </w:tcPr>
          <w:p>
            <w:pPr>
              <w:spacing w:after="0"/>
              <w:rPr>
                <w:sz w:val="16"/>
                <w:szCs w:val="16"/>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9.4</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10.4</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F4F4F4"/>
          </w:tcPr>
          <w:p>
            <w:pPr>
              <w:spacing w:after="0"/>
              <w:rPr>
                <w:sz w:val="16"/>
                <w:szCs w:val="16"/>
                <w:color w:val="auto"/>
              </w:rPr>
            </w:pP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19.1</w:t>
            </w:r>
          </w:p>
        </w:tc>
        <w:tc>
          <w:tcPr>
            <w:tcW w:w="22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22.1</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(13.4)%</w:t>
            </w: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color w:val="auto"/>
              </w:rPr>
              <w:t>Add: Employee severance</w:t>
            </w:r>
          </w:p>
        </w:tc>
        <w:tc>
          <w:tcPr>
            <w:tcW w:w="24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4.3</w:t>
            </w:r>
          </w:p>
        </w:tc>
        <w:tc>
          <w:tcPr>
            <w:tcW w:w="104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4.4</w:t>
            </w:r>
          </w:p>
        </w:tc>
        <w:tc>
          <w:tcPr>
            <w:tcW w:w="1060" w:type="dxa"/>
            <w:vAlign w:val="bottom"/>
          </w:tcPr>
          <w:p>
            <w:pPr>
              <w:jc w:val="right"/>
              <w:spacing w:after="0"/>
              <w:rPr>
                <w:sz w:val="20"/>
                <w:szCs w:val="20"/>
                <w:color w:val="auto"/>
              </w:rPr>
            </w:pPr>
            <w:r>
              <w:rPr>
                <w:rFonts w:ascii="Arial" w:cs="Arial" w:eastAsia="Arial" w:hAnsi="Arial"/>
                <w:sz w:val="14"/>
                <w:szCs w:val="14"/>
                <w:color w:val="auto"/>
              </w:rPr>
              <w:t>(66.9)%</w:t>
            </w:r>
          </w:p>
        </w:tc>
      </w:tr>
      <w:tr>
        <w:trPr>
          <w:trHeight w:val="222"/>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integration costs</w:t>
            </w:r>
          </w:p>
        </w:tc>
        <w:tc>
          <w:tcPr>
            <w:tcW w:w="24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(0.1)</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(0.1)</w:t>
            </w: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(0.1)</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(4.9)%</w:t>
            </w: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color w:val="auto"/>
              </w:rPr>
              <w:t>Add: Acquisition-related expenses</w:t>
            </w:r>
          </w:p>
        </w:tc>
        <w:tc>
          <w:tcPr>
            <w:tcW w:w="24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104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0.2</w:t>
            </w:r>
          </w:p>
        </w:tc>
        <w:tc>
          <w:tcPr>
            <w:tcW w:w="1060" w:type="dxa"/>
            <w:vAlign w:val="bottom"/>
          </w:tcPr>
          <w:p>
            <w:pPr>
              <w:jc w:val="right"/>
              <w:spacing w:after="0"/>
              <w:rPr>
                <w:sz w:val="20"/>
                <w:szCs w:val="20"/>
                <w:color w:val="auto"/>
              </w:rPr>
            </w:pPr>
            <w:r>
              <w:rPr>
                <w:rFonts w:ascii="Arial" w:cs="Arial" w:eastAsia="Arial" w:hAnsi="Arial"/>
                <w:sz w:val="14"/>
                <w:szCs w:val="14"/>
                <w:color w:val="auto"/>
              </w:rPr>
              <w:t>(42.4)%</w:t>
            </w:r>
          </w:p>
        </w:tc>
      </w:tr>
      <w:tr>
        <w:trPr>
          <w:trHeight w:val="222"/>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24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0.1</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0.1</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136.0 %</w:t>
            </w:r>
          </w:p>
        </w:tc>
        <w:tc>
          <w:tcPr>
            <w:tcW w:w="1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0.1</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(90.5)%</w:t>
            </w:r>
          </w:p>
        </w:tc>
      </w:tr>
      <w:tr>
        <w:trPr>
          <w:trHeight w:val="216"/>
        </w:trPr>
        <w:tc>
          <w:tcPr>
            <w:tcW w:w="394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Security Incident-related costs, net of insurance</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0.5</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F4F4F4"/>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0.5</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r>
      <w:tr>
        <w:trPr>
          <w:trHeight w:val="210"/>
        </w:trPr>
        <w:tc>
          <w:tcPr>
            <w:tcW w:w="394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F4F4F4"/>
          </w:tcPr>
          <w:p>
            <w:pPr>
              <w:spacing w:after="0"/>
              <w:rPr>
                <w:sz w:val="18"/>
                <w:szCs w:val="18"/>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41.1</w:t>
            </w:r>
          </w:p>
        </w:tc>
        <w:tc>
          <w:tcPr>
            <w:tcW w:w="24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34.9</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17.8 %</w:t>
            </w:r>
          </w:p>
        </w:tc>
        <w:tc>
          <w:tcPr>
            <w:tcW w:w="100" w:type="dxa"/>
            <w:vAlign w:val="bottom"/>
            <w:shd w:val="clear" w:color="auto" w:fill="F4F4F4"/>
          </w:tcPr>
          <w:p>
            <w:pPr>
              <w:spacing w:after="0"/>
              <w:rPr>
                <w:sz w:val="18"/>
                <w:szCs w:val="18"/>
                <w:color w:val="auto"/>
              </w:rPr>
            </w:pPr>
          </w:p>
        </w:tc>
        <w:tc>
          <w:tcPr>
            <w:tcW w:w="24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81.6</w:t>
            </w:r>
          </w:p>
        </w:tc>
        <w:tc>
          <w:tcPr>
            <w:tcW w:w="22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60.4</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35.2 %</w:t>
            </w:r>
          </w:p>
        </w:tc>
      </w:tr>
      <w:tr>
        <w:trPr>
          <w:trHeight w:val="21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Non-GAAP income from operations</w:t>
            </w:r>
            <w:r>
              <w:rPr>
                <w:rFonts w:ascii="Arial" w:cs="Arial" w:eastAsia="Arial" w:hAnsi="Arial"/>
                <w:sz w:val="18"/>
                <w:szCs w:val="18"/>
                <w:b w:val="1"/>
                <w:bCs w:val="1"/>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54.1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54.5</w:t>
            </w:r>
          </w:p>
        </w:tc>
        <w:tc>
          <w:tcPr>
            <w:tcW w:w="1040" w:type="dxa"/>
            <w:vAlign w:val="bottom"/>
          </w:tcPr>
          <w:p>
            <w:pPr>
              <w:jc w:val="right"/>
              <w:spacing w:after="0"/>
              <w:rPr>
                <w:sz w:val="20"/>
                <w:szCs w:val="20"/>
                <w:color w:val="auto"/>
              </w:rPr>
            </w:pPr>
            <w:r>
              <w:rPr>
                <w:rFonts w:ascii="Arial" w:cs="Arial" w:eastAsia="Arial" w:hAnsi="Arial"/>
                <w:sz w:val="14"/>
                <w:szCs w:val="14"/>
                <w:color w:val="auto"/>
              </w:rPr>
              <w:t>(0.6)%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101.3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88.4</w:t>
            </w:r>
          </w:p>
        </w:tc>
        <w:tc>
          <w:tcPr>
            <w:tcW w:w="1060" w:type="dxa"/>
            <w:vAlign w:val="bottom"/>
          </w:tcPr>
          <w:p>
            <w:pPr>
              <w:jc w:val="right"/>
              <w:spacing w:after="0"/>
              <w:rPr>
                <w:sz w:val="20"/>
                <w:szCs w:val="20"/>
                <w:color w:val="auto"/>
              </w:rPr>
            </w:pPr>
            <w:r>
              <w:rPr>
                <w:rFonts w:ascii="Arial" w:cs="Arial" w:eastAsia="Arial" w:hAnsi="Arial"/>
                <w:sz w:val="14"/>
                <w:szCs w:val="14"/>
                <w:color w:val="auto"/>
              </w:rPr>
              <w:t>14.7 %</w:t>
            </w:r>
          </w:p>
        </w:tc>
      </w:tr>
      <w:tr>
        <w:trPr>
          <w:trHeight w:val="216"/>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b w:val="1"/>
                <w:bCs w:val="1"/>
                <w:color w:val="auto"/>
              </w:rPr>
              <w:t>Non-GAAP operating margin</w:t>
            </w:r>
          </w:p>
        </w:tc>
        <w:tc>
          <w:tcPr>
            <w:tcW w:w="240" w:type="dxa"/>
            <w:vAlign w:val="bottom"/>
            <w:shd w:val="clear" w:color="auto" w:fill="F4F4F4"/>
          </w:tcPr>
          <w:p>
            <w:pPr>
              <w:spacing w:after="0"/>
              <w:rPr>
                <w:sz w:val="18"/>
                <w:szCs w:val="18"/>
                <w:color w:val="auto"/>
              </w:rPr>
            </w:pPr>
          </w:p>
        </w:tc>
        <w:tc>
          <w:tcPr>
            <w:tcW w:w="10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23.6 %</w:t>
            </w:r>
          </w:p>
        </w:tc>
        <w:tc>
          <w:tcPr>
            <w:tcW w:w="24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23.5 %</w:t>
            </w:r>
          </w:p>
        </w:tc>
        <w:tc>
          <w:tcPr>
            <w:tcW w:w="1040" w:type="dxa"/>
            <w:vAlign w:val="bottom"/>
            <w:shd w:val="clear" w:color="auto" w:fill="F4F4F4"/>
          </w:tcPr>
          <w:p>
            <w:pPr>
              <w:spacing w:after="0"/>
              <w:rPr>
                <w:sz w:val="18"/>
                <w:szCs w:val="18"/>
                <w:color w:val="auto"/>
              </w:rPr>
            </w:pPr>
          </w:p>
        </w:tc>
        <w:tc>
          <w:tcPr>
            <w:tcW w:w="100" w:type="dxa"/>
            <w:vAlign w:val="bottom"/>
            <w:shd w:val="clear" w:color="auto" w:fill="F4F4F4"/>
          </w:tcPr>
          <w:p>
            <w:pPr>
              <w:spacing w:after="0"/>
              <w:rPr>
                <w:sz w:val="18"/>
                <w:szCs w:val="18"/>
                <w:color w:val="auto"/>
              </w:rPr>
            </w:pPr>
          </w:p>
        </w:tc>
        <w:tc>
          <w:tcPr>
            <w:tcW w:w="24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22.6 %</w:t>
            </w:r>
          </w:p>
        </w:tc>
        <w:tc>
          <w:tcPr>
            <w:tcW w:w="22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19.4 %</w:t>
            </w:r>
          </w:p>
        </w:tc>
        <w:tc>
          <w:tcPr>
            <w:tcW w:w="1060" w:type="dxa"/>
            <w:vAlign w:val="bottom"/>
            <w:shd w:val="clear" w:color="auto" w:fill="F4F4F4"/>
          </w:tcPr>
          <w:p>
            <w:pPr>
              <w:spacing w:after="0"/>
              <w:rPr>
                <w:sz w:val="18"/>
                <w:szCs w:val="18"/>
                <w:color w:val="auto"/>
              </w:rPr>
            </w:pPr>
          </w:p>
        </w:tc>
      </w:tr>
      <w:tr>
        <w:trPr>
          <w:trHeight w:val="149"/>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16"/>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income before provision for income taxes</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8.5</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16.3</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(48.1)%</w:t>
            </w:r>
          </w:p>
        </w:tc>
        <w:tc>
          <w:tcPr>
            <w:tcW w:w="340" w:type="dxa"/>
            <w:vAlign w:val="bottom"/>
            <w:gridSpan w:val="2"/>
            <w:shd w:val="clear" w:color="auto" w:fill="F4F4F4"/>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9.0</w:t>
            </w:r>
          </w:p>
        </w:tc>
        <w:tc>
          <w:tcPr>
            <w:tcW w:w="2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21.7</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(58.5)%</w:t>
            </w:r>
          </w:p>
        </w:tc>
      </w:tr>
      <w:tr>
        <w:trPr>
          <w:trHeight w:val="21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GAAP 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6.7</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11.8</w:t>
            </w:r>
          </w:p>
        </w:tc>
        <w:tc>
          <w:tcPr>
            <w:tcW w:w="1040" w:type="dxa"/>
            <w:vAlign w:val="bottom"/>
          </w:tcPr>
          <w:p>
            <w:pPr>
              <w:jc w:val="right"/>
              <w:spacing w:after="0"/>
              <w:rPr>
                <w:sz w:val="20"/>
                <w:szCs w:val="20"/>
                <w:color w:val="auto"/>
              </w:rPr>
            </w:pPr>
            <w:r>
              <w:rPr>
                <w:rFonts w:ascii="Arial" w:cs="Arial" w:eastAsia="Arial" w:hAnsi="Arial"/>
                <w:sz w:val="14"/>
                <w:szCs w:val="14"/>
                <w:color w:val="auto"/>
              </w:rPr>
              <w:t>(43.1)%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6.6</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16.5</w:t>
            </w:r>
          </w:p>
        </w:tc>
        <w:tc>
          <w:tcPr>
            <w:tcW w:w="1060" w:type="dxa"/>
            <w:vAlign w:val="bottom"/>
          </w:tcPr>
          <w:p>
            <w:pPr>
              <w:jc w:val="right"/>
              <w:spacing w:after="0"/>
              <w:rPr>
                <w:sz w:val="20"/>
                <w:szCs w:val="20"/>
                <w:color w:val="auto"/>
              </w:rPr>
            </w:pPr>
            <w:r>
              <w:rPr>
                <w:rFonts w:ascii="Arial" w:cs="Arial" w:eastAsia="Arial" w:hAnsi="Arial"/>
                <w:sz w:val="14"/>
                <w:szCs w:val="14"/>
                <w:color w:val="auto"/>
              </w:rPr>
              <w:t>(60.1)%</w:t>
            </w:r>
          </w:p>
        </w:tc>
      </w:tr>
      <w:tr>
        <w:trPr>
          <w:trHeight w:val="222"/>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color w:val="auto"/>
              </w:rPr>
              <w:t>Shares used in computing GAAP diluted earnings per share</w:t>
            </w:r>
          </w:p>
        </w:tc>
        <w:tc>
          <w:tcPr>
            <w:tcW w:w="240" w:type="dxa"/>
            <w:vAlign w:val="bottom"/>
            <w:shd w:val="clear" w:color="auto" w:fill="F4F4F4"/>
          </w:tcPr>
          <w:p>
            <w:pPr>
              <w:spacing w:after="0"/>
              <w:rPr>
                <w:sz w:val="19"/>
                <w:szCs w:val="19"/>
                <w:color w:val="auto"/>
              </w:rPr>
            </w:pPr>
          </w:p>
        </w:tc>
        <w:tc>
          <w:tcPr>
            <w:tcW w:w="10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48,444,874</w:t>
            </w: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48,418,378</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48,444,658</w:t>
            </w: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48,465,077</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 %</w:t>
            </w: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b w:val="1"/>
                <w:bCs w:val="1"/>
                <w:color w:val="auto"/>
              </w:rPr>
              <w:t>GAAP diluted earnings per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0.14</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0.24</w:t>
            </w:r>
          </w:p>
        </w:tc>
        <w:tc>
          <w:tcPr>
            <w:tcW w:w="1040" w:type="dxa"/>
            <w:vAlign w:val="bottom"/>
          </w:tcPr>
          <w:p>
            <w:pPr>
              <w:jc w:val="right"/>
              <w:spacing w:after="0"/>
              <w:rPr>
                <w:sz w:val="20"/>
                <w:szCs w:val="20"/>
                <w:color w:val="auto"/>
              </w:rPr>
            </w:pPr>
            <w:r>
              <w:rPr>
                <w:rFonts w:ascii="Arial" w:cs="Arial" w:eastAsia="Arial" w:hAnsi="Arial"/>
                <w:sz w:val="14"/>
                <w:szCs w:val="14"/>
                <w:color w:val="auto"/>
              </w:rPr>
              <w:t>(41.7)%</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0.14</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0.34</w:t>
            </w:r>
          </w:p>
        </w:tc>
        <w:tc>
          <w:tcPr>
            <w:tcW w:w="1060" w:type="dxa"/>
            <w:vAlign w:val="bottom"/>
          </w:tcPr>
          <w:p>
            <w:pPr>
              <w:jc w:val="right"/>
              <w:spacing w:after="0"/>
              <w:rPr>
                <w:sz w:val="20"/>
                <w:szCs w:val="20"/>
                <w:color w:val="auto"/>
              </w:rPr>
            </w:pPr>
            <w:r>
              <w:rPr>
                <w:rFonts w:ascii="Arial" w:cs="Arial" w:eastAsia="Arial" w:hAnsi="Arial"/>
                <w:sz w:val="14"/>
                <w:szCs w:val="14"/>
                <w:color w:val="auto"/>
              </w:rPr>
              <w:t>(58.8)%</w:t>
            </w:r>
          </w:p>
        </w:tc>
      </w:tr>
      <w:tr>
        <w:trPr>
          <w:trHeight w:val="222"/>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40" w:type="dxa"/>
            <w:vAlign w:val="bottom"/>
            <w:shd w:val="clear" w:color="auto" w:fill="F4F4F4"/>
          </w:tcPr>
          <w:p>
            <w:pPr>
              <w:spacing w:after="0"/>
              <w:rPr>
                <w:sz w:val="19"/>
                <w:szCs w:val="19"/>
                <w:color w:val="auto"/>
              </w:rPr>
            </w:pPr>
          </w:p>
        </w:tc>
        <w:tc>
          <w:tcPr>
            <w:tcW w:w="102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r>
      <w:tr>
        <w:trPr>
          <w:trHeight w:val="210"/>
        </w:trPr>
        <w:tc>
          <w:tcPr>
            <w:tcW w:w="3940" w:type="dxa"/>
            <w:vAlign w:val="bottom"/>
          </w:tcPr>
          <w:p>
            <w:pPr>
              <w:ind w:left="140"/>
              <w:spacing w:after="0"/>
              <w:rPr>
                <w:sz w:val="20"/>
                <w:szCs w:val="20"/>
                <w:color w:val="auto"/>
              </w:rPr>
            </w:pPr>
            <w:r>
              <w:rPr>
                <w:rFonts w:ascii="Arial" w:cs="Arial" w:eastAsia="Arial" w:hAnsi="Arial"/>
                <w:sz w:val="14"/>
                <w:szCs w:val="14"/>
                <w:color w:val="auto"/>
              </w:rPr>
              <w:t>Add: GAAP income tax provision</w:t>
            </w:r>
          </w:p>
        </w:tc>
        <w:tc>
          <w:tcPr>
            <w:tcW w:w="24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4.5</w:t>
            </w:r>
          </w:p>
        </w:tc>
        <w:tc>
          <w:tcPr>
            <w:tcW w:w="104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5.2</w:t>
            </w:r>
          </w:p>
        </w:tc>
        <w:tc>
          <w:tcPr>
            <w:tcW w:w="106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200"/>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Total non-GAAP adjustments affecting income from</w:t>
            </w:r>
          </w:p>
        </w:tc>
        <w:tc>
          <w:tcPr>
            <w:tcW w:w="240" w:type="dxa"/>
            <w:vAlign w:val="bottom"/>
            <w:shd w:val="clear" w:color="auto" w:fill="F4F4F4"/>
          </w:tcPr>
          <w:p>
            <w:pPr>
              <w:spacing w:after="0"/>
              <w:rPr>
                <w:sz w:val="17"/>
                <w:szCs w:val="17"/>
                <w:color w:val="auto"/>
              </w:rPr>
            </w:pPr>
          </w:p>
        </w:tc>
        <w:tc>
          <w:tcPr>
            <w:tcW w:w="102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0" w:type="dxa"/>
            <w:vAlign w:val="bottom"/>
            <w:shd w:val="clear" w:color="auto" w:fill="F4F4F4"/>
          </w:tcPr>
          <w:p>
            <w:pPr>
              <w:spacing w:after="0"/>
              <w:rPr>
                <w:sz w:val="17"/>
                <w:szCs w:val="17"/>
                <w:color w:val="auto"/>
              </w:rPr>
            </w:pPr>
          </w:p>
        </w:tc>
        <w:tc>
          <w:tcPr>
            <w:tcW w:w="24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2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1060" w:type="dxa"/>
            <w:vAlign w:val="bottom"/>
            <w:shd w:val="clear" w:color="auto" w:fill="F4F4F4"/>
          </w:tcPr>
          <w:p>
            <w:pPr>
              <w:spacing w:after="0"/>
              <w:rPr>
                <w:sz w:val="17"/>
                <w:szCs w:val="17"/>
                <w:color w:val="auto"/>
              </w:rPr>
            </w:pPr>
          </w:p>
        </w:tc>
      </w:tr>
      <w:tr>
        <w:trPr>
          <w:trHeight w:val="184"/>
        </w:trPr>
        <w:tc>
          <w:tcPr>
            <w:tcW w:w="39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operations</w:t>
            </w:r>
          </w:p>
        </w:tc>
        <w:tc>
          <w:tcPr>
            <w:tcW w:w="240" w:type="dxa"/>
            <w:vAlign w:val="bottom"/>
            <w:tcBorders>
              <w:bottom w:val="single" w:sz="8" w:color="auto"/>
            </w:tcBorders>
            <w:shd w:val="clear" w:color="auto" w:fill="F4F4F4"/>
          </w:tcPr>
          <w:p>
            <w:pPr>
              <w:spacing w:after="0"/>
              <w:rPr>
                <w:sz w:val="16"/>
                <w:szCs w:val="16"/>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41.1</w:t>
            </w:r>
          </w:p>
        </w:tc>
        <w:tc>
          <w:tcPr>
            <w:tcW w:w="24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34.9</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17.8 %</w:t>
            </w:r>
          </w:p>
        </w:tc>
        <w:tc>
          <w:tcPr>
            <w:tcW w:w="100" w:type="dxa"/>
            <w:vAlign w:val="bottom"/>
            <w:shd w:val="clear" w:color="auto" w:fill="F4F4F4"/>
          </w:tcPr>
          <w:p>
            <w:pPr>
              <w:spacing w:after="0"/>
              <w:rPr>
                <w:sz w:val="16"/>
                <w:szCs w:val="16"/>
                <w:color w:val="auto"/>
              </w:rPr>
            </w:pPr>
          </w:p>
        </w:tc>
        <w:tc>
          <w:tcPr>
            <w:tcW w:w="24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81.6</w:t>
            </w:r>
          </w:p>
        </w:tc>
        <w:tc>
          <w:tcPr>
            <w:tcW w:w="22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60.4</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35.2 %</w:t>
            </w:r>
          </w:p>
        </w:tc>
      </w:tr>
      <w:tr>
        <w:trPr>
          <w:trHeight w:val="203"/>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Non-GAAP income before provision for income taxes</w:t>
            </w:r>
          </w:p>
        </w:tc>
        <w:tc>
          <w:tcPr>
            <w:tcW w:w="24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49.6</w:t>
            </w:r>
          </w:p>
        </w:tc>
        <w:tc>
          <w:tcPr>
            <w:tcW w:w="24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51.2</w:t>
            </w: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90.6</w:t>
            </w:r>
          </w:p>
        </w:tc>
        <w:tc>
          <w:tcPr>
            <w:tcW w:w="22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82.0</w:t>
            </w:r>
          </w:p>
        </w:tc>
        <w:tc>
          <w:tcPr>
            <w:tcW w:w="1060" w:type="dxa"/>
            <w:vAlign w:val="bottom"/>
          </w:tcPr>
          <w:p>
            <w:pPr>
              <w:jc w:val="right"/>
              <w:spacing w:after="0"/>
              <w:rPr>
                <w:sz w:val="20"/>
                <w:szCs w:val="20"/>
                <w:color w:val="auto"/>
              </w:rPr>
            </w:pPr>
            <w:r>
              <w:rPr>
                <w:rFonts w:ascii="Arial" w:cs="Arial" w:eastAsia="Arial" w:hAnsi="Arial"/>
                <w:sz w:val="14"/>
                <w:szCs w:val="14"/>
                <w:color w:val="auto"/>
              </w:rPr>
              <w:t>10.5 %</w:t>
            </w:r>
          </w:p>
        </w:tc>
      </w:tr>
      <w:tr>
        <w:trPr>
          <w:trHeight w:val="222"/>
        </w:trPr>
        <w:tc>
          <w:tcPr>
            <w:tcW w:w="3940" w:type="dxa"/>
            <w:vAlign w:val="bottom"/>
            <w:shd w:val="clear" w:color="auto" w:fill="F4F4F4"/>
          </w:tcPr>
          <w:p>
            <w:pPr>
              <w:ind w:left="20"/>
              <w:spacing w:after="0"/>
              <w:rPr>
                <w:sz w:val="20"/>
                <w:szCs w:val="20"/>
                <w:color w:val="auto"/>
              </w:rPr>
            </w:pPr>
            <w:r>
              <w:rPr>
                <w:rFonts w:ascii="Arial" w:cs="Arial" w:eastAsia="Arial" w:hAnsi="Arial"/>
                <w:sz w:val="14"/>
                <w:szCs w:val="14"/>
                <w:color w:val="auto"/>
              </w:rPr>
              <w:t>Assumed non-GAAP income tax provision</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F4F4F4"/>
          </w:tcPr>
          <w:p>
            <w:pPr>
              <w:spacing w:after="0"/>
              <w:rPr>
                <w:sz w:val="19"/>
                <w:szCs w:val="19"/>
                <w:color w:val="auto"/>
              </w:rPr>
            </w:pPr>
          </w:p>
        </w:tc>
        <w:tc>
          <w:tcPr>
            <w:tcW w:w="10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9.9</w:t>
            </w:r>
          </w:p>
        </w:tc>
        <w:tc>
          <w:tcPr>
            <w:tcW w:w="24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10.2</w:t>
            </w: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F4F4F4"/>
          </w:tcPr>
          <w:p>
            <w:pPr>
              <w:spacing w:after="0"/>
              <w:rPr>
                <w:sz w:val="19"/>
                <w:szCs w:val="19"/>
                <w:color w:val="auto"/>
              </w:rPr>
            </w:pPr>
          </w:p>
        </w:tc>
        <w:tc>
          <w:tcPr>
            <w:tcW w:w="24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18.1</w:t>
            </w:r>
          </w:p>
        </w:tc>
        <w:tc>
          <w:tcPr>
            <w:tcW w:w="22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16.4</w:t>
            </w: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10.5 %</w:t>
            </w:r>
          </w:p>
        </w:tc>
      </w:tr>
      <w:tr>
        <w:trPr>
          <w:trHeight w:val="210"/>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8"/>
                <w:szCs w:val="18"/>
                <w:b w:val="1"/>
                <w:bCs w:val="1"/>
                <w:color w:val="auto"/>
                <w:vertAlign w:val="superscript"/>
              </w:rPr>
              <w:t>(1)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39.7</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41.0</w:t>
            </w: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72.5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65.6</w:t>
            </w:r>
          </w:p>
        </w:tc>
        <w:tc>
          <w:tcPr>
            <w:tcW w:w="1060" w:type="dxa"/>
            <w:vAlign w:val="bottom"/>
          </w:tcPr>
          <w:p>
            <w:pPr>
              <w:jc w:val="right"/>
              <w:spacing w:after="0"/>
              <w:rPr>
                <w:sz w:val="20"/>
                <w:szCs w:val="20"/>
                <w:color w:val="auto"/>
              </w:rPr>
            </w:pPr>
            <w:r>
              <w:rPr>
                <w:rFonts w:ascii="Arial" w:cs="Arial" w:eastAsia="Arial" w:hAnsi="Arial"/>
                <w:sz w:val="14"/>
                <w:szCs w:val="14"/>
                <w:color w:val="auto"/>
              </w:rPr>
              <w:t>10.5 %</w:t>
            </w:r>
          </w:p>
        </w:tc>
      </w:tr>
      <w:tr>
        <w:trPr>
          <w:trHeight w:val="128"/>
        </w:trPr>
        <w:tc>
          <w:tcPr>
            <w:tcW w:w="3940" w:type="dxa"/>
            <w:vAlign w:val="bottom"/>
            <w:tcBorders>
              <w:top w:val="single" w:sz="8" w:color="F4F4F4"/>
            </w:tcBorders>
            <w:shd w:val="clear" w:color="auto" w:fill="F4F4F4"/>
          </w:tcPr>
          <w:p>
            <w:pPr>
              <w:spacing w:after="0"/>
              <w:rPr>
                <w:sz w:val="11"/>
                <w:szCs w:val="11"/>
                <w:color w:val="auto"/>
              </w:rPr>
            </w:pPr>
          </w:p>
        </w:tc>
        <w:tc>
          <w:tcPr>
            <w:tcW w:w="240" w:type="dxa"/>
            <w:vAlign w:val="bottom"/>
            <w:tcBorders>
              <w:top w:val="single" w:sz="8" w:color="auto"/>
            </w:tcBorders>
            <w:shd w:val="clear" w:color="auto" w:fill="F4F4F4"/>
          </w:tcPr>
          <w:p>
            <w:pPr>
              <w:spacing w:after="0"/>
              <w:rPr>
                <w:sz w:val="11"/>
                <w:szCs w:val="11"/>
                <w:color w:val="auto"/>
              </w:rPr>
            </w:pPr>
          </w:p>
        </w:tc>
        <w:tc>
          <w:tcPr>
            <w:tcW w:w="1020" w:type="dxa"/>
            <w:vAlign w:val="bottom"/>
            <w:tcBorders>
              <w:top w:val="single" w:sz="8" w:color="auto"/>
            </w:tcBorders>
            <w:shd w:val="clear" w:color="auto" w:fill="F4F4F4"/>
          </w:tcPr>
          <w:p>
            <w:pPr>
              <w:spacing w:after="0"/>
              <w:rPr>
                <w:sz w:val="11"/>
                <w:szCs w:val="11"/>
                <w:color w:val="auto"/>
              </w:rPr>
            </w:pPr>
          </w:p>
        </w:tc>
        <w:tc>
          <w:tcPr>
            <w:tcW w:w="24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F4F4F4"/>
            </w:tcBorders>
            <w:shd w:val="clear" w:color="auto" w:fill="F4F4F4"/>
          </w:tcPr>
          <w:p>
            <w:pPr>
              <w:spacing w:after="0"/>
              <w:rPr>
                <w:sz w:val="11"/>
                <w:szCs w:val="11"/>
                <w:color w:val="auto"/>
              </w:rPr>
            </w:pPr>
          </w:p>
        </w:tc>
        <w:tc>
          <w:tcPr>
            <w:tcW w:w="100" w:type="dxa"/>
            <w:vAlign w:val="bottom"/>
            <w:tcBorders>
              <w:top w:val="single" w:sz="8" w:color="F4F4F4"/>
            </w:tcBorders>
            <w:shd w:val="clear" w:color="auto" w:fill="F4F4F4"/>
          </w:tcPr>
          <w:p>
            <w:pPr>
              <w:spacing w:after="0"/>
              <w:rPr>
                <w:sz w:val="11"/>
                <w:szCs w:val="11"/>
                <w:color w:val="auto"/>
              </w:rPr>
            </w:pPr>
          </w:p>
        </w:tc>
        <w:tc>
          <w:tcPr>
            <w:tcW w:w="24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auto"/>
            </w:tcBorders>
            <w:shd w:val="clear" w:color="auto" w:fill="F4F4F4"/>
          </w:tcPr>
          <w:p>
            <w:pPr>
              <w:spacing w:after="0"/>
              <w:rPr>
                <w:sz w:val="11"/>
                <w:szCs w:val="11"/>
                <w:color w:val="auto"/>
              </w:rPr>
            </w:pPr>
          </w:p>
        </w:tc>
        <w:tc>
          <w:tcPr>
            <w:tcW w:w="220" w:type="dxa"/>
            <w:vAlign w:val="bottom"/>
            <w:tcBorders>
              <w:top w:val="single" w:sz="8" w:color="auto"/>
            </w:tcBorders>
            <w:shd w:val="clear" w:color="auto" w:fill="F4F4F4"/>
          </w:tcPr>
          <w:p>
            <w:pPr>
              <w:spacing w:after="0"/>
              <w:rPr>
                <w:sz w:val="11"/>
                <w:szCs w:val="11"/>
                <w:color w:val="auto"/>
              </w:rPr>
            </w:pPr>
          </w:p>
        </w:tc>
        <w:tc>
          <w:tcPr>
            <w:tcW w:w="1040" w:type="dxa"/>
            <w:vAlign w:val="bottom"/>
            <w:tcBorders>
              <w:top w:val="single" w:sz="8" w:color="auto"/>
            </w:tcBorders>
            <w:shd w:val="clear" w:color="auto" w:fill="F4F4F4"/>
          </w:tcPr>
          <w:p>
            <w:pPr>
              <w:spacing w:after="0"/>
              <w:rPr>
                <w:sz w:val="11"/>
                <w:szCs w:val="11"/>
                <w:color w:val="auto"/>
              </w:rPr>
            </w:pPr>
          </w:p>
        </w:tc>
        <w:tc>
          <w:tcPr>
            <w:tcW w:w="1060" w:type="dxa"/>
            <w:vAlign w:val="bottom"/>
            <w:tcBorders>
              <w:top w:val="single" w:sz="8" w:color="F4F4F4"/>
            </w:tcBorders>
            <w:shd w:val="clear" w:color="auto" w:fill="F4F4F4"/>
          </w:tcPr>
          <w:p>
            <w:pPr>
              <w:spacing w:after="0"/>
              <w:rPr>
                <w:sz w:val="11"/>
                <w:szCs w:val="11"/>
                <w:color w:val="auto"/>
              </w:rPr>
            </w:pPr>
          </w:p>
        </w:tc>
      </w:tr>
      <w:tr>
        <w:trPr>
          <w:trHeight w:val="194"/>
        </w:trPr>
        <w:tc>
          <w:tcPr>
            <w:tcW w:w="3940" w:type="dxa"/>
            <w:vAlign w:val="bottom"/>
          </w:tcPr>
          <w:p>
            <w:pPr>
              <w:ind w:left="20"/>
              <w:spacing w:after="0"/>
              <w:rPr>
                <w:sz w:val="20"/>
                <w:szCs w:val="20"/>
                <w:color w:val="auto"/>
              </w:rPr>
            </w:pPr>
            <w:r>
              <w:rPr>
                <w:rFonts w:ascii="Arial" w:cs="Arial" w:eastAsia="Arial" w:hAnsi="Arial"/>
                <w:sz w:val="14"/>
                <w:szCs w:val="14"/>
                <w:color w:val="auto"/>
              </w:rPr>
              <w:t>Shares used in computing non-GAAP diluted earnings per</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78"/>
        </w:trPr>
        <w:tc>
          <w:tcPr>
            <w:tcW w:w="3940" w:type="dxa"/>
            <w:vAlign w:val="bottom"/>
          </w:tcPr>
          <w:p>
            <w:pPr>
              <w:ind w:left="20"/>
              <w:spacing w:after="0"/>
              <w:rPr>
                <w:sz w:val="20"/>
                <w:szCs w:val="20"/>
                <w:color w:val="auto"/>
              </w:rPr>
            </w:pPr>
            <w:r>
              <w:rPr>
                <w:rFonts w:ascii="Arial" w:cs="Arial" w:eastAsia="Arial" w:hAnsi="Arial"/>
                <w:sz w:val="14"/>
                <w:szCs w:val="14"/>
                <w:color w:val="auto"/>
              </w:rPr>
              <w:t>share</w:t>
            </w:r>
          </w:p>
        </w:tc>
        <w:tc>
          <w:tcPr>
            <w:tcW w:w="24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48,444,874</w:t>
            </w:r>
          </w:p>
        </w:tc>
        <w:tc>
          <w:tcPr>
            <w:tcW w:w="24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48,418,378</w:t>
            </w:r>
          </w:p>
        </w:tc>
        <w:tc>
          <w:tcPr>
            <w:tcW w:w="104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48,444,658</w:t>
            </w:r>
          </w:p>
        </w:tc>
        <w:tc>
          <w:tcPr>
            <w:tcW w:w="22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48,465,077</w:t>
            </w:r>
          </w:p>
        </w:tc>
        <w:tc>
          <w:tcPr>
            <w:tcW w:w="10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16"/>
        </w:trPr>
        <w:tc>
          <w:tcPr>
            <w:tcW w:w="394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Non-GAAP diluted earnings per share</w:t>
            </w:r>
          </w:p>
        </w:tc>
        <w:tc>
          <w:tcPr>
            <w:tcW w:w="240" w:type="dxa"/>
            <w:vAlign w:val="bottom"/>
            <w:tcBorders>
              <w:bottom w:val="single" w:sz="8" w:color="71BF43"/>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71BF43"/>
            </w:tcBorders>
            <w:shd w:val="clear" w:color="auto" w:fill="F4F4F4"/>
          </w:tcPr>
          <w:p>
            <w:pPr>
              <w:jc w:val="right"/>
              <w:ind w:right="108"/>
              <w:spacing w:after="0"/>
              <w:rPr>
                <w:sz w:val="20"/>
                <w:szCs w:val="20"/>
                <w:color w:val="auto"/>
              </w:rPr>
            </w:pPr>
            <w:r>
              <w:rPr>
                <w:rFonts w:ascii="Arial" w:cs="Arial" w:eastAsia="Arial" w:hAnsi="Arial"/>
                <w:sz w:val="14"/>
                <w:szCs w:val="14"/>
                <w:color w:val="auto"/>
              </w:rPr>
              <w:t>0.82</w:t>
            </w:r>
          </w:p>
        </w:tc>
        <w:tc>
          <w:tcPr>
            <w:tcW w:w="240" w:type="dxa"/>
            <w:vAlign w:val="bottom"/>
            <w:tcBorders>
              <w:bottom w:val="single" w:sz="8" w:color="71BF43"/>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1BF43"/>
            </w:tcBorders>
            <w:shd w:val="clear" w:color="auto" w:fill="F4F4F4"/>
          </w:tcPr>
          <w:p>
            <w:pPr>
              <w:jc w:val="right"/>
              <w:ind w:right="128"/>
              <w:spacing w:after="0"/>
              <w:rPr>
                <w:sz w:val="20"/>
                <w:szCs w:val="20"/>
                <w:color w:val="auto"/>
              </w:rPr>
            </w:pPr>
            <w:r>
              <w:rPr>
                <w:rFonts w:ascii="Arial" w:cs="Arial" w:eastAsia="Arial" w:hAnsi="Arial"/>
                <w:sz w:val="14"/>
                <w:szCs w:val="14"/>
                <w:color w:val="auto"/>
              </w:rPr>
              <w:t>0.85</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4"/>
                <w:szCs w:val="14"/>
                <w:color w:val="auto"/>
              </w:rPr>
              <w:t>(3.5)%</w:t>
            </w:r>
          </w:p>
        </w:tc>
        <w:tc>
          <w:tcPr>
            <w:tcW w:w="340" w:type="dxa"/>
            <w:vAlign w:val="bottom"/>
            <w:tcBorders>
              <w:bottom w:val="single" w:sz="8" w:color="71BF43"/>
            </w:tcBorders>
            <w:gridSpan w:val="2"/>
            <w:shd w:val="clear" w:color="auto" w:fill="F4F4F4"/>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1BF43"/>
            </w:tcBorders>
            <w:shd w:val="clear" w:color="auto" w:fill="F4F4F4"/>
          </w:tcPr>
          <w:p>
            <w:pPr>
              <w:jc w:val="right"/>
              <w:ind w:right="128"/>
              <w:spacing w:after="0"/>
              <w:rPr>
                <w:sz w:val="20"/>
                <w:szCs w:val="20"/>
                <w:color w:val="auto"/>
              </w:rPr>
            </w:pPr>
            <w:r>
              <w:rPr>
                <w:rFonts w:ascii="Arial" w:cs="Arial" w:eastAsia="Arial" w:hAnsi="Arial"/>
                <w:sz w:val="14"/>
                <w:szCs w:val="14"/>
                <w:color w:val="auto"/>
              </w:rPr>
              <w:t>1.50</w:t>
            </w:r>
          </w:p>
        </w:tc>
        <w:tc>
          <w:tcPr>
            <w:tcW w:w="220" w:type="dxa"/>
            <w:vAlign w:val="bottom"/>
            <w:tcBorders>
              <w:bottom w:val="single" w:sz="8" w:color="71BF43"/>
            </w:tcBorders>
            <w:shd w:val="clear" w:color="auto" w:fill="F4F4F4"/>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71BF43"/>
            </w:tcBorders>
            <w:shd w:val="clear" w:color="auto" w:fill="F4F4F4"/>
          </w:tcPr>
          <w:p>
            <w:pPr>
              <w:jc w:val="right"/>
              <w:ind w:right="108"/>
              <w:spacing w:after="0"/>
              <w:rPr>
                <w:sz w:val="20"/>
                <w:szCs w:val="20"/>
                <w:color w:val="auto"/>
              </w:rPr>
            </w:pPr>
            <w:r>
              <w:rPr>
                <w:rFonts w:ascii="Arial" w:cs="Arial" w:eastAsia="Arial" w:hAnsi="Arial"/>
                <w:sz w:val="14"/>
                <w:szCs w:val="14"/>
                <w:color w:val="auto"/>
              </w:rPr>
              <w:t>1.35</w:t>
            </w:r>
          </w:p>
        </w:tc>
        <w:tc>
          <w:tcPr>
            <w:tcW w:w="10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4"/>
                <w:szCs w:val="14"/>
                <w:color w:val="auto"/>
              </w:rPr>
              <w:t>11.1 %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-5811520</wp:posOffset>
            </wp:positionV>
            <wp:extent cx="46202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gross profit, subtotal, non-GAAP income from operations or non-GAAP net income due to rounding.</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54"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Security Incident-related costs incurred during the three and six months ended June 30, 2021 of $11.7 million and $24.4 million, respectively, net of probable insurance recoveries during the same periods of $11.2 million and $23.9 million, respectively. Recorded expenses consisted primarily of payments to third-party service providers and consultants, including legal fees, as well as settlements of customer claims. Not included in this adjustment were costs associated with enhancements to our cybersecurity program.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apply a non-GAAP effective tax rate of 20.0% when calculating non-GAAP net income and non-GAAP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organic revenue growth</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In addition, we discuss non-GAAP organic revenue growth, non-GAAP organic revenue growth on a constant currency basis and non-GAAP organic recurring revenue growth,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and they include the non-GAAP revenue attributable to those companies, as if there were no acquisition-related write-downs of acquired deferred revenue to fair value as required by GAAP.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2140" w:type="dxa"/>
            <w:vAlign w:val="bottom"/>
            <w:tcBorders>
              <w:right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880" w:type="dxa"/>
            <w:vAlign w:val="bottom"/>
            <w:shd w:val="clear" w:color="auto" w:fill="ACACAC"/>
          </w:tcPr>
          <w:p>
            <w:pPr>
              <w:spacing w:after="0"/>
              <w:rPr>
                <w:sz w:val="16"/>
                <w:szCs w:val="16"/>
                <w:color w:val="auto"/>
              </w:rPr>
            </w:pPr>
          </w:p>
        </w:tc>
        <w:tc>
          <w:tcPr>
            <w:tcW w:w="12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96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88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80" w:type="dxa"/>
            <w:vAlign w:val="bottom"/>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88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371"/>
        </w:trPr>
        <w:tc>
          <w:tcPr>
            <w:tcW w:w="59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ACACAC"/>
            </w:tcBorders>
            <w:shd w:val="clear" w:color="auto" w:fill="ACACAC"/>
          </w:tcPr>
          <w:p>
            <w:pPr>
              <w:spacing w:after="0"/>
              <w:rPr>
                <w:sz w:val="24"/>
                <w:szCs w:val="24"/>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60" w:type="dxa"/>
            <w:vAlign w:val="bottom"/>
            <w:tcBorders>
              <w:bottom w:val="single" w:sz="8" w:color="ACACAC"/>
            </w:tcBorders>
            <w:shd w:val="clear" w:color="auto" w:fill="ACACAC"/>
          </w:tcPr>
          <w:p>
            <w:pPr>
              <w:spacing w:after="0"/>
              <w:rPr>
                <w:sz w:val="24"/>
                <w:szCs w:val="24"/>
                <w:color w:val="auto"/>
              </w:rPr>
            </w:pPr>
          </w:p>
        </w:tc>
        <w:tc>
          <w:tcPr>
            <w:tcW w:w="88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80" w:type="dxa"/>
            <w:vAlign w:val="bottom"/>
            <w:tcBorders>
              <w:bottom w:val="single" w:sz="8" w:color="F4F4F4"/>
            </w:tcBorders>
          </w:tcPr>
          <w:p>
            <w:pPr>
              <w:spacing w:after="0"/>
              <w:rPr>
                <w:sz w:val="24"/>
                <w:szCs w:val="24"/>
                <w:color w:val="auto"/>
              </w:rPr>
            </w:pPr>
          </w:p>
        </w:tc>
        <w:tc>
          <w:tcPr>
            <w:tcW w:w="460" w:type="dxa"/>
            <w:vAlign w:val="bottom"/>
            <w:tcBorders>
              <w:bottom w:val="single" w:sz="8" w:color="ACACAC"/>
            </w:tcBorders>
            <w:shd w:val="clear" w:color="auto" w:fill="ACACAC"/>
          </w:tcPr>
          <w:p>
            <w:pPr>
              <w:spacing w:after="0"/>
              <w:rPr>
                <w:sz w:val="24"/>
                <w:szCs w:val="24"/>
                <w:color w:val="auto"/>
              </w:rPr>
            </w:pPr>
          </w:p>
        </w:tc>
        <w:tc>
          <w:tcPr>
            <w:tcW w:w="8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24"/>
                <w:szCs w:val="24"/>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24"/>
                <w:szCs w:val="24"/>
                <w:color w:val="auto"/>
              </w:rPr>
            </w:pPr>
          </w:p>
        </w:tc>
      </w:tr>
      <w:tr>
        <w:trPr>
          <w:trHeight w:val="215"/>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revenue</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229.4</w:t>
            </w:r>
          </w:p>
        </w:tc>
        <w:tc>
          <w:tcPr>
            <w:tcW w:w="36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232.0</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448.6</w:t>
            </w:r>
          </w:p>
        </w:tc>
        <w:tc>
          <w:tcPr>
            <w:tcW w:w="40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455.6</w:t>
            </w:r>
          </w:p>
        </w:tc>
        <w:tc>
          <w:tcPr>
            <w:tcW w:w="20" w:type="dxa"/>
            <w:vAlign w:val="bottom"/>
          </w:tcPr>
          <w:p>
            <w:pPr>
              <w:spacing w:after="0"/>
              <w:rPr>
                <w:sz w:val="18"/>
                <w:szCs w:val="18"/>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GAAP revenue growth</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9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Non-GAAP acquisition-related revenue</w:t>
            </w:r>
            <w:r>
              <w:rPr>
                <w:rFonts w:ascii="Arial" w:cs="Arial" w:eastAsia="Arial" w:hAnsi="Arial"/>
                <w:sz w:val="18"/>
                <w:szCs w:val="18"/>
                <w:color w:val="auto"/>
                <w:vertAlign w:val="superscript"/>
              </w:rPr>
              <w:t>(1)</w:t>
            </w:r>
          </w:p>
        </w:tc>
        <w:tc>
          <w:tcPr>
            <w:tcW w:w="460" w:type="dxa"/>
            <w:vAlign w:val="bottom"/>
            <w:tcBorders>
              <w:bottom w:val="single" w:sz="8" w:color="4D5259"/>
            </w:tcBorders>
            <w:shd w:val="clear" w:color="auto" w:fill="F4F4F4"/>
          </w:tcPr>
          <w:p>
            <w:pPr>
              <w:spacing w:after="0"/>
              <w:rPr>
                <w:sz w:val="19"/>
                <w:szCs w:val="19"/>
                <w:color w:val="auto"/>
              </w:rPr>
            </w:pPr>
          </w:p>
        </w:tc>
        <w:tc>
          <w:tcPr>
            <w:tcW w:w="900" w:type="dxa"/>
            <w:vAlign w:val="bottom"/>
            <w:tcBorders>
              <w:bottom w:val="single" w:sz="8" w:color="4D5259"/>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D5259"/>
            </w:tcBorders>
            <w:shd w:val="clear" w:color="auto" w:fill="F4F4F4"/>
          </w:tcPr>
          <w:p>
            <w:pPr>
              <w:spacing w:after="0"/>
              <w:rPr>
                <w:sz w:val="19"/>
                <w:szCs w:val="19"/>
                <w:color w:val="auto"/>
              </w:rPr>
            </w:pPr>
          </w:p>
        </w:tc>
        <w:tc>
          <w:tcPr>
            <w:tcW w:w="880" w:type="dxa"/>
            <w:vAlign w:val="bottom"/>
            <w:tcBorders>
              <w:bottom w:val="single" w:sz="8" w:color="4D5259"/>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F4F4F4"/>
          </w:tcPr>
          <w:p>
            <w:pPr>
              <w:spacing w:after="0"/>
              <w:rPr>
                <w:sz w:val="19"/>
                <w:szCs w:val="19"/>
                <w:color w:val="auto"/>
              </w:rPr>
            </w:pPr>
          </w:p>
        </w:tc>
        <w:tc>
          <w:tcPr>
            <w:tcW w:w="460" w:type="dxa"/>
            <w:vAlign w:val="bottom"/>
            <w:tcBorders>
              <w:bottom w:val="single" w:sz="8" w:color="auto"/>
            </w:tcBorders>
            <w:shd w:val="clear" w:color="auto" w:fill="F4F4F4"/>
          </w:tcPr>
          <w:p>
            <w:pPr>
              <w:spacing w:after="0"/>
              <w:rPr>
                <w:sz w:val="19"/>
                <w:szCs w:val="19"/>
                <w:color w:val="auto"/>
              </w:rPr>
            </w:pPr>
          </w:p>
        </w:tc>
        <w:tc>
          <w:tcPr>
            <w:tcW w:w="88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r>
        <w:trPr>
          <w:trHeight w:val="209"/>
        </w:trPr>
        <w:tc>
          <w:tcPr>
            <w:tcW w:w="5960" w:type="dxa"/>
            <w:vAlign w:val="bottom"/>
          </w:tcPr>
          <w:p>
            <w:pPr>
              <w:ind w:left="20"/>
              <w:spacing w:after="0"/>
              <w:rPr>
                <w:sz w:val="20"/>
                <w:szCs w:val="20"/>
                <w:color w:val="auto"/>
              </w:rPr>
            </w:pPr>
            <w:r>
              <w:rPr>
                <w:rFonts w:ascii="Arial" w:cs="Arial" w:eastAsia="Arial" w:hAnsi="Arial"/>
                <w:sz w:val="14"/>
                <w:szCs w:val="14"/>
                <w:color w:val="auto"/>
              </w:rPr>
              <w:t>Non-GAAP organic revenue</w:t>
            </w:r>
            <w:r>
              <w:rPr>
                <w:rFonts w:ascii="Arial" w:cs="Arial" w:eastAsia="Arial" w:hAnsi="Arial"/>
                <w:sz w:val="18"/>
                <w:szCs w:val="18"/>
                <w:color w:val="auto"/>
                <w:vertAlign w:val="superscript"/>
              </w:rPr>
              <w:t>(2)</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229.4</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232.0</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448.6</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455.6</w:t>
            </w:r>
          </w:p>
        </w:tc>
        <w:tc>
          <w:tcPr>
            <w:tcW w:w="20" w:type="dxa"/>
            <w:vAlign w:val="bottom"/>
          </w:tcPr>
          <w:p>
            <w:pPr>
              <w:spacing w:after="0"/>
              <w:rPr>
                <w:sz w:val="18"/>
                <w:szCs w:val="18"/>
                <w:color w:val="auto"/>
              </w:rPr>
            </w:pPr>
          </w:p>
        </w:tc>
      </w:tr>
      <w:tr>
        <w:trPr>
          <w:trHeight w:val="209"/>
        </w:trPr>
        <w:tc>
          <w:tcPr>
            <w:tcW w:w="5960" w:type="dxa"/>
            <w:vAlign w:val="bottom"/>
            <w:tcBorders>
              <w:top w:val="single" w:sz="8" w:color="F4F4F4"/>
            </w:tcBorders>
            <w:shd w:val="clear" w:color="auto" w:fill="F4F4F4"/>
          </w:tcPr>
          <w:p>
            <w:pPr>
              <w:ind w:left="20"/>
              <w:spacing w:after="0"/>
              <w:rPr>
                <w:sz w:val="20"/>
                <w:szCs w:val="20"/>
                <w:color w:val="auto"/>
              </w:rPr>
            </w:pPr>
            <w:r>
              <w:rPr>
                <w:rFonts w:ascii="Arial" w:cs="Arial" w:eastAsia="Arial" w:hAnsi="Arial"/>
                <w:sz w:val="14"/>
                <w:szCs w:val="14"/>
                <w:b w:val="1"/>
                <w:bCs w:val="1"/>
                <w:color w:val="auto"/>
              </w:rPr>
              <w:t>Non-GAAP organic revenue growth</w:t>
            </w:r>
          </w:p>
        </w:tc>
        <w:tc>
          <w:tcPr>
            <w:tcW w:w="460" w:type="dxa"/>
            <w:vAlign w:val="bottom"/>
            <w:tcBorders>
              <w:top w:val="single" w:sz="8" w:color="4D5259"/>
            </w:tcBorders>
            <w:shd w:val="clear" w:color="auto" w:fill="F4F4F4"/>
          </w:tcPr>
          <w:p>
            <w:pPr>
              <w:spacing w:after="0"/>
              <w:rPr>
                <w:sz w:val="18"/>
                <w:szCs w:val="18"/>
                <w:color w:val="auto"/>
              </w:rPr>
            </w:pPr>
          </w:p>
        </w:tc>
        <w:tc>
          <w:tcPr>
            <w:tcW w:w="900" w:type="dxa"/>
            <w:vAlign w:val="bottom"/>
            <w:tcBorders>
              <w:top w:val="single" w:sz="8" w:color="4D5259"/>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(1.1)%</w:t>
            </w:r>
          </w:p>
        </w:tc>
        <w:tc>
          <w:tcPr>
            <w:tcW w:w="360" w:type="dxa"/>
            <w:vAlign w:val="bottom"/>
            <w:tcBorders>
              <w:top w:val="single" w:sz="8" w:color="4D5259"/>
            </w:tcBorders>
            <w:shd w:val="clear" w:color="auto" w:fill="F4F4F4"/>
          </w:tcPr>
          <w:p>
            <w:pPr>
              <w:spacing w:after="0"/>
              <w:rPr>
                <w:sz w:val="18"/>
                <w:szCs w:val="18"/>
                <w:color w:val="auto"/>
              </w:rPr>
            </w:pPr>
          </w:p>
        </w:tc>
        <w:tc>
          <w:tcPr>
            <w:tcW w:w="880" w:type="dxa"/>
            <w:vAlign w:val="bottom"/>
            <w:tcBorders>
              <w:top w:val="single" w:sz="8" w:color="4D5259"/>
              <w:right w:val="single" w:sz="8" w:color="F4F4F4"/>
            </w:tcBorders>
            <w:shd w:val="clear" w:color="auto" w:fill="F4F4F4"/>
          </w:tcPr>
          <w:p>
            <w:pPr>
              <w:spacing w:after="0"/>
              <w:rPr>
                <w:sz w:val="18"/>
                <w:szCs w:val="18"/>
                <w:color w:val="auto"/>
              </w:rPr>
            </w:pPr>
          </w:p>
        </w:tc>
        <w:tc>
          <w:tcPr>
            <w:tcW w:w="80" w:type="dxa"/>
            <w:vAlign w:val="bottom"/>
            <w:tcBorders>
              <w:top w:val="single" w:sz="8" w:color="F4F4F4"/>
            </w:tcBorders>
            <w:shd w:val="clear" w:color="auto" w:fill="F4F4F4"/>
          </w:tcPr>
          <w:p>
            <w:pPr>
              <w:spacing w:after="0"/>
              <w:rPr>
                <w:sz w:val="18"/>
                <w:szCs w:val="18"/>
                <w:color w:val="auto"/>
              </w:rPr>
            </w:pPr>
          </w:p>
        </w:tc>
        <w:tc>
          <w:tcPr>
            <w:tcW w:w="460" w:type="dxa"/>
            <w:vAlign w:val="bottom"/>
            <w:tcBorders>
              <w:top w:val="single" w:sz="8" w:color="auto"/>
            </w:tcBorders>
            <w:shd w:val="clear" w:color="auto" w:fill="F4F4F4"/>
          </w:tcPr>
          <w:p>
            <w:pPr>
              <w:spacing w:after="0"/>
              <w:rPr>
                <w:sz w:val="18"/>
                <w:szCs w:val="18"/>
                <w:color w:val="auto"/>
              </w:rPr>
            </w:pPr>
          </w:p>
        </w:tc>
        <w:tc>
          <w:tcPr>
            <w:tcW w:w="88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(1.5)%</w:t>
            </w:r>
          </w:p>
        </w:tc>
        <w:tc>
          <w:tcPr>
            <w:tcW w:w="400" w:type="dxa"/>
            <w:vAlign w:val="bottom"/>
            <w:tcBorders>
              <w:top w:val="single" w:sz="8" w:color="auto"/>
            </w:tcBorders>
            <w:shd w:val="clear" w:color="auto" w:fill="F4F4F4"/>
          </w:tcPr>
          <w:p>
            <w:pPr>
              <w:spacing w:after="0"/>
              <w:rPr>
                <w:sz w:val="18"/>
                <w:szCs w:val="18"/>
                <w:color w:val="auto"/>
              </w:rPr>
            </w:pPr>
          </w:p>
        </w:tc>
        <w:tc>
          <w:tcPr>
            <w:tcW w:w="860" w:type="dxa"/>
            <w:vAlign w:val="bottom"/>
            <w:tcBorders>
              <w:top w:val="single" w:sz="8" w:color="auto"/>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5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revenue</w:t>
            </w:r>
            <w:r>
              <w:rPr>
                <w:rFonts w:ascii="Arial" w:cs="Arial" w:eastAsia="Arial" w:hAnsi="Arial"/>
                <w:sz w:val="18"/>
                <w:szCs w:val="18"/>
                <w:color w:val="auto"/>
                <w:vertAlign w:val="superscript"/>
              </w:rPr>
              <w:t>(2)</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229.4</w:t>
            </w:r>
          </w:p>
        </w:tc>
        <w:tc>
          <w:tcPr>
            <w:tcW w:w="36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232.0</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448.6</w:t>
            </w:r>
          </w:p>
        </w:tc>
        <w:tc>
          <w:tcPr>
            <w:tcW w:w="40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455.6</w:t>
            </w:r>
          </w:p>
        </w:tc>
        <w:tc>
          <w:tcPr>
            <w:tcW w:w="20" w:type="dxa"/>
            <w:vAlign w:val="bottom"/>
          </w:tcPr>
          <w:p>
            <w:pPr>
              <w:spacing w:after="0"/>
              <w:rPr>
                <w:sz w:val="18"/>
                <w:szCs w:val="18"/>
                <w:color w:val="auto"/>
              </w:rPr>
            </w:pPr>
          </w:p>
        </w:tc>
      </w:tr>
      <w:tr>
        <w:trPr>
          <w:trHeight w:val="216"/>
        </w:trPr>
        <w:tc>
          <w:tcPr>
            <w:tcW w:w="5960" w:type="dxa"/>
            <w:vAlign w:val="bottom"/>
            <w:tcBorders>
              <w:bottom w:val="single" w:sz="8" w:color="F4F4F4"/>
            </w:tcBorders>
          </w:tcPr>
          <w:p>
            <w:pPr>
              <w:ind w:left="20"/>
              <w:spacing w:after="0"/>
              <w:rPr>
                <w:sz w:val="20"/>
                <w:szCs w:val="20"/>
                <w:color w:val="auto"/>
              </w:rPr>
            </w:pPr>
            <w:r>
              <w:rPr>
                <w:rFonts w:ascii="Arial" w:cs="Arial" w:eastAsia="Arial" w:hAnsi="Arial"/>
                <w:sz w:val="14"/>
                <w:szCs w:val="14"/>
                <w:color w:val="auto"/>
              </w:rPr>
              <w:t>Foreign currency impact on Non-GAAP organic revenue</w:t>
            </w:r>
            <w:r>
              <w:rPr>
                <w:rFonts w:ascii="Arial" w:cs="Arial" w:eastAsia="Arial" w:hAnsi="Arial"/>
                <w:sz w:val="18"/>
                <w:szCs w:val="18"/>
                <w:color w:val="auto"/>
                <w:vertAlign w:val="superscript"/>
              </w:rPr>
              <w:t>(3)</w:t>
            </w:r>
          </w:p>
        </w:tc>
        <w:tc>
          <w:tcPr>
            <w:tcW w:w="460" w:type="dxa"/>
            <w:vAlign w:val="bottom"/>
            <w:tcBorders>
              <w:bottom w:val="single" w:sz="8" w:color="4D5259"/>
            </w:tcBorders>
          </w:tcPr>
          <w:p>
            <w:pPr>
              <w:spacing w:after="0"/>
              <w:rPr>
                <w:sz w:val="18"/>
                <w:szCs w:val="18"/>
                <w:color w:val="auto"/>
              </w:rPr>
            </w:pPr>
          </w:p>
        </w:tc>
        <w:tc>
          <w:tcPr>
            <w:tcW w:w="900" w:type="dxa"/>
            <w:vAlign w:val="bottom"/>
            <w:tcBorders>
              <w:bottom w:val="single" w:sz="8" w:color="4D5259"/>
            </w:tcBorders>
          </w:tcPr>
          <w:p>
            <w:pPr>
              <w:jc w:val="right"/>
              <w:ind w:right="88"/>
              <w:spacing w:after="0"/>
              <w:rPr>
                <w:sz w:val="20"/>
                <w:szCs w:val="20"/>
                <w:color w:val="auto"/>
              </w:rPr>
            </w:pPr>
            <w:r>
              <w:rPr>
                <w:rFonts w:ascii="Arial" w:cs="Arial" w:eastAsia="Arial" w:hAnsi="Arial"/>
                <w:sz w:val="14"/>
                <w:szCs w:val="14"/>
                <w:color w:val="auto"/>
              </w:rPr>
              <w:t>(4.4)</w:t>
            </w:r>
          </w:p>
        </w:tc>
        <w:tc>
          <w:tcPr>
            <w:tcW w:w="360" w:type="dxa"/>
            <w:vAlign w:val="bottom"/>
            <w:tcBorders>
              <w:bottom w:val="single" w:sz="8" w:color="4D5259"/>
            </w:tcBorders>
          </w:tcPr>
          <w:p>
            <w:pPr>
              <w:spacing w:after="0"/>
              <w:rPr>
                <w:sz w:val="18"/>
                <w:szCs w:val="18"/>
                <w:color w:val="auto"/>
              </w:rPr>
            </w:pPr>
          </w:p>
        </w:tc>
        <w:tc>
          <w:tcPr>
            <w:tcW w:w="880" w:type="dxa"/>
            <w:vAlign w:val="bottom"/>
            <w:tcBorders>
              <w:bottom w:val="single" w:sz="8" w:color="4D5259"/>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4F4F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09"/>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revenue on constant currency basis</w:t>
            </w:r>
            <w:r>
              <w:rPr>
                <w:rFonts w:ascii="Arial" w:cs="Arial" w:eastAsia="Arial" w:hAnsi="Arial"/>
                <w:sz w:val="18"/>
                <w:szCs w:val="18"/>
                <w:color w:val="auto"/>
                <w:vertAlign w:val="superscript"/>
              </w:rPr>
              <w:t>(3)</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225.1</w:t>
            </w:r>
          </w:p>
        </w:tc>
        <w:tc>
          <w:tcPr>
            <w:tcW w:w="36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232.0</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442.3</w:t>
            </w:r>
          </w:p>
        </w:tc>
        <w:tc>
          <w:tcPr>
            <w:tcW w:w="40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455.6</w:t>
            </w:r>
          </w:p>
        </w:tc>
        <w:tc>
          <w:tcPr>
            <w:tcW w:w="20" w:type="dxa"/>
            <w:vAlign w:val="bottom"/>
          </w:tcPr>
          <w:p>
            <w:pPr>
              <w:spacing w:after="0"/>
              <w:rPr>
                <w:sz w:val="18"/>
                <w:szCs w:val="18"/>
                <w:color w:val="auto"/>
              </w:rPr>
            </w:pPr>
          </w:p>
        </w:tc>
      </w:tr>
      <w:tr>
        <w:trPr>
          <w:trHeight w:val="204"/>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Non-GAAP organic revenue growth on constant currency basis</w:t>
            </w:r>
          </w:p>
        </w:tc>
        <w:tc>
          <w:tcPr>
            <w:tcW w:w="460" w:type="dxa"/>
            <w:vAlign w:val="bottom"/>
            <w:tcBorders>
              <w:top w:val="single" w:sz="8" w:color="4D5259"/>
            </w:tcBorders>
          </w:tcPr>
          <w:p>
            <w:pPr>
              <w:spacing w:after="0"/>
              <w:rPr>
                <w:sz w:val="17"/>
                <w:szCs w:val="17"/>
                <w:color w:val="auto"/>
              </w:rPr>
            </w:pPr>
          </w:p>
        </w:tc>
        <w:tc>
          <w:tcPr>
            <w:tcW w:w="900" w:type="dxa"/>
            <w:vAlign w:val="bottom"/>
            <w:tcBorders>
              <w:top w:val="single" w:sz="8" w:color="4D5259"/>
            </w:tcBorders>
          </w:tcPr>
          <w:p>
            <w:pPr>
              <w:jc w:val="right"/>
              <w:spacing w:after="0"/>
              <w:rPr>
                <w:sz w:val="20"/>
                <w:szCs w:val="20"/>
                <w:color w:val="auto"/>
              </w:rPr>
            </w:pPr>
            <w:r>
              <w:rPr>
                <w:rFonts w:ascii="Arial" w:cs="Arial" w:eastAsia="Arial" w:hAnsi="Arial"/>
                <w:sz w:val="14"/>
                <w:szCs w:val="14"/>
                <w:b w:val="1"/>
                <w:bCs w:val="1"/>
                <w:color w:val="auto"/>
              </w:rPr>
              <w:t>(3.0)%</w:t>
            </w:r>
          </w:p>
        </w:tc>
        <w:tc>
          <w:tcPr>
            <w:tcW w:w="360" w:type="dxa"/>
            <w:vAlign w:val="bottom"/>
            <w:tcBorders>
              <w:top w:val="single" w:sz="8" w:color="4D5259"/>
            </w:tcBorders>
          </w:tcPr>
          <w:p>
            <w:pPr>
              <w:spacing w:after="0"/>
              <w:rPr>
                <w:sz w:val="17"/>
                <w:szCs w:val="17"/>
                <w:color w:val="auto"/>
              </w:rPr>
            </w:pPr>
          </w:p>
        </w:tc>
        <w:tc>
          <w:tcPr>
            <w:tcW w:w="880" w:type="dxa"/>
            <w:vAlign w:val="bottom"/>
            <w:tcBorders>
              <w:top w:val="single" w:sz="8" w:color="4D5259"/>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4"/>
        </w:trPr>
        <w:tc>
          <w:tcPr>
            <w:tcW w:w="5960" w:type="dxa"/>
            <w:vAlign w:val="bottom"/>
            <w:shd w:val="clear" w:color="auto" w:fill="F4F4F4"/>
          </w:tcPr>
          <w:p>
            <w:pPr>
              <w:spacing w:after="0"/>
              <w:rPr>
                <w:sz w:val="13"/>
                <w:szCs w:val="13"/>
                <w:color w:val="auto"/>
              </w:rPr>
            </w:pPr>
          </w:p>
        </w:tc>
        <w:tc>
          <w:tcPr>
            <w:tcW w:w="46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360" w:type="dxa"/>
            <w:vAlign w:val="bottom"/>
            <w:shd w:val="clear" w:color="auto" w:fill="F4F4F4"/>
          </w:tcPr>
          <w:p>
            <w:pPr>
              <w:spacing w:after="0"/>
              <w:rPr>
                <w:sz w:val="13"/>
                <w:szCs w:val="13"/>
                <w:color w:val="auto"/>
              </w:rPr>
            </w:pPr>
          </w:p>
        </w:tc>
        <w:tc>
          <w:tcPr>
            <w:tcW w:w="880" w:type="dxa"/>
            <w:vAlign w:val="bottom"/>
            <w:tcBorders>
              <w:right w:val="single" w:sz="8" w:color="F4F4F4"/>
            </w:tcBorders>
            <w:shd w:val="clear" w:color="auto" w:fill="F4F4F4"/>
          </w:tcPr>
          <w:p>
            <w:pPr>
              <w:spacing w:after="0"/>
              <w:rPr>
                <w:sz w:val="13"/>
                <w:szCs w:val="13"/>
                <w:color w:val="auto"/>
              </w:rPr>
            </w:pPr>
          </w:p>
        </w:tc>
        <w:tc>
          <w:tcPr>
            <w:tcW w:w="80" w:type="dxa"/>
            <w:vAlign w:val="bottom"/>
            <w:shd w:val="clear" w:color="auto" w:fill="F4F4F4"/>
          </w:tcPr>
          <w:p>
            <w:pPr>
              <w:spacing w:after="0"/>
              <w:rPr>
                <w:sz w:val="13"/>
                <w:szCs w:val="13"/>
                <w:color w:val="auto"/>
              </w:rPr>
            </w:pPr>
          </w:p>
        </w:tc>
        <w:tc>
          <w:tcPr>
            <w:tcW w:w="460" w:type="dxa"/>
            <w:vAlign w:val="bottom"/>
            <w:shd w:val="clear" w:color="auto" w:fill="F4F4F4"/>
          </w:tcPr>
          <w:p>
            <w:pPr>
              <w:spacing w:after="0"/>
              <w:rPr>
                <w:sz w:val="13"/>
                <w:szCs w:val="13"/>
                <w:color w:val="auto"/>
              </w:rPr>
            </w:pPr>
          </w:p>
        </w:tc>
        <w:tc>
          <w:tcPr>
            <w:tcW w:w="880" w:type="dxa"/>
            <w:vAlign w:val="bottom"/>
            <w:shd w:val="clear" w:color="auto" w:fill="F4F4F4"/>
          </w:tcPr>
          <w:p>
            <w:pPr>
              <w:spacing w:after="0"/>
              <w:rPr>
                <w:sz w:val="13"/>
                <w:szCs w:val="13"/>
                <w:color w:val="auto"/>
              </w:rPr>
            </w:pPr>
          </w:p>
        </w:tc>
        <w:tc>
          <w:tcPr>
            <w:tcW w:w="400" w:type="dxa"/>
            <w:vAlign w:val="bottom"/>
            <w:shd w:val="clear" w:color="auto" w:fill="F4F4F4"/>
          </w:tcPr>
          <w:p>
            <w:pPr>
              <w:spacing w:after="0"/>
              <w:rPr>
                <w:sz w:val="13"/>
                <w:szCs w:val="13"/>
                <w:color w:val="auto"/>
              </w:rPr>
            </w:pPr>
          </w:p>
        </w:tc>
        <w:tc>
          <w:tcPr>
            <w:tcW w:w="86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4"/>
                <w:szCs w:val="14"/>
                <w:color w:val="auto"/>
              </w:rPr>
              <w:t>GAAP recurring revenue</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217.0</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216.3</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423.7</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421.1</w:t>
            </w:r>
          </w:p>
        </w:tc>
        <w:tc>
          <w:tcPr>
            <w:tcW w:w="20" w:type="dxa"/>
            <w:vAlign w:val="bottom"/>
          </w:tcPr>
          <w:p>
            <w:pPr>
              <w:spacing w:after="0"/>
              <w:rPr>
                <w:sz w:val="18"/>
                <w:szCs w:val="18"/>
                <w:color w:val="auto"/>
              </w:rPr>
            </w:pPr>
          </w:p>
        </w:tc>
      </w:tr>
      <w:tr>
        <w:trPr>
          <w:trHeight w:val="222"/>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recurring revenue growth</w:t>
            </w:r>
          </w:p>
        </w:tc>
        <w:tc>
          <w:tcPr>
            <w:tcW w:w="46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0.3 %</w:t>
            </w:r>
          </w:p>
        </w:tc>
        <w:tc>
          <w:tcPr>
            <w:tcW w:w="360" w:type="dxa"/>
            <w:vAlign w:val="bottom"/>
            <w:shd w:val="clear" w:color="auto" w:fill="F4F4F4"/>
          </w:tcPr>
          <w:p>
            <w:pPr>
              <w:spacing w:after="0"/>
              <w:rPr>
                <w:sz w:val="19"/>
                <w:szCs w:val="19"/>
                <w:color w:val="auto"/>
              </w:rPr>
            </w:pPr>
          </w:p>
        </w:tc>
        <w:tc>
          <w:tcPr>
            <w:tcW w:w="880" w:type="dxa"/>
            <w:vAlign w:val="bottom"/>
            <w:tcBorders>
              <w:right w:val="single" w:sz="8" w:color="F4F4F4"/>
            </w:tcBorders>
            <w:shd w:val="clear" w:color="auto" w:fill="F4F4F4"/>
          </w:tcPr>
          <w:p>
            <w:pPr>
              <w:spacing w:after="0"/>
              <w:rPr>
                <w:sz w:val="19"/>
                <w:szCs w:val="19"/>
                <w:color w:val="auto"/>
              </w:rPr>
            </w:pPr>
          </w:p>
        </w:tc>
        <w:tc>
          <w:tcPr>
            <w:tcW w:w="8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0.6 %</w:t>
            </w:r>
          </w:p>
        </w:tc>
        <w:tc>
          <w:tcPr>
            <w:tcW w:w="40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96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Non-GAAP acquisition-related revenue</w:t>
            </w:r>
            <w:r>
              <w:rPr>
                <w:rFonts w:ascii="Arial" w:cs="Arial" w:eastAsia="Arial" w:hAnsi="Arial"/>
                <w:sz w:val="18"/>
                <w:szCs w:val="18"/>
                <w:color w:val="auto"/>
                <w:vertAlign w:val="superscript"/>
              </w:rPr>
              <w:t>(1)</w:t>
            </w:r>
          </w:p>
        </w:tc>
        <w:tc>
          <w:tcPr>
            <w:tcW w:w="460" w:type="dxa"/>
            <w:vAlign w:val="bottom"/>
            <w:tcBorders>
              <w:bottom w:val="single" w:sz="8" w:color="4D5259"/>
            </w:tcBorders>
          </w:tcPr>
          <w:p>
            <w:pPr>
              <w:spacing w:after="0"/>
              <w:rPr>
                <w:sz w:val="18"/>
                <w:szCs w:val="18"/>
                <w:color w:val="auto"/>
              </w:rPr>
            </w:pPr>
          </w:p>
        </w:tc>
        <w:tc>
          <w:tcPr>
            <w:tcW w:w="900" w:type="dxa"/>
            <w:vAlign w:val="bottom"/>
            <w:tcBorders>
              <w:bottom w:val="single" w:sz="8" w:color="4D5259"/>
            </w:tcBorders>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4D5259"/>
            </w:tcBorders>
          </w:tcPr>
          <w:p>
            <w:pPr>
              <w:spacing w:after="0"/>
              <w:rPr>
                <w:sz w:val="18"/>
                <w:szCs w:val="18"/>
                <w:color w:val="auto"/>
              </w:rPr>
            </w:pPr>
          </w:p>
        </w:tc>
        <w:tc>
          <w:tcPr>
            <w:tcW w:w="880" w:type="dxa"/>
            <w:vAlign w:val="bottom"/>
            <w:tcBorders>
              <w:bottom w:val="single" w:sz="8" w:color="4D5259"/>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F4F4F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03"/>
        </w:trPr>
        <w:tc>
          <w:tcPr>
            <w:tcW w:w="596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recurring revenue</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217.0</w:t>
            </w:r>
          </w:p>
        </w:tc>
        <w:tc>
          <w:tcPr>
            <w:tcW w:w="36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4F4F4"/>
            </w:tcBorders>
            <w:shd w:val="clear" w:color="auto" w:fill="F4F4F4"/>
          </w:tcPr>
          <w:p>
            <w:pPr>
              <w:jc w:val="right"/>
              <w:ind w:right="8"/>
              <w:spacing w:after="0"/>
              <w:rPr>
                <w:sz w:val="20"/>
                <w:szCs w:val="20"/>
                <w:color w:val="auto"/>
              </w:rPr>
            </w:pPr>
            <w:r>
              <w:rPr>
                <w:rFonts w:ascii="Arial" w:cs="Arial" w:eastAsia="Arial" w:hAnsi="Arial"/>
                <w:sz w:val="14"/>
                <w:szCs w:val="14"/>
                <w:color w:val="auto"/>
              </w:rPr>
              <w:t>216.3</w:t>
            </w:r>
          </w:p>
        </w:tc>
        <w:tc>
          <w:tcPr>
            <w:tcW w:w="54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423.7</w:t>
            </w:r>
          </w:p>
        </w:tc>
        <w:tc>
          <w:tcPr>
            <w:tcW w:w="400" w:type="dxa"/>
            <w:vAlign w:val="bottom"/>
            <w:shd w:val="clear" w:color="auto" w:fill="F4F4F4"/>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421.1</w:t>
            </w:r>
          </w:p>
        </w:tc>
        <w:tc>
          <w:tcPr>
            <w:tcW w:w="20" w:type="dxa"/>
            <w:vAlign w:val="bottom"/>
          </w:tcPr>
          <w:p>
            <w:pPr>
              <w:spacing w:after="0"/>
              <w:rPr>
                <w:sz w:val="17"/>
                <w:szCs w:val="17"/>
                <w:color w:val="auto"/>
              </w:rPr>
            </w:pPr>
          </w:p>
        </w:tc>
      </w:tr>
      <w:tr>
        <w:trPr>
          <w:trHeight w:val="210"/>
        </w:trPr>
        <w:tc>
          <w:tcPr>
            <w:tcW w:w="596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organic recurring revenue growth</w:t>
            </w:r>
          </w:p>
        </w:tc>
        <w:tc>
          <w:tcPr>
            <w:tcW w:w="460" w:type="dxa"/>
            <w:vAlign w:val="bottom"/>
            <w:tcBorders>
              <w:top w:val="single" w:sz="8" w:color="4D5259"/>
              <w:bottom w:val="single" w:sz="8" w:color="71BF43"/>
            </w:tcBorders>
          </w:tcPr>
          <w:p>
            <w:pPr>
              <w:spacing w:after="0"/>
              <w:rPr>
                <w:sz w:val="18"/>
                <w:szCs w:val="18"/>
                <w:color w:val="auto"/>
              </w:rPr>
            </w:pPr>
          </w:p>
        </w:tc>
        <w:tc>
          <w:tcPr>
            <w:tcW w:w="900" w:type="dxa"/>
            <w:vAlign w:val="bottom"/>
            <w:tcBorders>
              <w:top w:val="single" w:sz="8" w:color="4D5259"/>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0.3 %</w:t>
            </w:r>
          </w:p>
        </w:tc>
        <w:tc>
          <w:tcPr>
            <w:tcW w:w="360" w:type="dxa"/>
            <w:vAlign w:val="bottom"/>
            <w:tcBorders>
              <w:top w:val="single" w:sz="8" w:color="4D5259"/>
              <w:bottom w:val="single" w:sz="8" w:color="71BF43"/>
            </w:tcBorders>
          </w:tcPr>
          <w:p>
            <w:pPr>
              <w:spacing w:after="0"/>
              <w:rPr>
                <w:sz w:val="18"/>
                <w:szCs w:val="18"/>
                <w:color w:val="auto"/>
              </w:rPr>
            </w:pPr>
          </w:p>
        </w:tc>
        <w:tc>
          <w:tcPr>
            <w:tcW w:w="880" w:type="dxa"/>
            <w:vAlign w:val="bottom"/>
            <w:tcBorders>
              <w:top w:val="single" w:sz="8" w:color="4D5259"/>
              <w:bottom w:val="single" w:sz="8" w:color="71BF43"/>
            </w:tcBorders>
          </w:tcPr>
          <w:p>
            <w:pPr>
              <w:spacing w:after="0"/>
              <w:rPr>
                <w:sz w:val="18"/>
                <w:szCs w:val="18"/>
                <w:color w:val="auto"/>
              </w:rPr>
            </w:pPr>
          </w:p>
        </w:tc>
        <w:tc>
          <w:tcPr>
            <w:tcW w:w="80" w:type="dxa"/>
            <w:vAlign w:val="bottom"/>
            <w:tcBorders>
              <w:bottom w:val="single" w:sz="8" w:color="71BF43"/>
            </w:tcBorders>
          </w:tcPr>
          <w:p>
            <w:pPr>
              <w:spacing w:after="0"/>
              <w:rPr>
                <w:sz w:val="18"/>
                <w:szCs w:val="18"/>
                <w:color w:val="auto"/>
              </w:rPr>
            </w:pPr>
          </w:p>
        </w:tc>
        <w:tc>
          <w:tcPr>
            <w:tcW w:w="460" w:type="dxa"/>
            <w:vAlign w:val="bottom"/>
            <w:tcBorders>
              <w:top w:val="single" w:sz="8" w:color="auto"/>
              <w:bottom w:val="single" w:sz="8" w:color="71BF43"/>
            </w:tcBorders>
          </w:tcPr>
          <w:p>
            <w:pPr>
              <w:spacing w:after="0"/>
              <w:rPr>
                <w:sz w:val="18"/>
                <w:szCs w:val="18"/>
                <w:color w:val="auto"/>
              </w:rPr>
            </w:pPr>
          </w:p>
        </w:tc>
        <w:tc>
          <w:tcPr>
            <w:tcW w:w="880" w:type="dxa"/>
            <w:vAlign w:val="bottom"/>
            <w:tcBorders>
              <w:top w:val="single" w:sz="8" w:color="auto"/>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0.6 %</w:t>
            </w:r>
          </w:p>
        </w:tc>
        <w:tc>
          <w:tcPr>
            <w:tcW w:w="400" w:type="dxa"/>
            <w:vAlign w:val="bottom"/>
            <w:tcBorders>
              <w:top w:val="single" w:sz="8" w:color="auto"/>
              <w:bottom w:val="single" w:sz="8" w:color="71BF43"/>
            </w:tcBorders>
          </w:tcPr>
          <w:p>
            <w:pPr>
              <w:spacing w:after="0"/>
              <w:rPr>
                <w:sz w:val="18"/>
                <w:szCs w:val="18"/>
                <w:color w:val="auto"/>
              </w:rPr>
            </w:pPr>
          </w:p>
        </w:tc>
        <w:tc>
          <w:tcPr>
            <w:tcW w:w="860" w:type="dxa"/>
            <w:vAlign w:val="bottom"/>
            <w:tcBorders>
              <w:top w:val="single" w:sz="8" w:color="auto"/>
              <w:bottom w:val="single" w:sz="8" w:color="71BF43"/>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-2407920</wp:posOffset>
            </wp:positionV>
            <wp:extent cx="33604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9" w:lineRule="exact"/>
        <w:rPr>
          <w:sz w:val="20"/>
          <w:szCs w:val="20"/>
          <w:color w:val="auto"/>
        </w:rPr>
      </w:pPr>
    </w:p>
    <w:p>
      <w:pPr>
        <w:jc w:val="both"/>
        <w:ind w:left="340" w:right="20" w:hanging="332"/>
        <w:spacing w:after="0" w:line="241" w:lineRule="auto"/>
        <w:tabs>
          <w:tab w:leader="none" w:pos="354"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Non-GAAP acquisition-related revenue excludes incremental acquisition-related revenue calculated in accordance with GAAP that is attributable to companies acquired in the current fiscal year. For companies, if any, acquired in the immediately preceding fiscal year, non-GAAP acquisition-related revenue reflects presentation of full-year incremental non-GAAP revenue derived from such companies, as if they were combined throughout the prior period, and it includes the non-GAAP revenue from the acquisition-related deferred revenue write-down attributable to those companies.</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54"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Non-GAAP organic revenue for the prior year periods presented herein will not agree to non-GAAP organic revenue presented in the respective prior period quarterly financial information solely due to the manner in which non-GAAP organic revenue growth is calculated.</w:t>
      </w:r>
    </w:p>
    <w:p>
      <w:pPr>
        <w:jc w:val="both"/>
        <w:ind w:left="340" w:right="20" w:hanging="332"/>
        <w:spacing w:after="0" w:line="249" w:lineRule="auto"/>
        <w:tabs>
          <w:tab w:leader="none" w:pos="354" w:val="left"/>
        </w:tabs>
        <w:numPr>
          <w:ilvl w:val="0"/>
          <w:numId w:val="33"/>
        </w:numPr>
        <w:rPr>
          <w:rFonts w:ascii="Arial" w:cs="Arial" w:eastAsia="Arial" w:hAnsi="Arial"/>
          <w:sz w:val="14"/>
          <w:szCs w:val="14"/>
          <w:color w:val="auto"/>
        </w:rPr>
      </w:pPr>
      <w:r>
        <w:rPr>
          <w:rFonts w:ascii="Arial" w:cs="Arial" w:eastAsia="Arial" w:hAnsi="Arial"/>
          <w:sz w:val="14"/>
          <w:szCs w:val="14"/>
          <w:color w:val="auto"/>
        </w:rPr>
        <w:t>To determine non-GAAP organic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36</w:t>
      </w:r>
      <w:r>
        <w:rPr>
          <w:sz w:val="20"/>
          <w:szCs w:val="20"/>
          <w:color w:val="auto"/>
        </w:rPr>
        <w:tab/>
      </w:r>
      <w:r>
        <w:rPr>
          <w:sz w:val="1"/>
          <w:szCs w:val="1"/>
          <w:color w:val="auto"/>
        </w:rPr>
        <w:drawing>
          <wp:inline distT="0" distB="0" distL="0" distR="0">
            <wp:extent cx="651510" cy="1714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18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Rule of 40 is defined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acquisition-related deferred revenue write-down; stock-based compensation; acquisition-related integration costs; acquisition-related expenses; employee severance; restructuring and other real estate activities; and Security Incident-related costs, net of insurance.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82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1800" w:type="dxa"/>
            <w:vAlign w:val="bottom"/>
            <w:tcBorders>
              <w:right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18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414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82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680" w:type="dxa"/>
            <w:vAlign w:val="bottom"/>
            <w:shd w:val="clear" w:color="auto" w:fill="ACACAC"/>
          </w:tcPr>
          <w:p>
            <w:pPr>
              <w:spacing w:after="0"/>
              <w:rPr>
                <w:sz w:val="16"/>
                <w:szCs w:val="16"/>
                <w:color w:val="auto"/>
              </w:rPr>
            </w:pPr>
          </w:p>
        </w:tc>
        <w:tc>
          <w:tcPr>
            <w:tcW w:w="112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80" w:type="dxa"/>
            <w:vAlign w:val="bottom"/>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6"/>
        </w:trPr>
        <w:tc>
          <w:tcPr>
            <w:tcW w:w="4140" w:type="dxa"/>
            <w:vAlign w:val="bottom"/>
            <w:tcBorders>
              <w:bottom w:val="single" w:sz="8" w:color="F4F4F4"/>
            </w:tcBorders>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tcBorders>
              <w:bottom w:val="single" w:sz="8" w:color="F4F4F4"/>
            </w:tcBorders>
            <w:shd w:val="clear" w:color="auto" w:fill="ACACAC"/>
          </w:tcPr>
          <w:p>
            <w:pPr>
              <w:spacing w:after="0"/>
              <w:rPr>
                <w:sz w:val="20"/>
                <w:szCs w:val="20"/>
                <w:color w:val="auto"/>
              </w:rPr>
            </w:pPr>
          </w:p>
        </w:tc>
        <w:tc>
          <w:tcPr>
            <w:tcW w:w="820" w:type="dxa"/>
            <w:vAlign w:val="bottom"/>
            <w:tcBorders>
              <w:bottom w:val="single" w:sz="8" w:color="F4F4F4"/>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20" w:type="dxa"/>
            <w:vAlign w:val="bottom"/>
            <w:tcBorders>
              <w:bottom w:val="single" w:sz="8" w:color="F4F4F4"/>
            </w:tcBorders>
            <w:shd w:val="clear" w:color="auto" w:fill="ACACAC"/>
          </w:tcPr>
          <w:p>
            <w:pPr>
              <w:spacing w:after="0"/>
              <w:rPr>
                <w:sz w:val="20"/>
                <w:szCs w:val="20"/>
                <w:color w:val="auto"/>
              </w:rPr>
            </w:pPr>
          </w:p>
        </w:tc>
        <w:tc>
          <w:tcPr>
            <w:tcW w:w="680" w:type="dxa"/>
            <w:vAlign w:val="bottom"/>
            <w:tcBorders>
              <w:bottom w:val="single" w:sz="8" w:color="F4F4F4"/>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120" w:type="dxa"/>
            <w:vAlign w:val="bottom"/>
            <w:tcBorders>
              <w:bottom w:val="single" w:sz="8" w:color="F4F4F4"/>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80" w:type="dxa"/>
            <w:vAlign w:val="bottom"/>
            <w:tcBorders>
              <w:bottom w:val="single" w:sz="8" w:color="F4F4F4"/>
            </w:tcBorders>
          </w:tcPr>
          <w:p>
            <w:pPr>
              <w:spacing w:after="0"/>
              <w:rPr>
                <w:sz w:val="20"/>
                <w:szCs w:val="20"/>
                <w:color w:val="auto"/>
              </w:rPr>
            </w:pPr>
          </w:p>
        </w:tc>
        <w:tc>
          <w:tcPr>
            <w:tcW w:w="420" w:type="dxa"/>
            <w:vAlign w:val="bottom"/>
            <w:tcBorders>
              <w:bottom w:val="single" w:sz="8" w:color="ACACAC"/>
            </w:tcBorders>
            <w:shd w:val="clear" w:color="auto" w:fill="ACACAC"/>
          </w:tcPr>
          <w:p>
            <w:pPr>
              <w:spacing w:after="0"/>
              <w:rPr>
                <w:sz w:val="20"/>
                <w:szCs w:val="20"/>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20"/>
                <w:szCs w:val="20"/>
                <w:color w:val="auto"/>
              </w:rPr>
            </w:pPr>
          </w:p>
        </w:tc>
        <w:tc>
          <w:tcPr>
            <w:tcW w:w="7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16"/>
        </w:trPr>
        <w:tc>
          <w:tcPr>
            <w:tcW w:w="414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net income</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6.7</w:t>
            </w:r>
          </w:p>
        </w:tc>
        <w:tc>
          <w:tcPr>
            <w:tcW w:w="42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11.8</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(43.1)%</w:t>
            </w:r>
          </w:p>
        </w:tc>
        <w:tc>
          <w:tcPr>
            <w:tcW w:w="500" w:type="dxa"/>
            <w:vAlign w:val="bottom"/>
            <w:gridSpan w:val="2"/>
            <w:shd w:val="clear" w:color="auto" w:fill="F4F4F4"/>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6.6</w:t>
            </w:r>
          </w:p>
        </w:tc>
        <w:tc>
          <w:tcPr>
            <w:tcW w:w="400" w:type="dxa"/>
            <w:vAlign w:val="bottom"/>
            <w:shd w:val="clear" w:color="auto" w:fill="F4F4F4"/>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16.5</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(60.1)%</w:t>
            </w:r>
          </w:p>
        </w:tc>
        <w:tc>
          <w:tcPr>
            <w:tcW w:w="20" w:type="dxa"/>
            <w:vAlign w:val="bottom"/>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Interest, net</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5.0</w:t>
            </w:r>
          </w:p>
        </w:tc>
        <w:tc>
          <w:tcPr>
            <w:tcW w:w="420" w:type="dxa"/>
            <w:vAlign w:val="bottom"/>
            <w:shd w:val="clear" w:color="auto" w:fill="F4F4F4"/>
          </w:tcPr>
          <w:p>
            <w:pPr>
              <w:spacing w:after="0"/>
              <w:rPr>
                <w:sz w:val="19"/>
                <w:szCs w:val="19"/>
                <w:color w:val="auto"/>
              </w:rPr>
            </w:pP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3.8</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31.6 %</w:t>
            </w:r>
          </w:p>
        </w:tc>
        <w:tc>
          <w:tcPr>
            <w:tcW w:w="8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9.9</w:t>
            </w:r>
          </w:p>
        </w:tc>
        <w:tc>
          <w:tcPr>
            <w:tcW w:w="400" w:type="dxa"/>
            <w:vAlign w:val="bottom"/>
            <w:shd w:val="clear" w:color="auto" w:fill="F4F4F4"/>
          </w:tcPr>
          <w:p>
            <w:pPr>
              <w:spacing w:after="0"/>
              <w:rPr>
                <w:sz w:val="19"/>
                <w:szCs w:val="19"/>
                <w:color w:val="auto"/>
              </w:rPr>
            </w:pP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7.4</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33.9 %</w:t>
            </w:r>
          </w:p>
        </w:tc>
        <w:tc>
          <w:tcPr>
            <w:tcW w:w="20" w:type="dxa"/>
            <w:vAlign w:val="bottom"/>
          </w:tcPr>
          <w:p>
            <w:pPr>
              <w:spacing w:after="0"/>
              <w:rPr>
                <w:sz w:val="19"/>
                <w:szCs w:val="19"/>
                <w:color w:val="auto"/>
              </w:rPr>
            </w:pPr>
          </w:p>
        </w:tc>
      </w:tr>
      <w:tr>
        <w:trPr>
          <w:trHeight w:val="210"/>
        </w:trPr>
        <w:tc>
          <w:tcPr>
            <w:tcW w:w="4140" w:type="dxa"/>
            <w:vAlign w:val="bottom"/>
          </w:tcPr>
          <w:p>
            <w:pPr>
              <w:ind w:left="140"/>
              <w:spacing w:after="0"/>
              <w:rPr>
                <w:sz w:val="20"/>
                <w:szCs w:val="20"/>
                <w:color w:val="auto"/>
              </w:rPr>
            </w:pPr>
            <w:r>
              <w:rPr>
                <w:rFonts w:ascii="Arial" w:cs="Arial" w:eastAsia="Arial" w:hAnsi="Arial"/>
                <w:sz w:val="14"/>
                <w:szCs w:val="14"/>
                <w:color w:val="auto"/>
              </w:rPr>
              <w:t>Add: GAAP income tax provision</w:t>
            </w:r>
          </w:p>
        </w:tc>
        <w:tc>
          <w:tcPr>
            <w:tcW w:w="44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c>
          <w:tcPr>
            <w:tcW w:w="1120" w:type="dxa"/>
            <w:vAlign w:val="bottom"/>
          </w:tcPr>
          <w:p>
            <w:pPr>
              <w:jc w:val="right"/>
              <w:spacing w:after="0"/>
              <w:rPr>
                <w:sz w:val="20"/>
                <w:szCs w:val="20"/>
                <w:color w:val="auto"/>
              </w:rPr>
            </w:pPr>
            <w:r>
              <w:rPr>
                <w:rFonts w:ascii="Arial" w:cs="Arial" w:eastAsia="Arial" w:hAnsi="Arial"/>
                <w:sz w:val="14"/>
                <w:szCs w:val="14"/>
                <w:color w:val="auto"/>
              </w:rPr>
              <w:t>(61.2)%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4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100" w:type="dxa"/>
            <w:vAlign w:val="bottom"/>
          </w:tcPr>
          <w:p>
            <w:pPr>
              <w:jc w:val="right"/>
              <w:spacing w:after="0"/>
              <w:rPr>
                <w:sz w:val="20"/>
                <w:szCs w:val="20"/>
                <w:color w:val="auto"/>
              </w:rPr>
            </w:pPr>
            <w:r>
              <w:rPr>
                <w:rFonts w:ascii="Arial" w:cs="Arial" w:eastAsia="Arial" w:hAnsi="Arial"/>
                <w:sz w:val="14"/>
                <w:szCs w:val="14"/>
                <w:color w:val="auto"/>
              </w:rPr>
              <w:t>(53.2)%</w:t>
            </w: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Depreciation</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3.1</w:t>
            </w:r>
          </w:p>
        </w:tc>
        <w:tc>
          <w:tcPr>
            <w:tcW w:w="420" w:type="dxa"/>
            <w:vAlign w:val="bottom"/>
            <w:shd w:val="clear" w:color="auto" w:fill="F4F4F4"/>
          </w:tcPr>
          <w:p>
            <w:pPr>
              <w:spacing w:after="0"/>
              <w:rPr>
                <w:sz w:val="19"/>
                <w:szCs w:val="19"/>
                <w:color w:val="auto"/>
              </w:rPr>
            </w:pP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3.6</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6.4</w:t>
            </w:r>
          </w:p>
        </w:tc>
        <w:tc>
          <w:tcPr>
            <w:tcW w:w="400" w:type="dxa"/>
            <w:vAlign w:val="bottom"/>
            <w:shd w:val="clear" w:color="auto" w:fill="F4F4F4"/>
          </w:tcPr>
          <w:p>
            <w:pPr>
              <w:spacing w:after="0"/>
              <w:rPr>
                <w:sz w:val="19"/>
                <w:szCs w:val="19"/>
                <w:color w:val="auto"/>
              </w:rPr>
            </w:pP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7.1</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(11.0)%</w:t>
            </w:r>
          </w:p>
        </w:tc>
        <w:tc>
          <w:tcPr>
            <w:tcW w:w="20" w:type="dxa"/>
            <w:vAlign w:val="bottom"/>
          </w:tcPr>
          <w:p>
            <w:pPr>
              <w:spacing w:after="0"/>
              <w:rPr>
                <w:sz w:val="19"/>
                <w:szCs w:val="19"/>
                <w:color w:val="auto"/>
              </w:rPr>
            </w:pPr>
          </w:p>
        </w:tc>
      </w:tr>
      <w:tr>
        <w:trPr>
          <w:trHeight w:val="210"/>
        </w:trPr>
        <w:tc>
          <w:tcPr>
            <w:tcW w:w="4140" w:type="dxa"/>
            <w:vAlign w:val="bottom"/>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44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9.4</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w:t>
            </w:r>
          </w:p>
        </w:tc>
        <w:tc>
          <w:tcPr>
            <w:tcW w:w="112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19.1</w:t>
            </w:r>
          </w:p>
        </w:tc>
        <w:tc>
          <w:tcPr>
            <w:tcW w:w="4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1100" w:type="dxa"/>
            <w:vAlign w:val="bottom"/>
          </w:tcPr>
          <w:p>
            <w:pPr>
              <w:jc w:val="right"/>
              <w:spacing w:after="0"/>
              <w:rPr>
                <w:sz w:val="20"/>
                <w:szCs w:val="20"/>
                <w:color w:val="auto"/>
              </w:rPr>
            </w:pPr>
            <w:r>
              <w:rPr>
                <w:rFonts w:ascii="Arial" w:cs="Arial" w:eastAsia="Arial" w:hAnsi="Arial"/>
                <w:sz w:val="14"/>
                <w:szCs w:val="14"/>
                <w:color w:val="auto"/>
              </w:rPr>
              <w:t>(13.4)%</w:t>
            </w: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software development costs</w:t>
            </w:r>
            <w:r>
              <w:rPr>
                <w:rFonts w:ascii="Arial" w:cs="Arial" w:eastAsia="Arial" w:hAnsi="Arial"/>
                <w:sz w:val="18"/>
                <w:szCs w:val="18"/>
                <w:color w:val="auto"/>
                <w:vertAlign w:val="superscript"/>
              </w:rPr>
              <w:t>(1)</w:t>
            </w:r>
          </w:p>
        </w:tc>
        <w:tc>
          <w:tcPr>
            <w:tcW w:w="44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8.1</w:t>
            </w:r>
          </w:p>
        </w:tc>
        <w:tc>
          <w:tcPr>
            <w:tcW w:w="420" w:type="dxa"/>
            <w:vAlign w:val="bottom"/>
            <w:tcBorders>
              <w:bottom w:val="single" w:sz="8" w:color="auto"/>
            </w:tcBorders>
            <w:shd w:val="clear" w:color="auto" w:fill="F4F4F4"/>
          </w:tcPr>
          <w:p>
            <w:pPr>
              <w:spacing w:after="0"/>
              <w:rPr>
                <w:sz w:val="19"/>
                <w:szCs w:val="19"/>
                <w:color w:val="auto"/>
              </w:rPr>
            </w:pPr>
          </w:p>
        </w:tc>
        <w:tc>
          <w:tcPr>
            <w:tcW w:w="6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10.4</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(21.7)%</w:t>
            </w:r>
          </w:p>
        </w:tc>
        <w:tc>
          <w:tcPr>
            <w:tcW w:w="80" w:type="dxa"/>
            <w:vAlign w:val="bottom"/>
            <w:shd w:val="clear" w:color="auto" w:fill="F4F4F4"/>
          </w:tcPr>
          <w:p>
            <w:pPr>
              <w:spacing w:after="0"/>
              <w:rPr>
                <w:sz w:val="19"/>
                <w:szCs w:val="19"/>
                <w:color w:val="auto"/>
              </w:rPr>
            </w:pPr>
          </w:p>
        </w:tc>
        <w:tc>
          <w:tcPr>
            <w:tcW w:w="42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16.1</w:t>
            </w:r>
          </w:p>
        </w:tc>
        <w:tc>
          <w:tcPr>
            <w:tcW w:w="400" w:type="dxa"/>
            <w:vAlign w:val="bottom"/>
            <w:tcBorders>
              <w:bottom w:val="single" w:sz="8" w:color="auto"/>
            </w:tcBorders>
            <w:shd w:val="clear" w:color="auto" w:fill="F4F4F4"/>
          </w:tcPr>
          <w:p>
            <w:pPr>
              <w:spacing w:after="0"/>
              <w:rPr>
                <w:sz w:val="19"/>
                <w:szCs w:val="19"/>
                <w:color w:val="auto"/>
              </w:rPr>
            </w:pPr>
          </w:p>
        </w:tc>
        <w:tc>
          <w:tcPr>
            <w:tcW w:w="760" w:type="dxa"/>
            <w:vAlign w:val="bottom"/>
            <w:tcBorders>
              <w:bottom w:val="single" w:sz="8" w:color="auto"/>
            </w:tcBorders>
            <w:shd w:val="clear" w:color="auto" w:fill="F4F4F4"/>
          </w:tcPr>
          <w:p>
            <w:pPr>
              <w:jc w:val="right"/>
              <w:ind w:right="8"/>
              <w:spacing w:after="0"/>
              <w:rPr>
                <w:sz w:val="20"/>
                <w:szCs w:val="20"/>
                <w:color w:val="auto"/>
              </w:rPr>
            </w:pPr>
            <w:r>
              <w:rPr>
                <w:rFonts w:ascii="Arial" w:cs="Arial" w:eastAsia="Arial" w:hAnsi="Arial"/>
                <w:sz w:val="14"/>
                <w:szCs w:val="14"/>
                <w:color w:val="auto"/>
              </w:rPr>
              <w:t>17.0</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9"/>
                <w:szCs w:val="19"/>
                <w:color w:val="auto"/>
              </w:rPr>
            </w:pPr>
          </w:p>
        </w:tc>
      </w:tr>
      <w:tr>
        <w:trPr>
          <w:trHeight w:val="209"/>
        </w:trPr>
        <w:tc>
          <w:tcPr>
            <w:tcW w:w="4140" w:type="dxa"/>
            <w:vAlign w:val="bottom"/>
            <w:tcBorders>
              <w:bottom w:val="single" w:sz="8" w:color="F4F4F4"/>
            </w:tcBorders>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(2)</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27.4</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1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(16.0)%</w:t>
            </w:r>
          </w:p>
        </w:tc>
        <w:tc>
          <w:tcPr>
            <w:tcW w:w="80" w:type="dxa"/>
            <w:vAlign w:val="bottom"/>
            <w:tcBorders>
              <w:bottom w:val="single" w:sz="8" w:color="F4F4F4"/>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53.9</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58.9</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18"/>
                <w:szCs w:val="18"/>
                <w:color w:val="auto"/>
              </w:rPr>
            </w:pPr>
          </w:p>
        </w:tc>
      </w:tr>
      <w:tr>
        <w:trPr>
          <w:trHeight w:val="210"/>
        </w:trPr>
        <w:tc>
          <w:tcPr>
            <w:tcW w:w="414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EBITDA</w:t>
            </w:r>
            <w:r>
              <w:rPr>
                <w:rFonts w:ascii="Arial" w:cs="Arial" w:eastAsia="Arial" w:hAnsi="Arial"/>
                <w:sz w:val="18"/>
                <w:szCs w:val="18"/>
                <w:color w:val="auto"/>
                <w:vertAlign w:val="superscript"/>
              </w:rPr>
              <w:t>(2)</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34.2</w:t>
            </w:r>
          </w:p>
        </w:tc>
        <w:tc>
          <w:tcPr>
            <w:tcW w:w="42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44.5</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(23.2)%</w:t>
            </w:r>
          </w:p>
        </w:tc>
        <w:tc>
          <w:tcPr>
            <w:tcW w:w="500" w:type="dxa"/>
            <w:vAlign w:val="bottom"/>
            <w:gridSpan w:val="2"/>
            <w:shd w:val="clear" w:color="auto" w:fill="F4F4F4"/>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60.5</w:t>
            </w:r>
          </w:p>
        </w:tc>
        <w:tc>
          <w:tcPr>
            <w:tcW w:w="400" w:type="dxa"/>
            <w:vAlign w:val="bottom"/>
            <w:shd w:val="clear" w:color="auto" w:fill="F4F4F4"/>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75.3</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(19.7)%</w:t>
            </w:r>
          </w:p>
        </w:tc>
        <w:tc>
          <w:tcPr>
            <w:tcW w:w="20" w:type="dxa"/>
            <w:vAlign w:val="bottom"/>
          </w:tcPr>
          <w:p>
            <w:pPr>
              <w:spacing w:after="0"/>
              <w:rPr>
                <w:sz w:val="18"/>
                <w:szCs w:val="18"/>
                <w:color w:val="auto"/>
              </w:rPr>
            </w:pPr>
          </w:p>
        </w:tc>
      </w:tr>
      <w:tr>
        <w:trPr>
          <w:trHeight w:val="203"/>
        </w:trPr>
        <w:tc>
          <w:tcPr>
            <w:tcW w:w="4140" w:type="dxa"/>
            <w:vAlign w:val="bottom"/>
          </w:tcPr>
          <w:p>
            <w:pPr>
              <w:ind w:left="140"/>
              <w:spacing w:after="0"/>
              <w:rPr>
                <w:sz w:val="20"/>
                <w:szCs w:val="20"/>
                <w:color w:val="auto"/>
              </w:rPr>
            </w:pPr>
            <w:r>
              <w:rPr>
                <w:rFonts w:ascii="Arial" w:cs="Arial" w:eastAsia="Arial" w:hAnsi="Arial"/>
                <w:sz w:val="14"/>
                <w:szCs w:val="14"/>
                <w:color w:val="auto"/>
              </w:rPr>
              <w:t>Non-GAAP EBITDA margin</w:t>
            </w: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14.9 %</w:t>
            </w:r>
          </w:p>
        </w:tc>
        <w:tc>
          <w:tcPr>
            <w:tcW w:w="4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13.5 %</w:t>
            </w: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4140" w:type="dxa"/>
            <w:vAlign w:val="bottom"/>
            <w:shd w:val="clear" w:color="auto" w:fill="F4F4F4"/>
          </w:tcPr>
          <w:p>
            <w:pPr>
              <w:spacing w:after="0"/>
              <w:rPr>
                <w:sz w:val="13"/>
                <w:szCs w:val="13"/>
                <w:color w:val="auto"/>
              </w:rPr>
            </w:pPr>
          </w:p>
        </w:tc>
        <w:tc>
          <w:tcPr>
            <w:tcW w:w="440" w:type="dxa"/>
            <w:vAlign w:val="bottom"/>
            <w:shd w:val="clear" w:color="auto" w:fill="F4F4F4"/>
          </w:tcPr>
          <w:p>
            <w:pPr>
              <w:spacing w:after="0"/>
              <w:rPr>
                <w:sz w:val="13"/>
                <w:szCs w:val="13"/>
                <w:color w:val="auto"/>
              </w:rPr>
            </w:pPr>
          </w:p>
        </w:tc>
        <w:tc>
          <w:tcPr>
            <w:tcW w:w="820" w:type="dxa"/>
            <w:vAlign w:val="bottom"/>
            <w:shd w:val="clear" w:color="auto" w:fill="F4F4F4"/>
          </w:tcPr>
          <w:p>
            <w:pPr>
              <w:spacing w:after="0"/>
              <w:rPr>
                <w:sz w:val="13"/>
                <w:szCs w:val="13"/>
                <w:color w:val="auto"/>
              </w:rPr>
            </w:pPr>
          </w:p>
        </w:tc>
        <w:tc>
          <w:tcPr>
            <w:tcW w:w="420" w:type="dxa"/>
            <w:vAlign w:val="bottom"/>
            <w:shd w:val="clear" w:color="auto" w:fill="F4F4F4"/>
          </w:tcPr>
          <w:p>
            <w:pPr>
              <w:spacing w:after="0"/>
              <w:rPr>
                <w:sz w:val="13"/>
                <w:szCs w:val="13"/>
                <w:color w:val="auto"/>
              </w:rPr>
            </w:pPr>
          </w:p>
        </w:tc>
        <w:tc>
          <w:tcPr>
            <w:tcW w:w="680" w:type="dxa"/>
            <w:vAlign w:val="bottom"/>
            <w:shd w:val="clear" w:color="auto" w:fill="F4F4F4"/>
          </w:tcPr>
          <w:p>
            <w:pPr>
              <w:spacing w:after="0"/>
              <w:rPr>
                <w:sz w:val="13"/>
                <w:szCs w:val="13"/>
                <w:color w:val="auto"/>
              </w:rPr>
            </w:pPr>
          </w:p>
        </w:tc>
        <w:tc>
          <w:tcPr>
            <w:tcW w:w="1120" w:type="dxa"/>
            <w:vAlign w:val="bottom"/>
            <w:tcBorders>
              <w:right w:val="single" w:sz="8" w:color="F4F4F4"/>
            </w:tcBorders>
            <w:shd w:val="clear" w:color="auto" w:fill="F4F4F4"/>
          </w:tcPr>
          <w:p>
            <w:pPr>
              <w:spacing w:after="0"/>
              <w:rPr>
                <w:sz w:val="13"/>
                <w:szCs w:val="13"/>
                <w:color w:val="auto"/>
              </w:rPr>
            </w:pPr>
          </w:p>
        </w:tc>
        <w:tc>
          <w:tcPr>
            <w:tcW w:w="80" w:type="dxa"/>
            <w:vAlign w:val="bottom"/>
            <w:shd w:val="clear" w:color="auto" w:fill="F4F4F4"/>
          </w:tcPr>
          <w:p>
            <w:pPr>
              <w:spacing w:after="0"/>
              <w:rPr>
                <w:sz w:val="13"/>
                <w:szCs w:val="13"/>
                <w:color w:val="auto"/>
              </w:rPr>
            </w:pPr>
          </w:p>
        </w:tc>
        <w:tc>
          <w:tcPr>
            <w:tcW w:w="420" w:type="dxa"/>
            <w:vAlign w:val="bottom"/>
            <w:shd w:val="clear" w:color="auto" w:fill="F4F4F4"/>
          </w:tcPr>
          <w:p>
            <w:pPr>
              <w:spacing w:after="0"/>
              <w:rPr>
                <w:sz w:val="13"/>
                <w:szCs w:val="13"/>
                <w:color w:val="auto"/>
              </w:rPr>
            </w:pPr>
          </w:p>
        </w:tc>
        <w:tc>
          <w:tcPr>
            <w:tcW w:w="860" w:type="dxa"/>
            <w:vAlign w:val="bottom"/>
            <w:shd w:val="clear" w:color="auto" w:fill="F4F4F4"/>
          </w:tcPr>
          <w:p>
            <w:pPr>
              <w:spacing w:after="0"/>
              <w:rPr>
                <w:sz w:val="13"/>
                <w:szCs w:val="13"/>
                <w:color w:val="auto"/>
              </w:rPr>
            </w:pPr>
          </w:p>
        </w:tc>
        <w:tc>
          <w:tcPr>
            <w:tcW w:w="400" w:type="dxa"/>
            <w:vAlign w:val="bottom"/>
            <w:shd w:val="clear" w:color="auto" w:fill="F4F4F4"/>
          </w:tcPr>
          <w:p>
            <w:pPr>
              <w:spacing w:after="0"/>
              <w:rPr>
                <w:sz w:val="13"/>
                <w:szCs w:val="13"/>
                <w:color w:val="auto"/>
              </w:rPr>
            </w:pPr>
          </w:p>
        </w:tc>
        <w:tc>
          <w:tcPr>
            <w:tcW w:w="760" w:type="dxa"/>
            <w:vAlign w:val="bottom"/>
            <w:shd w:val="clear" w:color="auto" w:fill="F4F4F4"/>
          </w:tcPr>
          <w:p>
            <w:pPr>
              <w:spacing w:after="0"/>
              <w:rPr>
                <w:sz w:val="13"/>
                <w:szCs w:val="13"/>
                <w:color w:val="auto"/>
              </w:rPr>
            </w:pPr>
          </w:p>
        </w:tc>
        <w:tc>
          <w:tcPr>
            <w:tcW w:w="110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Stock-based compensation expense</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30.5</w:t>
            </w:r>
          </w:p>
        </w:tc>
        <w:tc>
          <w:tcPr>
            <w:tcW w:w="420" w:type="dxa"/>
            <w:vAlign w:val="bottom"/>
            <w:shd w:val="clear" w:color="auto" w:fill="F4F4F4"/>
          </w:tcPr>
          <w:p>
            <w:pPr>
              <w:spacing w:after="0"/>
              <w:rPr>
                <w:sz w:val="19"/>
                <w:szCs w:val="19"/>
                <w:color w:val="auto"/>
              </w:rPr>
            </w:pP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20.1</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51.7 %</w:t>
            </w:r>
          </w:p>
        </w:tc>
        <w:tc>
          <w:tcPr>
            <w:tcW w:w="8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60.6</w:t>
            </w:r>
          </w:p>
        </w:tc>
        <w:tc>
          <w:tcPr>
            <w:tcW w:w="400" w:type="dxa"/>
            <w:vAlign w:val="bottom"/>
            <w:shd w:val="clear" w:color="auto" w:fill="F4F4F4"/>
          </w:tcPr>
          <w:p>
            <w:pPr>
              <w:spacing w:after="0"/>
              <w:rPr>
                <w:sz w:val="19"/>
                <w:szCs w:val="19"/>
                <w:color w:val="auto"/>
              </w:rPr>
            </w:pP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33.7</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79.6 %</w:t>
            </w:r>
          </w:p>
        </w:tc>
        <w:tc>
          <w:tcPr>
            <w:tcW w:w="20" w:type="dxa"/>
            <w:vAlign w:val="bottom"/>
          </w:tcPr>
          <w:p>
            <w:pPr>
              <w:spacing w:after="0"/>
              <w:rPr>
                <w:sz w:val="19"/>
                <w:szCs w:val="19"/>
                <w:color w:val="auto"/>
              </w:rPr>
            </w:pPr>
          </w:p>
        </w:tc>
      </w:tr>
      <w:tr>
        <w:trPr>
          <w:trHeight w:val="210"/>
        </w:trPr>
        <w:tc>
          <w:tcPr>
            <w:tcW w:w="4140" w:type="dxa"/>
            <w:vAlign w:val="bottom"/>
          </w:tcPr>
          <w:p>
            <w:pPr>
              <w:ind w:left="140"/>
              <w:spacing w:after="0"/>
              <w:rPr>
                <w:sz w:val="20"/>
                <w:szCs w:val="20"/>
                <w:color w:val="auto"/>
              </w:rPr>
            </w:pPr>
            <w:r>
              <w:rPr>
                <w:rFonts w:ascii="Arial" w:cs="Arial" w:eastAsia="Arial" w:hAnsi="Arial"/>
                <w:sz w:val="14"/>
                <w:szCs w:val="14"/>
                <w:color w:val="auto"/>
              </w:rPr>
              <w:t>Add: Employee severance</w:t>
            </w:r>
          </w:p>
        </w:tc>
        <w:tc>
          <w:tcPr>
            <w:tcW w:w="44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0.5</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w:t>
            </w:r>
          </w:p>
        </w:tc>
        <w:tc>
          <w:tcPr>
            <w:tcW w:w="1120" w:type="dxa"/>
            <w:vAlign w:val="bottom"/>
          </w:tcPr>
          <w:p>
            <w:pPr>
              <w:jc w:val="right"/>
              <w:spacing w:after="0"/>
              <w:rPr>
                <w:sz w:val="20"/>
                <w:szCs w:val="20"/>
                <w:color w:val="auto"/>
              </w:rPr>
            </w:pPr>
            <w:r>
              <w:rPr>
                <w:rFonts w:ascii="Arial" w:cs="Arial" w:eastAsia="Arial" w:hAnsi="Arial"/>
                <w:sz w:val="14"/>
                <w:szCs w:val="14"/>
                <w:color w:val="auto"/>
              </w:rPr>
              <w:t>(89.4)%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4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100" w:type="dxa"/>
            <w:vAlign w:val="bottom"/>
          </w:tcPr>
          <w:p>
            <w:pPr>
              <w:jc w:val="right"/>
              <w:spacing w:after="0"/>
              <w:rPr>
                <w:sz w:val="20"/>
                <w:szCs w:val="20"/>
                <w:color w:val="auto"/>
              </w:rPr>
            </w:pPr>
            <w:r>
              <w:rPr>
                <w:rFonts w:ascii="Arial" w:cs="Arial" w:eastAsia="Arial" w:hAnsi="Arial"/>
                <w:sz w:val="14"/>
                <w:szCs w:val="14"/>
                <w:color w:val="auto"/>
              </w:rPr>
              <w:t>(66.9)%</w:t>
            </w: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integration costs</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420" w:type="dxa"/>
            <w:vAlign w:val="bottom"/>
            <w:shd w:val="clear" w:color="auto" w:fill="F4F4F4"/>
          </w:tcPr>
          <w:p>
            <w:pPr>
              <w:spacing w:after="0"/>
              <w:rPr>
                <w:sz w:val="19"/>
                <w:szCs w:val="19"/>
                <w:color w:val="auto"/>
              </w:rPr>
            </w:pP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(0.1)</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(0.1)</w:t>
            </w:r>
          </w:p>
        </w:tc>
        <w:tc>
          <w:tcPr>
            <w:tcW w:w="400" w:type="dxa"/>
            <w:vAlign w:val="bottom"/>
            <w:shd w:val="clear" w:color="auto" w:fill="F4F4F4"/>
          </w:tcPr>
          <w:p>
            <w:pPr>
              <w:spacing w:after="0"/>
              <w:rPr>
                <w:sz w:val="19"/>
                <w:szCs w:val="19"/>
                <w:color w:val="auto"/>
              </w:rPr>
            </w:pPr>
          </w:p>
        </w:tc>
        <w:tc>
          <w:tcPr>
            <w:tcW w:w="7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(0.1)</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9"/>
                <w:szCs w:val="19"/>
                <w:color w:val="auto"/>
              </w:rPr>
            </w:pPr>
          </w:p>
        </w:tc>
      </w:tr>
      <w:tr>
        <w:trPr>
          <w:trHeight w:val="210"/>
        </w:trPr>
        <w:tc>
          <w:tcPr>
            <w:tcW w:w="4140" w:type="dxa"/>
            <w:vAlign w:val="bottom"/>
          </w:tcPr>
          <w:p>
            <w:pPr>
              <w:ind w:left="140"/>
              <w:spacing w:after="0"/>
              <w:rPr>
                <w:sz w:val="20"/>
                <w:szCs w:val="20"/>
                <w:color w:val="auto"/>
              </w:rPr>
            </w:pPr>
            <w:r>
              <w:rPr>
                <w:rFonts w:ascii="Arial" w:cs="Arial" w:eastAsia="Arial" w:hAnsi="Arial"/>
                <w:sz w:val="14"/>
                <w:szCs w:val="14"/>
                <w:color w:val="auto"/>
              </w:rPr>
              <w:t>Add: Acquisition-related expenses</w:t>
            </w:r>
          </w:p>
        </w:tc>
        <w:tc>
          <w:tcPr>
            <w:tcW w:w="44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1120" w:type="dxa"/>
            <w:vAlign w:val="bottom"/>
          </w:tcPr>
          <w:p>
            <w:pPr>
              <w:jc w:val="right"/>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4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100" w:type="dxa"/>
            <w:vAlign w:val="bottom"/>
          </w:tcPr>
          <w:p>
            <w:pPr>
              <w:jc w:val="right"/>
              <w:spacing w:after="0"/>
              <w:rPr>
                <w:sz w:val="20"/>
                <w:szCs w:val="20"/>
                <w:color w:val="auto"/>
              </w:rPr>
            </w:pPr>
            <w:r>
              <w:rPr>
                <w:rFonts w:ascii="Arial" w:cs="Arial" w:eastAsia="Arial" w:hAnsi="Arial"/>
                <w:sz w:val="14"/>
                <w:szCs w:val="14"/>
                <w:color w:val="auto"/>
              </w:rPr>
              <w:t>(42.4)%</w:t>
            </w:r>
          </w:p>
        </w:tc>
        <w:tc>
          <w:tcPr>
            <w:tcW w:w="20" w:type="dxa"/>
            <w:vAlign w:val="bottom"/>
          </w:tcPr>
          <w:p>
            <w:pPr>
              <w:spacing w:after="0"/>
              <w:rPr>
                <w:sz w:val="18"/>
                <w:szCs w:val="18"/>
                <w:color w:val="auto"/>
              </w:rPr>
            </w:pPr>
          </w:p>
        </w:tc>
      </w:tr>
      <w:tr>
        <w:trPr>
          <w:trHeight w:val="222"/>
        </w:trPr>
        <w:tc>
          <w:tcPr>
            <w:tcW w:w="414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0.1</w:t>
            </w:r>
          </w:p>
        </w:tc>
        <w:tc>
          <w:tcPr>
            <w:tcW w:w="420" w:type="dxa"/>
            <w:vAlign w:val="bottom"/>
            <w:shd w:val="clear" w:color="auto" w:fill="F4F4F4"/>
          </w:tcPr>
          <w:p>
            <w:pPr>
              <w:spacing w:after="0"/>
              <w:rPr>
                <w:sz w:val="19"/>
                <w:szCs w:val="19"/>
                <w:color w:val="auto"/>
              </w:rPr>
            </w:pPr>
          </w:p>
        </w:tc>
        <w:tc>
          <w:tcPr>
            <w:tcW w:w="6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0.1</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136.0 %</w:t>
            </w:r>
          </w:p>
        </w:tc>
        <w:tc>
          <w:tcPr>
            <w:tcW w:w="80" w:type="dxa"/>
            <w:vAlign w:val="bottom"/>
            <w:shd w:val="clear" w:color="auto" w:fill="F4F4F4"/>
          </w:tcPr>
          <w:p>
            <w:pPr>
              <w:spacing w:after="0"/>
              <w:rPr>
                <w:sz w:val="19"/>
                <w:szCs w:val="19"/>
                <w:color w:val="auto"/>
              </w:rPr>
            </w:pPr>
          </w:p>
        </w:tc>
        <w:tc>
          <w:tcPr>
            <w:tcW w:w="42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shd w:val="clear" w:color="auto" w:fill="F4F4F4"/>
          </w:tcPr>
          <w:p>
            <w:pPr>
              <w:spacing w:after="0"/>
              <w:rPr>
                <w:sz w:val="19"/>
                <w:szCs w:val="19"/>
                <w:color w:val="auto"/>
              </w:rPr>
            </w:pPr>
          </w:p>
        </w:tc>
        <w:tc>
          <w:tcPr>
            <w:tcW w:w="76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0.1</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(90.5)%</w:t>
            </w:r>
          </w:p>
        </w:tc>
        <w:tc>
          <w:tcPr>
            <w:tcW w:w="20" w:type="dxa"/>
            <w:vAlign w:val="bottom"/>
          </w:tcPr>
          <w:p>
            <w:pPr>
              <w:spacing w:after="0"/>
              <w:rPr>
                <w:sz w:val="19"/>
                <w:szCs w:val="19"/>
                <w:color w:val="auto"/>
              </w:rPr>
            </w:pPr>
          </w:p>
        </w:tc>
      </w:tr>
      <w:tr>
        <w:trPr>
          <w:trHeight w:val="216"/>
        </w:trPr>
        <w:tc>
          <w:tcPr>
            <w:tcW w:w="414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Security Incident-related costs, net of insurance</w:t>
            </w:r>
            <w:r>
              <w:rPr>
                <w:rFonts w:ascii="Arial" w:cs="Arial" w:eastAsia="Arial" w:hAnsi="Arial"/>
                <w:sz w:val="18"/>
                <w:szCs w:val="18"/>
                <w:color w:val="auto"/>
                <w:vertAlign w:val="superscript"/>
              </w:rPr>
              <w:t>(3)</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0.5</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F4F4F4"/>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0.5</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8"/>
                <w:szCs w:val="18"/>
                <w:color w:val="auto"/>
              </w:rPr>
            </w:pPr>
          </w:p>
        </w:tc>
      </w:tr>
      <w:tr>
        <w:trPr>
          <w:trHeight w:val="210"/>
        </w:trPr>
        <w:tc>
          <w:tcPr>
            <w:tcW w:w="414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(2)</w:t>
            </w:r>
          </w:p>
        </w:tc>
        <w:tc>
          <w:tcPr>
            <w:tcW w:w="440" w:type="dxa"/>
            <w:vAlign w:val="bottom"/>
            <w:tcBorders>
              <w:bottom w:val="single" w:sz="8" w:color="auto"/>
            </w:tcBorders>
            <w:shd w:val="clear" w:color="auto" w:fill="F4F4F4"/>
          </w:tcPr>
          <w:p>
            <w:pPr>
              <w:spacing w:after="0"/>
              <w:rPr>
                <w:sz w:val="18"/>
                <w:szCs w:val="18"/>
                <w:color w:val="auto"/>
              </w:rPr>
            </w:pPr>
          </w:p>
        </w:tc>
        <w:tc>
          <w:tcPr>
            <w:tcW w:w="82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31.7</w:t>
            </w:r>
          </w:p>
        </w:tc>
        <w:tc>
          <w:tcPr>
            <w:tcW w:w="420" w:type="dxa"/>
            <w:vAlign w:val="bottom"/>
            <w:tcBorders>
              <w:bottom w:val="single" w:sz="8" w:color="auto"/>
            </w:tcBorders>
            <w:shd w:val="clear" w:color="auto" w:fill="F4F4F4"/>
          </w:tcPr>
          <w:p>
            <w:pPr>
              <w:spacing w:after="0"/>
              <w:rPr>
                <w:sz w:val="18"/>
                <w:szCs w:val="18"/>
                <w:color w:val="auto"/>
              </w:rPr>
            </w:pPr>
          </w:p>
        </w:tc>
        <w:tc>
          <w:tcPr>
            <w:tcW w:w="6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24.5</w:t>
            </w:r>
          </w:p>
        </w:tc>
        <w:tc>
          <w:tcPr>
            <w:tcW w:w="1120" w:type="dxa"/>
            <w:vAlign w:val="bottom"/>
            <w:tcBorders>
              <w:right w:val="single" w:sz="8" w:color="F4F4F4"/>
            </w:tcBorders>
            <w:shd w:val="clear" w:color="auto" w:fill="F4F4F4"/>
          </w:tcPr>
          <w:p>
            <w:pPr>
              <w:jc w:val="right"/>
              <w:spacing w:after="0"/>
              <w:rPr>
                <w:sz w:val="20"/>
                <w:szCs w:val="20"/>
                <w:color w:val="auto"/>
              </w:rPr>
            </w:pPr>
            <w:r>
              <w:rPr>
                <w:rFonts w:ascii="Arial" w:cs="Arial" w:eastAsia="Arial" w:hAnsi="Arial"/>
                <w:sz w:val="14"/>
                <w:szCs w:val="14"/>
                <w:color w:val="auto"/>
              </w:rPr>
              <w:t>29.4 %</w:t>
            </w:r>
          </w:p>
        </w:tc>
        <w:tc>
          <w:tcPr>
            <w:tcW w:w="80" w:type="dxa"/>
            <w:vAlign w:val="bottom"/>
            <w:shd w:val="clear" w:color="auto" w:fill="F4F4F4"/>
          </w:tcPr>
          <w:p>
            <w:pPr>
              <w:spacing w:after="0"/>
              <w:rPr>
                <w:sz w:val="18"/>
                <w:szCs w:val="18"/>
                <w:color w:val="auto"/>
              </w:rPr>
            </w:pPr>
          </w:p>
        </w:tc>
        <w:tc>
          <w:tcPr>
            <w:tcW w:w="420" w:type="dxa"/>
            <w:vAlign w:val="bottom"/>
            <w:tcBorders>
              <w:bottom w:val="single" w:sz="8" w:color="auto"/>
            </w:tcBorders>
            <w:shd w:val="clear" w:color="auto" w:fill="F4F4F4"/>
          </w:tcPr>
          <w:p>
            <w:pPr>
              <w:spacing w:after="0"/>
              <w:rPr>
                <w:sz w:val="18"/>
                <w:szCs w:val="18"/>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62.5</w:t>
            </w:r>
          </w:p>
        </w:tc>
        <w:tc>
          <w:tcPr>
            <w:tcW w:w="400" w:type="dxa"/>
            <w:vAlign w:val="bottom"/>
            <w:tcBorders>
              <w:bottom w:val="single" w:sz="8" w:color="auto"/>
            </w:tcBorders>
            <w:shd w:val="clear" w:color="auto" w:fill="F4F4F4"/>
          </w:tcPr>
          <w:p>
            <w:pPr>
              <w:spacing w:after="0"/>
              <w:rPr>
                <w:sz w:val="18"/>
                <w:szCs w:val="18"/>
                <w:color w:val="auto"/>
              </w:rPr>
            </w:pPr>
          </w:p>
        </w:tc>
        <w:tc>
          <w:tcPr>
            <w:tcW w:w="760" w:type="dxa"/>
            <w:vAlign w:val="bottom"/>
            <w:tcBorders>
              <w:bottom w:val="single" w:sz="8" w:color="auto"/>
            </w:tcBorders>
            <w:shd w:val="clear" w:color="auto" w:fill="F4F4F4"/>
          </w:tcPr>
          <w:p>
            <w:pPr>
              <w:jc w:val="right"/>
              <w:ind w:right="8"/>
              <w:spacing w:after="0"/>
              <w:rPr>
                <w:sz w:val="20"/>
                <w:szCs w:val="20"/>
                <w:color w:val="auto"/>
              </w:rPr>
            </w:pPr>
            <w:r>
              <w:rPr>
                <w:rFonts w:ascii="Arial" w:cs="Arial" w:eastAsia="Arial" w:hAnsi="Arial"/>
                <w:sz w:val="14"/>
                <w:szCs w:val="14"/>
                <w:color w:val="auto"/>
              </w:rPr>
              <w:t>38.3</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63.3 %</w:t>
            </w:r>
          </w:p>
        </w:tc>
        <w:tc>
          <w:tcPr>
            <w:tcW w:w="20" w:type="dxa"/>
            <w:vAlign w:val="bottom"/>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4"/>
                <w:szCs w:val="14"/>
                <w:color w:val="auto"/>
              </w:rPr>
              <w:t>Adjusted Non-GAAP EBITDA</w:t>
            </w:r>
            <w:r>
              <w:rPr>
                <w:rFonts w:ascii="Arial" w:cs="Arial" w:eastAsia="Arial" w:hAnsi="Arial"/>
                <w:sz w:val="18"/>
                <w:szCs w:val="18"/>
                <w:color w:val="auto"/>
                <w:vertAlign w:val="superscript"/>
              </w:rPr>
              <w:t>(2)</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65.8</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68.9</w:t>
            </w:r>
          </w:p>
        </w:tc>
        <w:tc>
          <w:tcPr>
            <w:tcW w:w="1120" w:type="dxa"/>
            <w:vAlign w:val="bottom"/>
          </w:tcPr>
          <w:p>
            <w:pPr>
              <w:jc w:val="right"/>
              <w:spacing w:after="0"/>
              <w:rPr>
                <w:sz w:val="20"/>
                <w:szCs w:val="20"/>
                <w:color w:val="auto"/>
              </w:rPr>
            </w:pPr>
            <w:r>
              <w:rPr>
                <w:rFonts w:ascii="Arial" w:cs="Arial" w:eastAsia="Arial" w:hAnsi="Arial"/>
                <w:sz w:val="14"/>
                <w:szCs w:val="14"/>
                <w:color w:val="auto"/>
              </w:rPr>
              <w:t>(4.5)%</w:t>
            </w:r>
          </w:p>
        </w:tc>
        <w:tc>
          <w:tcPr>
            <w:tcW w:w="5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123.0</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113.6</w:t>
            </w:r>
          </w:p>
        </w:tc>
        <w:tc>
          <w:tcPr>
            <w:tcW w:w="1100" w:type="dxa"/>
            <w:vAlign w:val="bottom"/>
          </w:tcPr>
          <w:p>
            <w:pPr>
              <w:jc w:val="right"/>
              <w:spacing w:after="0"/>
              <w:rPr>
                <w:sz w:val="20"/>
                <w:szCs w:val="20"/>
                <w:color w:val="auto"/>
              </w:rPr>
            </w:pPr>
            <w:r>
              <w:rPr>
                <w:rFonts w:ascii="Arial" w:cs="Arial" w:eastAsia="Arial" w:hAnsi="Arial"/>
                <w:sz w:val="14"/>
                <w:szCs w:val="14"/>
                <w:color w:val="auto"/>
              </w:rPr>
              <w:t>8.3 %</w:t>
            </w:r>
          </w:p>
        </w:tc>
        <w:tc>
          <w:tcPr>
            <w:tcW w:w="20" w:type="dxa"/>
            <w:vAlign w:val="bottom"/>
          </w:tcPr>
          <w:p>
            <w:pPr>
              <w:spacing w:after="0"/>
              <w:rPr>
                <w:sz w:val="18"/>
                <w:szCs w:val="18"/>
                <w:color w:val="auto"/>
              </w:rPr>
            </w:pPr>
          </w:p>
        </w:tc>
      </w:tr>
      <w:tr>
        <w:trPr>
          <w:trHeight w:val="209"/>
        </w:trPr>
        <w:tc>
          <w:tcPr>
            <w:tcW w:w="4140" w:type="dxa"/>
            <w:vAlign w:val="bottom"/>
            <w:tcBorders>
              <w:top w:val="single" w:sz="8" w:color="F4F4F4"/>
            </w:tcBorders>
            <w:shd w:val="clear" w:color="auto" w:fill="F4F4F4"/>
          </w:tcPr>
          <w:p>
            <w:pPr>
              <w:ind w:left="140"/>
              <w:spacing w:after="0"/>
              <w:rPr>
                <w:sz w:val="20"/>
                <w:szCs w:val="20"/>
                <w:color w:val="auto"/>
              </w:rPr>
            </w:pPr>
            <w:r>
              <w:rPr>
                <w:rFonts w:ascii="Arial" w:cs="Arial" w:eastAsia="Arial" w:hAnsi="Arial"/>
                <w:sz w:val="14"/>
                <w:szCs w:val="14"/>
                <w:b w:val="1"/>
                <w:bCs w:val="1"/>
                <w:color w:val="auto"/>
              </w:rPr>
              <w:t>Adjusted Non-GAAP EBITDA margin</w:t>
            </w:r>
          </w:p>
        </w:tc>
        <w:tc>
          <w:tcPr>
            <w:tcW w:w="440" w:type="dxa"/>
            <w:vAlign w:val="bottom"/>
            <w:tcBorders>
              <w:top w:val="single" w:sz="8" w:color="auto"/>
            </w:tcBorders>
            <w:shd w:val="clear" w:color="auto" w:fill="F4F4F4"/>
          </w:tcPr>
          <w:p>
            <w:pPr>
              <w:spacing w:after="0"/>
              <w:rPr>
                <w:sz w:val="18"/>
                <w:szCs w:val="18"/>
                <w:color w:val="auto"/>
              </w:rPr>
            </w:pPr>
          </w:p>
        </w:tc>
        <w:tc>
          <w:tcPr>
            <w:tcW w:w="82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28.7 %</w:t>
            </w:r>
          </w:p>
        </w:tc>
        <w:tc>
          <w:tcPr>
            <w:tcW w:w="420" w:type="dxa"/>
            <w:vAlign w:val="bottom"/>
            <w:tcBorders>
              <w:top w:val="single" w:sz="8" w:color="auto"/>
            </w:tcBorders>
            <w:shd w:val="clear" w:color="auto" w:fill="F4F4F4"/>
          </w:tcPr>
          <w:p>
            <w:pPr>
              <w:spacing w:after="0"/>
              <w:rPr>
                <w:sz w:val="18"/>
                <w:szCs w:val="18"/>
                <w:color w:val="auto"/>
              </w:rPr>
            </w:pPr>
          </w:p>
        </w:tc>
        <w:tc>
          <w:tcPr>
            <w:tcW w:w="680" w:type="dxa"/>
            <w:vAlign w:val="bottom"/>
            <w:tcBorders>
              <w:top w:val="single" w:sz="8" w:color="auto"/>
            </w:tcBorders>
            <w:shd w:val="clear" w:color="auto" w:fill="F4F4F4"/>
          </w:tcPr>
          <w:p>
            <w:pPr>
              <w:spacing w:after="0"/>
              <w:rPr>
                <w:sz w:val="18"/>
                <w:szCs w:val="18"/>
                <w:color w:val="auto"/>
              </w:rPr>
            </w:pPr>
          </w:p>
        </w:tc>
        <w:tc>
          <w:tcPr>
            <w:tcW w:w="1120" w:type="dxa"/>
            <w:vAlign w:val="bottom"/>
            <w:tcBorders>
              <w:top w:val="single" w:sz="8" w:color="F4F4F4"/>
              <w:right w:val="single" w:sz="8" w:color="F4F4F4"/>
            </w:tcBorders>
            <w:shd w:val="clear" w:color="auto" w:fill="F4F4F4"/>
          </w:tcPr>
          <w:p>
            <w:pPr>
              <w:spacing w:after="0"/>
              <w:rPr>
                <w:sz w:val="18"/>
                <w:szCs w:val="18"/>
                <w:color w:val="auto"/>
              </w:rPr>
            </w:pPr>
          </w:p>
        </w:tc>
        <w:tc>
          <w:tcPr>
            <w:tcW w:w="80" w:type="dxa"/>
            <w:vAlign w:val="bottom"/>
            <w:tcBorders>
              <w:top w:val="single" w:sz="8" w:color="F4F4F4"/>
            </w:tcBorders>
            <w:shd w:val="clear" w:color="auto" w:fill="F4F4F4"/>
          </w:tcPr>
          <w:p>
            <w:pPr>
              <w:spacing w:after="0"/>
              <w:rPr>
                <w:sz w:val="18"/>
                <w:szCs w:val="18"/>
                <w:color w:val="auto"/>
              </w:rPr>
            </w:pPr>
          </w:p>
        </w:tc>
        <w:tc>
          <w:tcPr>
            <w:tcW w:w="420" w:type="dxa"/>
            <w:vAlign w:val="bottom"/>
            <w:tcBorders>
              <w:top w:val="single" w:sz="8" w:color="auto"/>
            </w:tcBorders>
            <w:shd w:val="clear" w:color="auto" w:fill="F4F4F4"/>
          </w:tcPr>
          <w:p>
            <w:pPr>
              <w:spacing w:after="0"/>
              <w:rPr>
                <w:sz w:val="18"/>
                <w:szCs w:val="18"/>
                <w:color w:val="auto"/>
              </w:rPr>
            </w:pPr>
          </w:p>
        </w:tc>
        <w:tc>
          <w:tcPr>
            <w:tcW w:w="86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27.4 %</w:t>
            </w:r>
          </w:p>
        </w:tc>
        <w:tc>
          <w:tcPr>
            <w:tcW w:w="400" w:type="dxa"/>
            <w:vAlign w:val="bottom"/>
            <w:tcBorders>
              <w:top w:val="single" w:sz="8" w:color="auto"/>
            </w:tcBorders>
            <w:shd w:val="clear" w:color="auto" w:fill="F4F4F4"/>
          </w:tcPr>
          <w:p>
            <w:pPr>
              <w:spacing w:after="0"/>
              <w:rPr>
                <w:sz w:val="18"/>
                <w:szCs w:val="18"/>
                <w:color w:val="auto"/>
              </w:rPr>
            </w:pPr>
          </w:p>
        </w:tc>
        <w:tc>
          <w:tcPr>
            <w:tcW w:w="760" w:type="dxa"/>
            <w:vAlign w:val="bottom"/>
            <w:tcBorders>
              <w:top w:val="single" w:sz="8" w:color="auto"/>
            </w:tcBorders>
            <w:shd w:val="clear" w:color="auto" w:fill="F4F4F4"/>
          </w:tcPr>
          <w:p>
            <w:pPr>
              <w:spacing w:after="0"/>
              <w:rPr>
                <w:sz w:val="18"/>
                <w:szCs w:val="18"/>
                <w:color w:val="auto"/>
              </w:rPr>
            </w:pPr>
          </w:p>
        </w:tc>
        <w:tc>
          <w:tcPr>
            <w:tcW w:w="1100" w:type="dxa"/>
            <w:vAlign w:val="bottom"/>
            <w:tcBorders>
              <w:top w:val="single" w:sz="8" w:color="F4F4F4"/>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4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1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4"/>
                <w:szCs w:val="14"/>
                <w:b w:val="1"/>
                <w:bCs w:val="1"/>
                <w:color w:val="auto"/>
              </w:rPr>
              <w:t>Rule of 40</w:t>
            </w:r>
            <w:r>
              <w:rPr>
                <w:rFonts w:ascii="Arial" w:cs="Arial" w:eastAsia="Arial" w:hAnsi="Arial"/>
                <w:sz w:val="18"/>
                <w:szCs w:val="18"/>
                <w:b w:val="1"/>
                <w:bCs w:val="1"/>
                <w:color w:val="auto"/>
                <w:vertAlign w:val="superscript"/>
              </w:rPr>
              <w:t>(4)</w:t>
            </w:r>
          </w:p>
        </w:tc>
        <w:tc>
          <w:tcPr>
            <w:tcW w:w="440" w:type="dxa"/>
            <w:vAlign w:val="bottom"/>
            <w:tcBorders>
              <w:bottom w:val="single" w:sz="8" w:color="71BF43"/>
            </w:tcBorders>
            <w:shd w:val="clear" w:color="auto" w:fill="F4F4F4"/>
          </w:tcPr>
          <w:p>
            <w:pPr>
              <w:spacing w:after="0"/>
              <w:rPr>
                <w:sz w:val="18"/>
                <w:szCs w:val="18"/>
                <w:color w:val="auto"/>
              </w:rPr>
            </w:pPr>
          </w:p>
        </w:tc>
        <w:tc>
          <w:tcPr>
            <w:tcW w:w="8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27.6 %</w:t>
            </w:r>
          </w:p>
        </w:tc>
        <w:tc>
          <w:tcPr>
            <w:tcW w:w="420" w:type="dxa"/>
            <w:vAlign w:val="bottom"/>
            <w:tcBorders>
              <w:bottom w:val="single" w:sz="8" w:color="71BF43"/>
            </w:tcBorders>
            <w:shd w:val="clear" w:color="auto" w:fill="F4F4F4"/>
          </w:tcPr>
          <w:p>
            <w:pPr>
              <w:spacing w:after="0"/>
              <w:rPr>
                <w:sz w:val="18"/>
                <w:szCs w:val="18"/>
                <w:color w:val="auto"/>
              </w:rPr>
            </w:pPr>
          </w:p>
        </w:tc>
        <w:tc>
          <w:tcPr>
            <w:tcW w:w="680" w:type="dxa"/>
            <w:vAlign w:val="bottom"/>
            <w:tcBorders>
              <w:bottom w:val="single" w:sz="8" w:color="71BF43"/>
            </w:tcBorders>
            <w:shd w:val="clear" w:color="auto" w:fill="F4F4F4"/>
          </w:tcPr>
          <w:p>
            <w:pPr>
              <w:spacing w:after="0"/>
              <w:rPr>
                <w:sz w:val="18"/>
                <w:szCs w:val="18"/>
                <w:color w:val="auto"/>
              </w:rPr>
            </w:pPr>
          </w:p>
        </w:tc>
        <w:tc>
          <w:tcPr>
            <w:tcW w:w="1120" w:type="dxa"/>
            <w:vAlign w:val="bottom"/>
            <w:tcBorders>
              <w:bottom w:val="single" w:sz="8" w:color="71BF43"/>
              <w:right w:val="single" w:sz="8" w:color="F4F4F4"/>
            </w:tcBorders>
            <w:shd w:val="clear" w:color="auto" w:fill="F4F4F4"/>
          </w:tcPr>
          <w:p>
            <w:pPr>
              <w:spacing w:after="0"/>
              <w:rPr>
                <w:sz w:val="18"/>
                <w:szCs w:val="18"/>
                <w:color w:val="auto"/>
              </w:rPr>
            </w:pPr>
          </w:p>
        </w:tc>
        <w:tc>
          <w:tcPr>
            <w:tcW w:w="80" w:type="dxa"/>
            <w:vAlign w:val="bottom"/>
            <w:tcBorders>
              <w:bottom w:val="single" w:sz="8" w:color="71BF43"/>
            </w:tcBorders>
            <w:shd w:val="clear" w:color="auto" w:fill="F4F4F4"/>
          </w:tcPr>
          <w:p>
            <w:pPr>
              <w:spacing w:after="0"/>
              <w:rPr>
                <w:sz w:val="18"/>
                <w:szCs w:val="18"/>
                <w:color w:val="auto"/>
              </w:rPr>
            </w:pPr>
          </w:p>
        </w:tc>
        <w:tc>
          <w:tcPr>
            <w:tcW w:w="420" w:type="dxa"/>
            <w:vAlign w:val="bottom"/>
            <w:tcBorders>
              <w:bottom w:val="single" w:sz="8" w:color="71BF43"/>
            </w:tcBorders>
            <w:shd w:val="clear" w:color="auto" w:fill="F4F4F4"/>
          </w:tcPr>
          <w:p>
            <w:pPr>
              <w:spacing w:after="0"/>
              <w:rPr>
                <w:sz w:val="18"/>
                <w:szCs w:val="18"/>
                <w:color w:val="auto"/>
              </w:rPr>
            </w:pPr>
          </w:p>
        </w:tc>
        <w:tc>
          <w:tcPr>
            <w:tcW w:w="8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4"/>
                <w:szCs w:val="14"/>
                <w:b w:val="1"/>
                <w:bCs w:val="1"/>
                <w:color w:val="auto"/>
              </w:rPr>
              <w:t>25.9 %</w:t>
            </w:r>
          </w:p>
        </w:tc>
        <w:tc>
          <w:tcPr>
            <w:tcW w:w="400" w:type="dxa"/>
            <w:vAlign w:val="bottom"/>
            <w:tcBorders>
              <w:bottom w:val="single" w:sz="8" w:color="71BF43"/>
            </w:tcBorders>
            <w:shd w:val="clear" w:color="auto" w:fill="F4F4F4"/>
          </w:tcPr>
          <w:p>
            <w:pPr>
              <w:spacing w:after="0"/>
              <w:rPr>
                <w:sz w:val="18"/>
                <w:szCs w:val="18"/>
                <w:color w:val="auto"/>
              </w:rPr>
            </w:pPr>
          </w:p>
        </w:tc>
        <w:tc>
          <w:tcPr>
            <w:tcW w:w="760" w:type="dxa"/>
            <w:vAlign w:val="bottom"/>
            <w:tcBorders>
              <w:bottom w:val="single" w:sz="8" w:color="71BF43"/>
            </w:tcBorders>
            <w:shd w:val="clear" w:color="auto" w:fill="F4F4F4"/>
          </w:tcPr>
          <w:p>
            <w:pPr>
              <w:spacing w:after="0"/>
              <w:rPr>
                <w:sz w:val="18"/>
                <w:szCs w:val="18"/>
                <w:color w:val="auto"/>
              </w:rPr>
            </w:pPr>
          </w:p>
        </w:tc>
        <w:tc>
          <w:tcPr>
            <w:tcW w:w="1100" w:type="dxa"/>
            <w:vAlign w:val="bottom"/>
            <w:tcBorders>
              <w:bottom w:val="single" w:sz="8" w:color="71BF43"/>
            </w:tcBorders>
            <w:shd w:val="clear" w:color="auto" w:fill="F4F4F4"/>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-3282950</wp:posOffset>
            </wp:positionV>
            <wp:extent cx="45173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17390"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amortization expense related to software development costs and amortization expense from capitalized cloud computing implementation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subtotal, non-GAAP EBITDA or adjusted non-GAAP EBITDA due to rounding.</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54"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Security Incident-related costs incurred, net of probable insurance recoveries. See additional details in the reconciliation of GAAP to Non-GAAP operating income above.</w:t>
      </w: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Measured by non-GAAP organic revenue growth plus non-GAAP adjusted EBITDA margin. See Non-GAAP organic revenue growth table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free cash flow</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Non-GAAP free cash flow is defined as operating cash flow less capital expenditures, including costs required to be capitalized for software development, and capital expenditures for property and equipment.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shd w:val="clear" w:color="auto" w:fill="ACACAC"/>
          </w:tcPr>
          <w:p>
            <w:pPr>
              <w:spacing w:after="0"/>
              <w:rPr>
                <w:sz w:val="16"/>
                <w:szCs w:val="16"/>
                <w:color w:val="auto"/>
              </w:rPr>
            </w:pPr>
          </w:p>
        </w:tc>
        <w:tc>
          <w:tcPr>
            <w:tcW w:w="222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w:t>
            </w:r>
          </w:p>
        </w:tc>
        <w:tc>
          <w:tcPr>
            <w:tcW w:w="20" w:type="dxa"/>
            <w:vAlign w:val="bottom"/>
            <w:shd w:val="clear" w:color="auto" w:fill="ACACAC"/>
          </w:tcPr>
          <w:p>
            <w:pPr>
              <w:spacing w:after="0"/>
              <w:rPr>
                <w:sz w:val="16"/>
                <w:szCs w:val="16"/>
                <w:color w:val="auto"/>
              </w:rPr>
            </w:pPr>
          </w:p>
        </w:tc>
      </w:tr>
      <w:tr>
        <w:trPr>
          <w:trHeight w:val="190"/>
        </w:trPr>
        <w:tc>
          <w:tcPr>
            <w:tcW w:w="5380" w:type="dxa"/>
            <w:vAlign w:val="bottom"/>
            <w:shd w:val="clear" w:color="auto" w:fill="ACACAC"/>
          </w:tcPr>
          <w:p>
            <w:pPr>
              <w:spacing w:after="0"/>
              <w:rPr>
                <w:sz w:val="16"/>
                <w:szCs w:val="16"/>
                <w:color w:val="auto"/>
              </w:rPr>
            </w:pPr>
          </w:p>
        </w:tc>
        <w:tc>
          <w:tcPr>
            <w:tcW w:w="222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0" w:type="dxa"/>
            <w:vAlign w:val="bottom"/>
            <w:shd w:val="clear" w:color="auto" w:fill="ACACAC"/>
          </w:tcPr>
          <w:p>
            <w:pPr>
              <w:spacing w:after="0"/>
              <w:rPr>
                <w:sz w:val="16"/>
                <w:szCs w:val="16"/>
                <w:color w:val="auto"/>
              </w:rPr>
            </w:pPr>
          </w:p>
        </w:tc>
      </w:tr>
      <w:tr>
        <w:trPr>
          <w:trHeight w:val="235"/>
        </w:trPr>
        <w:tc>
          <w:tcPr>
            <w:tcW w:w="53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220" w:type="dxa"/>
            <w:vAlign w:val="bottom"/>
            <w:tcBorders>
              <w:bottom w:val="single" w:sz="8" w:color="ACACAC"/>
            </w:tcBorders>
            <w:shd w:val="clear" w:color="auto" w:fill="ACACAC"/>
          </w:tcPr>
          <w:p>
            <w:pPr>
              <w:spacing w:after="0"/>
              <w:rPr>
                <w:sz w:val="20"/>
                <w:szCs w:val="20"/>
                <w:color w:val="auto"/>
              </w:rPr>
            </w:pPr>
          </w:p>
        </w:tc>
        <w:tc>
          <w:tcPr>
            <w:tcW w:w="460" w:type="dxa"/>
            <w:vAlign w:val="bottom"/>
            <w:tcBorders>
              <w:bottom w:val="single" w:sz="8" w:color="ACACAC"/>
            </w:tcBorders>
            <w:shd w:val="clear" w:color="auto" w:fill="ACACAC"/>
          </w:tcPr>
          <w:p>
            <w:pPr>
              <w:spacing w:after="0"/>
              <w:rPr>
                <w:sz w:val="20"/>
                <w:szCs w:val="20"/>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40" w:type="dxa"/>
            <w:vAlign w:val="bottom"/>
            <w:tcBorders>
              <w:bottom w:val="single" w:sz="8" w:color="ACACAC"/>
            </w:tcBorders>
            <w:shd w:val="clear" w:color="auto" w:fill="ACACAC"/>
          </w:tcPr>
          <w:p>
            <w:pPr>
              <w:spacing w:after="0"/>
              <w:rPr>
                <w:sz w:val="20"/>
                <w:szCs w:val="20"/>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2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16"/>
        </w:trPr>
        <w:tc>
          <w:tcPr>
            <w:tcW w:w="538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net cash provided by operating activities</w:t>
            </w:r>
          </w:p>
        </w:tc>
        <w:tc>
          <w:tcPr>
            <w:tcW w:w="2680" w:type="dxa"/>
            <w:vAlign w:val="bottom"/>
            <w:gridSpan w:val="2"/>
            <w:shd w:val="clear" w:color="auto" w:fill="F4F4F4"/>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99.9</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37.5</w:t>
            </w:r>
          </w:p>
        </w:tc>
        <w:tc>
          <w:tcPr>
            <w:tcW w:w="12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166.5 %</w:t>
            </w:r>
          </w:p>
        </w:tc>
        <w:tc>
          <w:tcPr>
            <w:tcW w:w="20" w:type="dxa"/>
            <w:vAlign w:val="bottom"/>
          </w:tcPr>
          <w:p>
            <w:pPr>
              <w:spacing w:after="0"/>
              <w:rPr>
                <w:sz w:val="18"/>
                <w:szCs w:val="18"/>
                <w:color w:val="auto"/>
              </w:rPr>
            </w:pPr>
          </w:p>
        </w:tc>
      </w:tr>
      <w:tr>
        <w:trPr>
          <w:trHeight w:val="210"/>
        </w:trPr>
        <w:tc>
          <w:tcPr>
            <w:tcW w:w="5380" w:type="dxa"/>
            <w:vAlign w:val="bottom"/>
          </w:tcPr>
          <w:p>
            <w:pPr>
              <w:ind w:left="140"/>
              <w:spacing w:after="0"/>
              <w:rPr>
                <w:sz w:val="20"/>
                <w:szCs w:val="20"/>
                <w:color w:val="auto"/>
              </w:rPr>
            </w:pPr>
            <w:r>
              <w:rPr>
                <w:rFonts w:ascii="Arial" w:cs="Arial" w:eastAsia="Arial" w:hAnsi="Arial"/>
                <w:sz w:val="14"/>
                <w:szCs w:val="14"/>
                <w:color w:val="auto"/>
              </w:rPr>
              <w:t>Less: purchase of property and equipment</w:t>
            </w: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1260" w:type="dxa"/>
            <w:vAlign w:val="bottom"/>
          </w:tcPr>
          <w:p>
            <w:pPr>
              <w:jc w:val="right"/>
              <w:spacing w:after="0"/>
              <w:rPr>
                <w:sz w:val="20"/>
                <w:szCs w:val="20"/>
                <w:color w:val="auto"/>
              </w:rPr>
            </w:pPr>
            <w:r>
              <w:rPr>
                <w:rFonts w:ascii="Arial" w:cs="Arial" w:eastAsia="Arial" w:hAnsi="Arial"/>
                <w:sz w:val="14"/>
                <w:szCs w:val="14"/>
                <w:color w:val="auto"/>
              </w:rPr>
              <w:t>4.1 %</w:t>
            </w:r>
          </w:p>
        </w:tc>
        <w:tc>
          <w:tcPr>
            <w:tcW w:w="20" w:type="dxa"/>
            <w:vAlign w:val="bottom"/>
          </w:tcPr>
          <w:p>
            <w:pPr>
              <w:spacing w:after="0"/>
              <w:rPr>
                <w:sz w:val="18"/>
                <w:szCs w:val="18"/>
                <w:color w:val="auto"/>
              </w:rPr>
            </w:pPr>
          </w:p>
        </w:tc>
      </w:tr>
      <w:tr>
        <w:trPr>
          <w:trHeight w:val="222"/>
        </w:trPr>
        <w:tc>
          <w:tcPr>
            <w:tcW w:w="5380" w:type="dxa"/>
            <w:vAlign w:val="bottom"/>
            <w:shd w:val="clear" w:color="auto" w:fill="F4F4F4"/>
          </w:tcPr>
          <w:p>
            <w:pPr>
              <w:ind w:left="140"/>
              <w:spacing w:after="0"/>
              <w:rPr>
                <w:sz w:val="20"/>
                <w:szCs w:val="20"/>
                <w:color w:val="auto"/>
              </w:rPr>
            </w:pPr>
            <w:r>
              <w:rPr>
                <w:rFonts w:ascii="Arial" w:cs="Arial" w:eastAsia="Arial" w:hAnsi="Arial"/>
                <w:sz w:val="14"/>
                <w:szCs w:val="14"/>
                <w:color w:val="auto"/>
              </w:rPr>
              <w:t>Less: capitalized software development costs</w:t>
            </w:r>
          </w:p>
        </w:tc>
        <w:tc>
          <w:tcPr>
            <w:tcW w:w="2220" w:type="dxa"/>
            <w:vAlign w:val="bottom"/>
            <w:shd w:val="clear" w:color="auto" w:fill="F4F4F4"/>
          </w:tcPr>
          <w:p>
            <w:pPr>
              <w:spacing w:after="0"/>
              <w:rPr>
                <w:sz w:val="19"/>
                <w:szCs w:val="19"/>
                <w:color w:val="auto"/>
              </w:rPr>
            </w:pPr>
          </w:p>
        </w:tc>
        <w:tc>
          <w:tcPr>
            <w:tcW w:w="460" w:type="dxa"/>
            <w:vAlign w:val="bottom"/>
            <w:tcBorders>
              <w:bottom w:val="single" w:sz="8" w:color="auto"/>
            </w:tcBorders>
            <w:shd w:val="clear" w:color="auto" w:fill="F4F4F4"/>
          </w:tcPr>
          <w:p>
            <w:pPr>
              <w:spacing w:after="0"/>
              <w:rPr>
                <w:sz w:val="19"/>
                <w:szCs w:val="19"/>
                <w:color w:val="auto"/>
              </w:rPr>
            </w:pPr>
          </w:p>
        </w:tc>
        <w:tc>
          <w:tcPr>
            <w:tcW w:w="7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(19.9)</w:t>
            </w:r>
          </w:p>
        </w:tc>
        <w:tc>
          <w:tcPr>
            <w:tcW w:w="440" w:type="dxa"/>
            <w:vAlign w:val="bottom"/>
            <w:tcBorders>
              <w:bottom w:val="single" w:sz="8" w:color="auto"/>
            </w:tcBorders>
            <w:shd w:val="clear" w:color="auto" w:fill="F4F4F4"/>
          </w:tcPr>
          <w:p>
            <w:pPr>
              <w:spacing w:after="0"/>
              <w:rPr>
                <w:sz w:val="19"/>
                <w:szCs w:val="19"/>
                <w:color w:val="auto"/>
              </w:rPr>
            </w:pPr>
          </w:p>
        </w:tc>
        <w:tc>
          <w:tcPr>
            <w:tcW w:w="7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(21.7)</w:t>
            </w:r>
          </w:p>
        </w:tc>
        <w:tc>
          <w:tcPr>
            <w:tcW w:w="12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19"/>
                <w:szCs w:val="19"/>
                <w:color w:val="auto"/>
              </w:rPr>
            </w:pPr>
          </w:p>
        </w:tc>
      </w:tr>
      <w:tr>
        <w:trPr>
          <w:trHeight w:val="203"/>
        </w:trPr>
        <w:tc>
          <w:tcPr>
            <w:tcW w:w="538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free cash flow</w:t>
            </w:r>
          </w:p>
        </w:tc>
        <w:tc>
          <w:tcPr>
            <w:tcW w:w="2680" w:type="dxa"/>
            <w:vAlign w:val="bottom"/>
            <w:tcBorders>
              <w:bottom w:val="single" w:sz="8" w:color="71BF43"/>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71BF43"/>
            </w:tcBorders>
          </w:tcPr>
          <w:p>
            <w:pPr>
              <w:jc w:val="right"/>
              <w:ind w:right="8"/>
              <w:spacing w:after="0"/>
              <w:rPr>
                <w:sz w:val="20"/>
                <w:szCs w:val="20"/>
                <w:color w:val="auto"/>
              </w:rPr>
            </w:pPr>
            <w:r>
              <w:rPr>
                <w:rFonts w:ascii="Arial" w:cs="Arial" w:eastAsia="Arial" w:hAnsi="Arial"/>
                <w:sz w:val="14"/>
                <w:szCs w:val="14"/>
                <w:color w:val="auto"/>
              </w:rPr>
              <w:t>73.9</w:t>
            </w:r>
          </w:p>
        </w:tc>
        <w:tc>
          <w:tcPr>
            <w:tcW w:w="440" w:type="dxa"/>
            <w:vAlign w:val="bottom"/>
            <w:tcBorders>
              <w:bottom w:val="single" w:sz="8" w:color="71BF43"/>
            </w:tcBorders>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9.9</w:t>
            </w:r>
          </w:p>
        </w:tc>
        <w:tc>
          <w:tcPr>
            <w:tcW w:w="126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645.1 %</w:t>
            </w:r>
          </w:p>
        </w:tc>
        <w:tc>
          <w:tcPr>
            <w:tcW w:w="20" w:type="dxa"/>
            <w:vAlign w:val="bottom"/>
          </w:tcPr>
          <w:p>
            <w:pPr>
              <w:spacing w:after="0"/>
              <w:rPr>
                <w:sz w:val="17"/>
                <w:szCs w:val="17"/>
                <w:color w:val="auto"/>
              </w:rPr>
            </w:pPr>
          </w:p>
        </w:tc>
      </w:tr>
      <w:tr>
        <w:trPr>
          <w:trHeight w:val="690"/>
        </w:trPr>
        <w:tc>
          <w:tcPr>
            <w:tcW w:w="5380" w:type="dxa"/>
            <w:vAlign w:val="bottom"/>
          </w:tcPr>
          <w:p>
            <w:pPr>
              <w:spacing w:after="0"/>
              <w:rPr>
                <w:sz w:val="24"/>
                <w:szCs w:val="24"/>
                <w:color w:val="auto"/>
              </w:rPr>
            </w:pPr>
          </w:p>
        </w:tc>
        <w:tc>
          <w:tcPr>
            <w:tcW w:w="4600" w:type="dxa"/>
            <w:vAlign w:val="bottom"/>
            <w:gridSpan w:val="5"/>
          </w:tcPr>
          <w:p>
            <w:pPr>
              <w:jc w:val="right"/>
              <w:ind w:right="328"/>
              <w:spacing w:after="0"/>
              <w:rPr>
                <w:sz w:val="20"/>
                <w:szCs w:val="20"/>
                <w:color w:val="auto"/>
              </w:rPr>
            </w:pPr>
            <w:r>
              <w:rPr>
                <w:rFonts w:ascii="Arial" w:cs="Arial" w:eastAsia="Arial" w:hAnsi="Arial"/>
                <w:sz w:val="14"/>
                <w:szCs w:val="14"/>
                <w:color w:val="auto"/>
              </w:rPr>
              <w:t>Second Quarter 2021 Form 10-Q</w:t>
            </w:r>
          </w:p>
        </w:tc>
        <w:tc>
          <w:tcPr>
            <w:tcW w:w="1260" w:type="dxa"/>
            <w:vAlign w:val="bottom"/>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24"/>
                <w:szCs w:val="24"/>
                <w:color w:val="auto"/>
              </w:rPr>
            </w:pPr>
          </w:p>
        </w:tc>
      </w:tr>
      <w:tr>
        <w:trPr>
          <w:trHeight w:val="316"/>
        </w:trPr>
        <w:tc>
          <w:tcPr>
            <w:tcW w:w="53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-1370965</wp:posOffset>
            </wp:positionV>
            <wp:extent cx="23145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1457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-367665</wp:posOffset>
            </wp:positionV>
            <wp:extent cx="65976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however, do not vary significantly as a result of these factors, but do fluctuate on a quarterly basis due to varying timing of expenditures.</w:t>
      </w:r>
    </w:p>
    <w:p>
      <w:pPr>
        <w:spacing w:after="0" w:line="15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been lower in our second quarter as compared to our third and fourth quarters. Partially offsetting these favorable drivers of cash flow from operations in our third and fourth quarters are base salary merit increases, which were replaced in 2020 with performance-based equity awards due to COVID-19, but returned in July 2021. In addition, deferred revenues can vary on a seasonal basis for the same reasons. Our cash flow from financing is negatively impacted in our first quarter when most of our equity awards vest, as we pay taxes on behalf of our employees related to the settlement or exercise of equity awards. During the second quarter of 2021, however, we experienced an increase in the amount taxes we paid on behalf of our employees related to the settlement of equity awards when compared to the same period in 2020, as the equity granted in May 2020 in lieu of cash bonus plans and base salary merit increases vested. These patterns may change as a result of the continued shift to online giving, growth in volume of transactions for which we process payments, or as a result of acquisitions, new market opportunities, new solution introductions, the COVID-19 pandemic or other factors.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financial position: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June 30,</w:t>
            </w:r>
          </w:p>
        </w:tc>
        <w:tc>
          <w:tcPr>
            <w:tcW w:w="24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48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r>
      <w:tr>
        <w:trPr>
          <w:trHeight w:val="196"/>
        </w:trPr>
        <w:tc>
          <w:tcPr>
            <w:tcW w:w="71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20" w:type="dxa"/>
            <w:vAlign w:val="bottom"/>
            <w:tcBorders>
              <w:bottom w:val="single" w:sz="8" w:color="ACACAC"/>
            </w:tcBorders>
            <w:shd w:val="clear" w:color="auto" w:fill="ACACAC"/>
          </w:tcPr>
          <w:p>
            <w:pPr>
              <w:spacing w:after="0"/>
              <w:rPr>
                <w:sz w:val="17"/>
                <w:szCs w:val="17"/>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40" w:type="dxa"/>
            <w:vAlign w:val="bottom"/>
            <w:tcBorders>
              <w:bottom w:val="single" w:sz="8" w:color="ACACAC"/>
            </w:tcBorders>
            <w:shd w:val="clear" w:color="auto" w:fill="ACACAC"/>
          </w:tcPr>
          <w:p>
            <w:pPr>
              <w:spacing w:after="0"/>
              <w:rPr>
                <w:sz w:val="17"/>
                <w:szCs w:val="17"/>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4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28.3</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35.8</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1"/>
                <w:szCs w:val="2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105.2</w:t>
            </w: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Software development costs, net</w:t>
            </w:r>
          </w:p>
        </w:tc>
        <w:tc>
          <w:tcPr>
            <w:tcW w:w="42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116.6</w:t>
            </w:r>
          </w:p>
        </w:tc>
        <w:tc>
          <w:tcPr>
            <w:tcW w:w="24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111.8</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21"/>
                <w:szCs w:val="2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Total carrying value of debt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531.0</w:t>
            </w:r>
          </w:p>
        </w:tc>
        <w:tc>
          <w:tcPr>
            <w:tcW w:w="1480" w:type="dxa"/>
            <w:vAlign w:val="bottom"/>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Working capital</w:t>
            </w:r>
          </w:p>
        </w:tc>
        <w:tc>
          <w:tcPr>
            <w:tcW w:w="42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(186.6)</w:t>
            </w:r>
          </w:p>
        </w:tc>
        <w:tc>
          <w:tcPr>
            <w:tcW w:w="24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(194.3)</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4.0 %</w:t>
            </w:r>
          </w:p>
        </w:tc>
        <w:tc>
          <w:tcPr>
            <w:tcW w:w="20" w:type="dxa"/>
            <w:vAlign w:val="bottom"/>
          </w:tcPr>
          <w:p>
            <w:pPr>
              <w:spacing w:after="0"/>
              <w:rPr>
                <w:sz w:val="21"/>
                <w:szCs w:val="21"/>
                <w:color w:val="auto"/>
              </w:rPr>
            </w:pPr>
          </w:p>
        </w:tc>
      </w:tr>
      <w:tr>
        <w:trPr>
          <w:trHeight w:val="20"/>
        </w:trPr>
        <w:tc>
          <w:tcPr>
            <w:tcW w:w="7120" w:type="dxa"/>
            <w:vAlign w:val="bottom"/>
            <w:shd w:val="clear" w:color="auto" w:fill="71BF43"/>
          </w:tcPr>
          <w:p>
            <w:pPr>
              <w:spacing w:after="0" w:line="20" w:lineRule="exact"/>
              <w:rPr>
                <w:sz w:val="1"/>
                <w:szCs w:val="1"/>
                <w:color w:val="auto"/>
              </w:rPr>
            </w:pPr>
          </w:p>
        </w:tc>
        <w:tc>
          <w:tcPr>
            <w:tcW w:w="420" w:type="dxa"/>
            <w:vAlign w:val="bottom"/>
            <w:shd w:val="clear" w:color="auto" w:fill="71BF43"/>
          </w:tcPr>
          <w:p>
            <w:pPr>
              <w:spacing w:after="0" w:line="20" w:lineRule="exact"/>
              <w:rPr>
                <w:sz w:val="1"/>
                <w:szCs w:val="1"/>
                <w:color w:val="auto"/>
              </w:rPr>
            </w:pPr>
          </w:p>
        </w:tc>
        <w:tc>
          <w:tcPr>
            <w:tcW w:w="90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1080" w:type="dxa"/>
            <w:vAlign w:val="bottom"/>
            <w:shd w:val="clear" w:color="auto" w:fill="71BF43"/>
          </w:tcPr>
          <w:p>
            <w:pPr>
              <w:spacing w:after="0" w:line="20" w:lineRule="exact"/>
              <w:rPr>
                <w:sz w:val="1"/>
                <w:szCs w:val="1"/>
                <w:color w:val="auto"/>
              </w:rPr>
            </w:pPr>
          </w:p>
        </w:tc>
        <w:tc>
          <w:tcPr>
            <w:tcW w:w="148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cash flows: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shd w:val="clear" w:color="auto" w:fill="ACACAC"/>
          </w:tcPr>
          <w:p>
            <w:pPr>
              <w:spacing w:after="0"/>
              <w:rPr>
                <w:sz w:val="18"/>
                <w:szCs w:val="18"/>
                <w:color w:val="auto"/>
              </w:rPr>
            </w:pPr>
          </w:p>
        </w:tc>
        <w:tc>
          <w:tcPr>
            <w:tcW w:w="5620" w:type="dxa"/>
            <w:vAlign w:val="bottom"/>
            <w:shd w:val="clear" w:color="auto" w:fill="ACACAC"/>
          </w:tcPr>
          <w:p>
            <w:pPr>
              <w:spacing w:after="0"/>
              <w:rPr>
                <w:sz w:val="18"/>
                <w:szCs w:val="18"/>
                <w:color w:val="auto"/>
              </w:rPr>
            </w:pPr>
          </w:p>
        </w:tc>
        <w:tc>
          <w:tcPr>
            <w:tcW w:w="420" w:type="dxa"/>
            <w:vAlign w:val="bottom"/>
            <w:shd w:val="clear" w:color="auto" w:fill="ACACAC"/>
          </w:tcPr>
          <w:p>
            <w:pPr>
              <w:spacing w:after="0"/>
              <w:rPr>
                <w:sz w:val="18"/>
                <w:szCs w:val="18"/>
                <w:color w:val="auto"/>
              </w:rPr>
            </w:pPr>
          </w:p>
        </w:tc>
        <w:tc>
          <w:tcPr>
            <w:tcW w:w="900" w:type="dxa"/>
            <w:vAlign w:val="bottom"/>
            <w:shd w:val="clear" w:color="auto" w:fill="ACACAC"/>
          </w:tcPr>
          <w:p>
            <w:pPr>
              <w:spacing w:after="0"/>
              <w:rPr>
                <w:sz w:val="18"/>
                <w:szCs w:val="18"/>
                <w:color w:val="auto"/>
              </w:rPr>
            </w:pPr>
          </w:p>
        </w:tc>
        <w:tc>
          <w:tcPr>
            <w:tcW w:w="420" w:type="dxa"/>
            <w:vAlign w:val="bottom"/>
            <w:shd w:val="clear" w:color="auto" w:fill="ACACAC"/>
          </w:tcPr>
          <w:p>
            <w:pPr>
              <w:spacing w:after="0"/>
              <w:rPr>
                <w:sz w:val="18"/>
                <w:szCs w:val="18"/>
                <w:color w:val="auto"/>
              </w:rPr>
            </w:pPr>
          </w:p>
        </w:tc>
        <w:tc>
          <w:tcPr>
            <w:tcW w:w="23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Six months ended June 30,</w:t>
            </w:r>
          </w:p>
        </w:tc>
        <w:tc>
          <w:tcPr>
            <w:tcW w:w="20" w:type="dxa"/>
            <w:vAlign w:val="bottom"/>
            <w:shd w:val="clear" w:color="auto" w:fill="ACACAC"/>
          </w:tcPr>
          <w:p>
            <w:pPr>
              <w:spacing w:after="0"/>
              <w:rPr>
                <w:sz w:val="18"/>
                <w:szCs w:val="18"/>
                <w:color w:val="auto"/>
              </w:rPr>
            </w:pPr>
          </w:p>
        </w:tc>
      </w:tr>
      <w:tr>
        <w:trPr>
          <w:trHeight w:val="235"/>
        </w:trPr>
        <w:tc>
          <w:tcPr>
            <w:tcW w:w="15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5620" w:type="dxa"/>
            <w:vAlign w:val="bottom"/>
            <w:tcBorders>
              <w:bottom w:val="single" w:sz="8" w:color="ACACAC"/>
            </w:tcBorders>
            <w:shd w:val="clear" w:color="auto" w:fill="ACACAC"/>
          </w:tcPr>
          <w:p>
            <w:pPr>
              <w:spacing w:after="0"/>
              <w:rPr>
                <w:sz w:val="20"/>
                <w:szCs w:val="20"/>
                <w:color w:val="auto"/>
              </w:rPr>
            </w:pPr>
          </w:p>
        </w:tc>
        <w:tc>
          <w:tcPr>
            <w:tcW w:w="420" w:type="dxa"/>
            <w:vAlign w:val="bottom"/>
            <w:tcBorders>
              <w:bottom w:val="single" w:sz="8" w:color="ACACAC"/>
            </w:tcBorders>
            <w:shd w:val="clear" w:color="auto" w:fill="ACACAC"/>
          </w:tcPr>
          <w:p>
            <w:pPr>
              <w:spacing w:after="0"/>
              <w:rPr>
                <w:sz w:val="20"/>
                <w:szCs w:val="20"/>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20" w:type="dxa"/>
            <w:vAlign w:val="bottom"/>
            <w:tcBorders>
              <w:bottom w:val="single" w:sz="8" w:color="ACACAC"/>
            </w:tcBorders>
            <w:shd w:val="clear" w:color="auto" w:fill="ACACAC"/>
          </w:tcPr>
          <w:p>
            <w:pPr>
              <w:spacing w:after="0"/>
              <w:rPr>
                <w:sz w:val="20"/>
                <w:szCs w:val="20"/>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4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712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99.9</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37.5</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166.5 %</w:t>
            </w:r>
          </w:p>
        </w:tc>
        <w:tc>
          <w:tcPr>
            <w:tcW w:w="20" w:type="dxa"/>
            <w:vAlign w:val="bottom"/>
          </w:tcPr>
          <w:p>
            <w:pPr>
              <w:spacing w:after="0"/>
              <w:rPr>
                <w:sz w:val="21"/>
                <w:szCs w:val="21"/>
                <w:color w:val="auto"/>
              </w:rPr>
            </w:pPr>
          </w:p>
        </w:tc>
      </w:tr>
      <w:tr>
        <w:trPr>
          <w:trHeight w:val="243"/>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r>
      <w:tr>
        <w:trPr>
          <w:trHeight w:val="27"/>
        </w:trPr>
        <w:tc>
          <w:tcPr>
            <w:tcW w:w="7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12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F4F4F4"/>
            </w:tcBorders>
            <w:shd w:val="clear" w:color="auto" w:fill="F4F4F4"/>
          </w:tcPr>
          <w:p>
            <w:pPr>
              <w:spacing w:after="0"/>
              <w:rPr>
                <w:sz w:val="23"/>
                <w:szCs w:val="23"/>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(257.0)</w:t>
            </w:r>
          </w:p>
        </w:tc>
        <w:tc>
          <w:tcPr>
            <w:tcW w:w="420" w:type="dxa"/>
            <w:vAlign w:val="bottom"/>
            <w:tcBorders>
              <w:bottom w:val="single" w:sz="8" w:color="F4F4F4"/>
            </w:tcBorders>
            <w:shd w:val="clear" w:color="auto" w:fill="F4F4F4"/>
          </w:tcPr>
          <w:p>
            <w:pPr>
              <w:spacing w:after="0"/>
              <w:rPr>
                <w:sz w:val="23"/>
                <w:szCs w:val="23"/>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(132.5)</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93.9 %</w:t>
            </w:r>
          </w:p>
        </w:tc>
        <w:tc>
          <w:tcPr>
            <w:tcW w:w="20" w:type="dxa"/>
            <w:vAlign w:val="bottom"/>
          </w:tcPr>
          <w:p>
            <w:pPr>
              <w:spacing w:after="0"/>
              <w:rPr>
                <w:sz w:val="23"/>
                <w:szCs w:val="23"/>
                <w:color w:val="auto"/>
              </w:rPr>
            </w:pPr>
          </w:p>
        </w:tc>
      </w:tr>
      <w:tr>
        <w:trPr>
          <w:trHeight w:val="684"/>
        </w:trPr>
        <w:tc>
          <w:tcPr>
            <w:tcW w:w="1500" w:type="dxa"/>
            <w:vAlign w:val="bottom"/>
            <w:tcBorders>
              <w:top w:val="single" w:sz="8" w:color="71BF43"/>
            </w:tcBorders>
          </w:tcPr>
          <w:p>
            <w:pPr>
              <w:ind w:left="20"/>
              <w:spacing w:after="0"/>
              <w:rPr>
                <w:sz w:val="20"/>
                <w:szCs w:val="20"/>
                <w:color w:val="auto"/>
              </w:rPr>
            </w:pPr>
            <w:r>
              <w:rPr>
                <w:rFonts w:ascii="Arial" w:cs="Arial" w:eastAsia="Arial" w:hAnsi="Arial"/>
                <w:sz w:val="14"/>
                <w:szCs w:val="14"/>
                <w:color w:val="auto"/>
              </w:rPr>
              <w:t>38</w:t>
            </w:r>
          </w:p>
        </w:tc>
        <w:tc>
          <w:tcPr>
            <w:tcW w:w="5620" w:type="dxa"/>
            <w:vAlign w:val="bottom"/>
            <w:tcBorders>
              <w:top w:val="single" w:sz="8" w:color="71BF43"/>
            </w:tcBorders>
          </w:tcPr>
          <w:p>
            <w:pPr>
              <w:ind w:left="140"/>
              <w:spacing w:after="0"/>
              <w:rPr>
                <w:sz w:val="20"/>
                <w:szCs w:val="20"/>
                <w:color w:val="auto"/>
              </w:rPr>
            </w:pPr>
            <w:r>
              <w:rPr>
                <w:rFonts w:ascii="Arial" w:cs="Arial" w:eastAsia="Arial" w:hAnsi="Arial"/>
                <w:sz w:val="14"/>
                <w:szCs w:val="14"/>
                <w:color w:val="auto"/>
              </w:rPr>
              <w:t>Second Quarter 2021 Form 10-Q</w:t>
            </w:r>
          </w:p>
        </w:tc>
        <w:tc>
          <w:tcPr>
            <w:tcW w:w="420" w:type="dxa"/>
            <w:vAlign w:val="bottom"/>
            <w:tcBorders>
              <w:top w:val="single" w:sz="8" w:color="71BF43"/>
            </w:tcBorders>
          </w:tcPr>
          <w:p>
            <w:pPr>
              <w:spacing w:after="0"/>
              <w:rPr>
                <w:sz w:val="24"/>
                <w:szCs w:val="24"/>
                <w:color w:val="auto"/>
              </w:rPr>
            </w:pPr>
          </w:p>
        </w:tc>
        <w:tc>
          <w:tcPr>
            <w:tcW w:w="900" w:type="dxa"/>
            <w:vAlign w:val="bottom"/>
            <w:tcBorders>
              <w:top w:val="single" w:sz="8" w:color="71BF43"/>
            </w:tcBorders>
          </w:tcPr>
          <w:p>
            <w:pPr>
              <w:spacing w:after="0"/>
              <w:rPr>
                <w:sz w:val="24"/>
                <w:szCs w:val="24"/>
                <w:color w:val="auto"/>
              </w:rPr>
            </w:pPr>
          </w:p>
        </w:tc>
        <w:tc>
          <w:tcPr>
            <w:tcW w:w="420" w:type="dxa"/>
            <w:vAlign w:val="bottom"/>
            <w:tcBorders>
              <w:top w:val="single" w:sz="8" w:color="71BF43"/>
            </w:tcBorders>
          </w:tcPr>
          <w:p>
            <w:pPr>
              <w:spacing w:after="0"/>
              <w:rPr>
                <w:sz w:val="24"/>
                <w:szCs w:val="24"/>
                <w:color w:val="auto"/>
              </w:rPr>
            </w:pPr>
          </w:p>
        </w:tc>
        <w:tc>
          <w:tcPr>
            <w:tcW w:w="900" w:type="dxa"/>
            <w:vAlign w:val="bottom"/>
            <w:tcBorders>
              <w:top w:val="single" w:sz="8" w:color="71BF43"/>
            </w:tcBorders>
          </w:tcPr>
          <w:p>
            <w:pPr>
              <w:spacing w:after="0"/>
              <w:rPr>
                <w:sz w:val="24"/>
                <w:szCs w:val="24"/>
                <w:color w:val="auto"/>
              </w:rPr>
            </w:pPr>
          </w:p>
        </w:tc>
        <w:tc>
          <w:tcPr>
            <w:tcW w:w="1480" w:type="dxa"/>
            <w:vAlign w:val="bottom"/>
            <w:tcBorders>
              <w:top w:val="single" w:sz="8" w:color="71BF43"/>
            </w:tcBorders>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15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-1336675</wp:posOffset>
            </wp:positionV>
            <wp:extent cx="26231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2318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principal sources of liquidity are our operating cash flow, funds available under the 2020 Credit Facility and cash on hand. Our operating cash flow depends on continued customer renewal of our subscription and maintenance arrangements, market acceptance of our solutions and services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To the extent we undertake future material acquisitions, investments or unanticipated capital expenditures, we may require additional capital. In that context, we regularly evaluate opportunities to enhance our capital structure including through potential debt or equity issuances.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2021, our total cash and cash equivalents balance included approximately $14.4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operating activities increased by $62.4 million during the six months ended June 30, 2021, when compared to the same period in 2020, primarily due to a $ 54.6 million increase in cash flow from operations associated with working capital and an $ 7.9 million increase in net income adjusted for non-cash expenses. Throughout both periods, our cash flows from operations were derived principally from: (i) our earnings from on-going operations prior to non-cash expenses such as depreciation, amortization, stock-based compensation, amortization of deferred financing costs and debt discount and adjustments to our provision for credit losses and sales returns; and (ii) changes in our working capital.</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Working capital changes are composed of changes in accounts receivable, prepaid expenses and other assets, trade accounts payable, accrued expenses and other liabilities, and deferred revenue. The increase in cash flow from operations associated with working capital during the six months ended June 30, 2021, when compared to the same period in 2020, was primarily due to:</w:t>
      </w:r>
    </w:p>
    <w:p>
      <w:pPr>
        <w:spacing w:after="0" w:line="148" w:lineRule="exact"/>
        <w:rPr>
          <w:sz w:val="20"/>
          <w:szCs w:val="20"/>
          <w:color w:val="auto"/>
        </w:rPr>
      </w:pPr>
    </w:p>
    <w:p>
      <w:pPr>
        <w:ind w:left="660" w:hanging="328"/>
        <w:spacing w:after="0" w:line="26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payment of our 2019 cash bonus plans in 2020 and the replacement of our 2020 cash bonus plans with performance-based equity awards (which we expect will continue going forward);</w:t>
      </w:r>
    </w:p>
    <w:p>
      <w:pPr>
        <w:spacing w:after="0" w:line="143" w:lineRule="exact"/>
        <w:rPr>
          <w:rFonts w:ascii="Arial" w:cs="Arial" w:eastAsia="Arial" w:hAnsi="Arial"/>
          <w:sz w:val="18"/>
          <w:szCs w:val="18"/>
          <w:color w:val="auto"/>
        </w:rPr>
      </w:pPr>
    </w:p>
    <w:p>
      <w:pPr>
        <w:ind w:left="660" w:hanging="328"/>
        <w:spacing w:after="0" w:line="26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collection of our accounts receivable balances, including early progress in initiatives to bring our pricing in line with the market; and</w:t>
      </w:r>
    </w:p>
    <w:p>
      <w:pPr>
        <w:spacing w:after="0" w:line="143"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timing of vendor payments.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used in investing activities of $26.0 million decreased by $1.6 million during the six months ended June 30, 2021, when compared to the same period in 2020.</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2021, we used $19.9 million for software development costs, which was down $ 1.8 million from cash spent during the same period in 2020, primarily due to less costs qualifying for capitalization under the internal-use software accounting guidance. We increased engineering hiring beginning in the fourth quarter of 2020 and continue to invest in our innovative cloud solutions, as well as development activities for Blackbaud SKY, our modern cloud platform.</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spent $6.1 million of cash for purchases of property and equipment during the six months ended June 30, 2021, which was in line with what we spent during the same period in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we had a net increase in borrowings of $14.8 million.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$ 38.7 million to satisfy tax obligations of employees upon settlement of equity awards during the six months ended June 30, 2021 compared to $21.0 million during the same period in 2020. The amount of taxes paid by us on behalf of employees related to the settlement of equity awards varies from period to period based upon the timing of grants and vesting, as well as the market price for shares of our common stock at the time of settlement. While most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215900</wp:posOffset>
            </wp:positionV>
            <wp:extent cx="65976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equity awards currently vest in our first quarter, the equity awards that we granted in May 2020 to replace our 2020 cash bonus plans and base salary merit increases vested in May 2021. During the six months ended June 30, 2020, we paid dividends of $6.0 million and we did not pay dividends during the same period in 2021, as we discontinued the declaration and payment of all cash dividends, beginning with the second quarter of 2020.</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in financing activities associated with changes in restricted cash due to customers increased $48.4 million during the six months ended June 30, 2021 when compared to the same period in 2020, as the amount of restricted cash held and payable by us to customers as of December 31, 2020 was larger than at the same date in 2019 primarily due to the timing of year-end donations.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November 2020, our Board of Directors reauthorized and expanded a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During the three and six months ended June 30, 2021, we purchased 405,047 and 870,868 shares for $30.0 million and $58.1 million, respectively. The remaining amount available to purchase stock under the stock repurchase program was $150.9 million as of June 30,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Credit Facility</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Historically, we have drawn on our credit facility from time to time to help us meet financial needs, primarily due to the seasonality of our cash flows from operations and financing for business acquisitions. At June 30, 2021, our available borrowing capacity under the 2020 Credit Facility was $409.6 million. The 2020 Credit Facility matures in October 2025.</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June 30, 2021, the carrying amount of our debt under the 2020 Credit Facility was $483.1 million. Our average daily borrowings during the three and six months ended June 30, 2021 were $495.6 million and $492.6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financial covenants under the 2020 Credit Facility: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9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286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Requirement</w:t>
            </w:r>
          </w:p>
        </w:tc>
        <w:tc>
          <w:tcPr>
            <w:tcW w:w="337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Ratio as of June 30, 2021</w:t>
            </w:r>
          </w:p>
        </w:tc>
      </w:tr>
      <w:tr>
        <w:trPr>
          <w:trHeight w:val="250"/>
        </w:trPr>
        <w:tc>
          <w:tcPr>
            <w:tcW w:w="499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leverage ratio</w:t>
            </w:r>
          </w:p>
        </w:tc>
        <w:tc>
          <w:tcPr>
            <w:tcW w:w="2860"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9"/>
              </w:rPr>
              <w:t>≤ 4.00 to 1.00</w:t>
            </w:r>
          </w:p>
        </w:tc>
        <w:tc>
          <w:tcPr>
            <w:tcW w:w="3370"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8"/>
              </w:rPr>
              <w:t>1.78 to 1.00</w:t>
            </w:r>
          </w:p>
        </w:tc>
      </w:tr>
      <w:tr>
        <w:trPr>
          <w:trHeight w:val="243"/>
        </w:trPr>
        <w:tc>
          <w:tcPr>
            <w:tcW w:w="4990" w:type="dxa"/>
            <w:vAlign w:val="bottom"/>
          </w:tcPr>
          <w:p>
            <w:pPr>
              <w:ind w:left="20"/>
              <w:spacing w:after="0"/>
              <w:rPr>
                <w:sz w:val="20"/>
                <w:szCs w:val="20"/>
                <w:color w:val="auto"/>
              </w:rPr>
            </w:pPr>
            <w:r>
              <w:rPr>
                <w:rFonts w:ascii="Arial" w:cs="Arial" w:eastAsia="Arial" w:hAnsi="Arial"/>
                <w:sz w:val="18"/>
                <w:szCs w:val="18"/>
                <w:color w:val="auto"/>
              </w:rPr>
              <w:t>Interest coverage ratio</w:t>
            </w:r>
          </w:p>
        </w:tc>
        <w:tc>
          <w:tcPr>
            <w:tcW w:w="2860" w:type="dxa"/>
            <w:vAlign w:val="bottom"/>
          </w:tcPr>
          <w:p>
            <w:pPr>
              <w:jc w:val="center"/>
              <w:spacing w:after="0"/>
              <w:rPr>
                <w:sz w:val="20"/>
                <w:szCs w:val="20"/>
                <w:color w:val="auto"/>
              </w:rPr>
            </w:pPr>
            <w:r>
              <w:rPr>
                <w:rFonts w:ascii="Arial" w:cs="Arial" w:eastAsia="Arial" w:hAnsi="Arial"/>
                <w:sz w:val="18"/>
                <w:szCs w:val="18"/>
                <w:color w:val="auto"/>
                <w:w w:val="99"/>
              </w:rPr>
              <w:t>≥ 2.50 to 1.00</w:t>
            </w:r>
          </w:p>
        </w:tc>
        <w:tc>
          <w:tcPr>
            <w:tcW w:w="3370" w:type="dxa"/>
            <w:vAlign w:val="bottom"/>
          </w:tcPr>
          <w:p>
            <w:pPr>
              <w:jc w:val="center"/>
              <w:spacing w:after="0"/>
              <w:rPr>
                <w:sz w:val="20"/>
                <w:szCs w:val="20"/>
                <w:color w:val="auto"/>
              </w:rPr>
            </w:pPr>
            <w:r>
              <w:rPr>
                <w:rFonts w:ascii="Arial" w:cs="Arial" w:eastAsia="Arial" w:hAnsi="Arial"/>
                <w:sz w:val="18"/>
                <w:szCs w:val="18"/>
                <w:color w:val="auto"/>
              </w:rPr>
              <w:t>15.87 to 1.00</w:t>
            </w:r>
          </w:p>
        </w:tc>
      </w:tr>
      <w:tr>
        <w:trPr>
          <w:trHeight w:val="27"/>
        </w:trPr>
        <w:tc>
          <w:tcPr>
            <w:tcW w:w="4990" w:type="dxa"/>
            <w:vAlign w:val="bottom"/>
            <w:tcBorders>
              <w:bottom w:val="single" w:sz="8" w:color="71BF43"/>
            </w:tcBorders>
          </w:tcPr>
          <w:p>
            <w:pPr>
              <w:spacing w:after="0"/>
              <w:rPr>
                <w:sz w:val="2"/>
                <w:szCs w:val="2"/>
                <w:color w:val="auto"/>
              </w:rPr>
            </w:pPr>
          </w:p>
        </w:tc>
        <w:tc>
          <w:tcPr>
            <w:tcW w:w="2860" w:type="dxa"/>
            <w:vAlign w:val="bottom"/>
            <w:tcBorders>
              <w:bottom w:val="single" w:sz="8" w:color="71BF43"/>
            </w:tcBorders>
          </w:tcPr>
          <w:p>
            <w:pPr>
              <w:spacing w:after="0"/>
              <w:rPr>
                <w:sz w:val="2"/>
                <w:szCs w:val="2"/>
                <w:color w:val="auto"/>
              </w:rPr>
            </w:pPr>
          </w:p>
        </w:tc>
        <w:tc>
          <w:tcPr>
            <w:tcW w:w="3370" w:type="dxa"/>
            <w:vAlign w:val="bottom"/>
            <w:tcBorders>
              <w:bottom w:val="single" w:sz="8" w:color="71BF43"/>
            </w:tcBorders>
          </w:tcPr>
          <w:p>
            <w:pPr>
              <w:spacing w:after="0"/>
              <w:rPr>
                <w:sz w:val="2"/>
                <w:szCs w:val="2"/>
                <w:color w:val="auto"/>
              </w:rPr>
            </w:pPr>
          </w:p>
        </w:tc>
      </w:tr>
    </w:tbl>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June 30, 2021, we were in compliance with our debt covenants under the 2020 Credit Facility.</w:t>
      </w:r>
    </w:p>
    <w:p>
      <w:pPr>
        <w:spacing w:after="0" w:line="31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40</w:t>
      </w:r>
      <w:r>
        <w:rPr>
          <w:sz w:val="20"/>
          <w:szCs w:val="20"/>
          <w:color w:val="auto"/>
        </w:rPr>
        <w:tab/>
      </w:r>
      <w:r>
        <w:rPr>
          <w:sz w:val="1"/>
          <w:szCs w:val="1"/>
          <w:color w:val="auto"/>
        </w:rPr>
        <w:drawing>
          <wp:inline distT="0" distB="0" distL="0" distR="0">
            <wp:extent cx="651510" cy="1714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had contractual obligations with future minimum commitments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60" w:type="dxa"/>
            <w:vAlign w:val="bottom"/>
            <w:shd w:val="clear" w:color="auto" w:fill="ACACAC"/>
          </w:tcPr>
          <w:p>
            <w:pPr>
              <w:spacing w:after="0"/>
              <w:rPr>
                <w:sz w:val="18"/>
                <w:szCs w:val="18"/>
                <w:color w:val="auto"/>
              </w:rPr>
            </w:pPr>
          </w:p>
        </w:tc>
        <w:tc>
          <w:tcPr>
            <w:tcW w:w="500" w:type="dxa"/>
            <w:vAlign w:val="bottom"/>
            <w:shd w:val="clear" w:color="auto" w:fill="ACACAC"/>
          </w:tcPr>
          <w:p>
            <w:pPr>
              <w:spacing w:after="0"/>
              <w:rPr>
                <w:sz w:val="18"/>
                <w:szCs w:val="18"/>
                <w:color w:val="auto"/>
              </w:rPr>
            </w:pPr>
          </w:p>
        </w:tc>
        <w:tc>
          <w:tcPr>
            <w:tcW w:w="900" w:type="dxa"/>
            <w:vAlign w:val="bottom"/>
            <w:shd w:val="clear" w:color="auto" w:fill="ACACAC"/>
          </w:tcPr>
          <w:p>
            <w:pPr>
              <w:spacing w:after="0"/>
              <w:rPr>
                <w:sz w:val="18"/>
                <w:szCs w:val="18"/>
                <w:color w:val="auto"/>
              </w:rPr>
            </w:pPr>
          </w:p>
        </w:tc>
        <w:tc>
          <w:tcPr>
            <w:tcW w:w="360" w:type="dxa"/>
            <w:vAlign w:val="bottom"/>
            <w:shd w:val="clear" w:color="auto" w:fill="ACACAC"/>
          </w:tcPr>
          <w:p>
            <w:pPr>
              <w:spacing w:after="0"/>
              <w:rPr>
                <w:sz w:val="18"/>
                <w:szCs w:val="18"/>
                <w:color w:val="auto"/>
              </w:rPr>
            </w:pPr>
          </w:p>
        </w:tc>
        <w:tc>
          <w:tcPr>
            <w:tcW w:w="1060" w:type="dxa"/>
            <w:vAlign w:val="bottom"/>
            <w:shd w:val="clear" w:color="auto" w:fill="ACACAC"/>
          </w:tcPr>
          <w:p>
            <w:pPr>
              <w:spacing w:after="0"/>
              <w:rPr>
                <w:sz w:val="18"/>
                <w:szCs w:val="18"/>
                <w:color w:val="auto"/>
              </w:rPr>
            </w:pPr>
          </w:p>
        </w:tc>
        <w:tc>
          <w:tcPr>
            <w:tcW w:w="440" w:type="dxa"/>
            <w:vAlign w:val="bottom"/>
            <w:shd w:val="clear" w:color="auto" w:fill="ACACAC"/>
          </w:tcPr>
          <w:p>
            <w:pPr>
              <w:spacing w:after="0"/>
              <w:rPr>
                <w:sz w:val="18"/>
                <w:szCs w:val="18"/>
                <w:color w:val="auto"/>
              </w:rPr>
            </w:pPr>
          </w:p>
        </w:tc>
        <w:tc>
          <w:tcPr>
            <w:tcW w:w="960" w:type="dxa"/>
            <w:vAlign w:val="bottom"/>
            <w:shd w:val="clear" w:color="auto" w:fill="ACACAC"/>
          </w:tcPr>
          <w:p>
            <w:pPr>
              <w:spacing w:after="0"/>
              <w:rPr>
                <w:sz w:val="18"/>
                <w:szCs w:val="18"/>
                <w:color w:val="auto"/>
              </w:rPr>
            </w:pPr>
          </w:p>
        </w:tc>
        <w:tc>
          <w:tcPr>
            <w:tcW w:w="440" w:type="dxa"/>
            <w:vAlign w:val="bottom"/>
            <w:shd w:val="clear" w:color="auto" w:fill="ACACAC"/>
          </w:tcPr>
          <w:p>
            <w:pPr>
              <w:spacing w:after="0"/>
              <w:rPr>
                <w:sz w:val="18"/>
                <w:szCs w:val="18"/>
                <w:color w:val="auto"/>
              </w:rPr>
            </w:pPr>
          </w:p>
        </w:tc>
        <w:tc>
          <w:tcPr>
            <w:tcW w:w="23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Payments due by period</w:t>
            </w: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60" w:type="dxa"/>
            <w:vAlign w:val="bottom"/>
            <w:shd w:val="clear" w:color="auto" w:fill="ACACAC"/>
          </w:tcPr>
          <w:p>
            <w:pPr>
              <w:spacing w:after="0"/>
              <w:rPr>
                <w:sz w:val="17"/>
                <w:szCs w:val="17"/>
                <w:color w:val="auto"/>
              </w:rPr>
            </w:pPr>
          </w:p>
        </w:tc>
        <w:tc>
          <w:tcPr>
            <w:tcW w:w="500" w:type="dxa"/>
            <w:vAlign w:val="bottom"/>
            <w:shd w:val="clear" w:color="auto" w:fill="ACACAC"/>
          </w:tcPr>
          <w:p>
            <w:pPr>
              <w:spacing w:after="0"/>
              <w:rPr>
                <w:sz w:val="17"/>
                <w:szCs w:val="17"/>
                <w:color w:val="auto"/>
              </w:rPr>
            </w:pPr>
          </w:p>
        </w:tc>
        <w:tc>
          <w:tcPr>
            <w:tcW w:w="9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(1)</w:t>
            </w:r>
          </w:p>
        </w:tc>
        <w:tc>
          <w:tcPr>
            <w:tcW w:w="36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Less than 1</w:t>
            </w:r>
          </w:p>
        </w:tc>
        <w:tc>
          <w:tcPr>
            <w:tcW w:w="440" w:type="dxa"/>
            <w:vAlign w:val="bottom"/>
            <w:shd w:val="clear" w:color="auto" w:fill="ACACAC"/>
          </w:tcPr>
          <w:p>
            <w:pPr>
              <w:spacing w:after="0"/>
              <w:rPr>
                <w:sz w:val="17"/>
                <w:szCs w:val="17"/>
                <w:color w:val="auto"/>
              </w:rPr>
            </w:pPr>
          </w:p>
        </w:tc>
        <w:tc>
          <w:tcPr>
            <w:tcW w:w="960" w:type="dxa"/>
            <w:vAlign w:val="bottom"/>
            <w:shd w:val="clear" w:color="auto" w:fill="ACACAC"/>
          </w:tcPr>
          <w:p>
            <w:pPr>
              <w:spacing w:after="0"/>
              <w:rPr>
                <w:sz w:val="17"/>
                <w:szCs w:val="17"/>
                <w:color w:val="auto"/>
              </w:rPr>
            </w:pPr>
          </w:p>
        </w:tc>
        <w:tc>
          <w:tcPr>
            <w:tcW w:w="44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More than 5</w:t>
            </w: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(in millions)</w:t>
            </w:r>
          </w:p>
        </w:tc>
        <w:tc>
          <w:tcPr>
            <w:tcW w:w="500" w:type="dxa"/>
            <w:vAlign w:val="bottom"/>
            <w:shd w:val="clear" w:color="auto" w:fill="ACACAC"/>
          </w:tcPr>
          <w:p>
            <w:pPr>
              <w:spacing w:after="0"/>
              <w:rPr>
                <w:sz w:val="18"/>
                <w:szCs w:val="18"/>
                <w:color w:val="auto"/>
              </w:rPr>
            </w:pPr>
          </w:p>
        </w:tc>
        <w:tc>
          <w:tcPr>
            <w:tcW w:w="900" w:type="dxa"/>
            <w:vAlign w:val="bottom"/>
            <w:vMerge w:val="continue"/>
            <w:shd w:val="clear" w:color="auto" w:fill="ACACAC"/>
          </w:tcPr>
          <w:p>
            <w:pPr>
              <w:spacing w:after="0"/>
              <w:rPr>
                <w:sz w:val="18"/>
                <w:szCs w:val="18"/>
                <w:color w:val="auto"/>
              </w:rPr>
            </w:pPr>
          </w:p>
        </w:tc>
        <w:tc>
          <w:tcPr>
            <w:tcW w:w="360" w:type="dxa"/>
            <w:vAlign w:val="bottom"/>
            <w:shd w:val="clear" w:color="auto" w:fill="ACACAC"/>
          </w:tcPr>
          <w:p>
            <w:pPr>
              <w:spacing w:after="0"/>
              <w:rPr>
                <w:sz w:val="18"/>
                <w:szCs w:val="18"/>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w:t>
            </w:r>
          </w:p>
        </w:tc>
        <w:tc>
          <w:tcPr>
            <w:tcW w:w="440" w:type="dxa"/>
            <w:vAlign w:val="bottom"/>
            <w:shd w:val="clear" w:color="auto" w:fill="ACACAC"/>
          </w:tcPr>
          <w:p>
            <w:pPr>
              <w:spacing w:after="0"/>
              <w:rPr>
                <w:sz w:val="18"/>
                <w:szCs w:val="18"/>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1-3 years</w:t>
            </w:r>
          </w:p>
        </w:tc>
        <w:tc>
          <w:tcPr>
            <w:tcW w:w="440" w:type="dxa"/>
            <w:vAlign w:val="bottom"/>
            <w:shd w:val="clear" w:color="auto" w:fill="ACACAC"/>
          </w:tcPr>
          <w:p>
            <w:pPr>
              <w:spacing w:after="0"/>
              <w:rPr>
                <w:sz w:val="18"/>
                <w:szCs w:val="18"/>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3-5 years</w:t>
            </w:r>
          </w:p>
        </w:tc>
        <w:tc>
          <w:tcPr>
            <w:tcW w:w="340" w:type="dxa"/>
            <w:vAlign w:val="bottom"/>
            <w:shd w:val="clear" w:color="auto" w:fill="ACACAC"/>
          </w:tcPr>
          <w:p>
            <w:pPr>
              <w:spacing w:after="0"/>
              <w:rPr>
                <w:sz w:val="18"/>
                <w:szCs w:val="18"/>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w:t>
            </w: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Recorded contractual obligations:</w:t>
            </w:r>
          </w:p>
        </w:tc>
        <w:tc>
          <w:tcPr>
            <w:tcW w:w="50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160" w:type="dxa"/>
            <w:vAlign w:val="bottom"/>
          </w:tcPr>
          <w:p>
            <w:pPr>
              <w:ind w:left="140"/>
              <w:spacing w:after="0"/>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547.3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458.6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Interest payments on debt</w:t>
            </w:r>
            <w:r>
              <w:rPr>
                <w:rFonts w:ascii="Arial" w:cs="Arial" w:eastAsia="Arial" w:hAnsi="Arial"/>
                <w:sz w:val="23"/>
                <w:szCs w:val="23"/>
                <w:color w:val="auto"/>
                <w:vertAlign w:val="superscript"/>
              </w:rPr>
              <w:t>(3)</w:t>
            </w:r>
          </w:p>
        </w:tc>
        <w:tc>
          <w:tcPr>
            <w:tcW w:w="500" w:type="dxa"/>
            <w:vAlign w:val="bottom"/>
            <w:shd w:val="clear" w:color="auto" w:fill="F4F4F4"/>
          </w:tcPr>
          <w:p>
            <w:pPr>
              <w:spacing w:after="0"/>
              <w:rPr>
                <w:sz w:val="24"/>
                <w:szCs w:val="24"/>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F4F4F4"/>
          </w:tcPr>
          <w:p>
            <w:pPr>
              <w:spacing w:after="0"/>
              <w:rPr>
                <w:sz w:val="24"/>
                <w:szCs w:val="24"/>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F4F4F4"/>
          </w:tcPr>
          <w:p>
            <w:pPr>
              <w:spacing w:after="0"/>
              <w:rPr>
                <w:sz w:val="24"/>
                <w:szCs w:val="24"/>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F4F4F4"/>
          </w:tcPr>
          <w:p>
            <w:pPr>
              <w:spacing w:after="0"/>
              <w:rPr>
                <w:sz w:val="24"/>
                <w:szCs w:val="24"/>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F4F4F4"/>
          </w:tcPr>
          <w:p>
            <w:pPr>
              <w:spacing w:after="0"/>
              <w:rPr>
                <w:sz w:val="24"/>
                <w:szCs w:val="24"/>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60" w:type="dxa"/>
            <w:vAlign w:val="bottom"/>
          </w:tcPr>
          <w:p>
            <w:pPr>
              <w:ind w:left="14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(4)</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F4F4F4"/>
          </w:tcPr>
          <w:p>
            <w:pPr>
              <w:spacing w:after="0"/>
              <w:rPr>
                <w:sz w:val="23"/>
                <w:szCs w:val="23"/>
                <w:color w:val="auto"/>
              </w:rPr>
            </w:pPr>
          </w:p>
        </w:tc>
        <w:tc>
          <w:tcPr>
            <w:tcW w:w="500" w:type="dxa"/>
            <w:vAlign w:val="bottom"/>
            <w:shd w:val="clear" w:color="auto" w:fill="F4F4F4"/>
          </w:tcPr>
          <w:p>
            <w:pPr>
              <w:spacing w:after="0"/>
              <w:rPr>
                <w:sz w:val="23"/>
                <w:szCs w:val="23"/>
                <w:color w:val="auto"/>
              </w:rPr>
            </w:pPr>
          </w:p>
        </w:tc>
        <w:tc>
          <w:tcPr>
            <w:tcW w:w="900" w:type="dxa"/>
            <w:vAlign w:val="bottom"/>
            <w:shd w:val="clear" w:color="auto" w:fill="F4F4F4"/>
          </w:tcPr>
          <w:p>
            <w:pPr>
              <w:spacing w:after="0"/>
              <w:rPr>
                <w:sz w:val="23"/>
                <w:szCs w:val="23"/>
                <w:color w:val="auto"/>
              </w:rPr>
            </w:pPr>
          </w:p>
        </w:tc>
        <w:tc>
          <w:tcPr>
            <w:tcW w:w="36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4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c>
          <w:tcPr>
            <w:tcW w:w="440" w:type="dxa"/>
            <w:vAlign w:val="bottom"/>
            <w:shd w:val="clear" w:color="auto" w:fill="F4F4F4"/>
          </w:tcPr>
          <w:p>
            <w:pPr>
              <w:spacing w:after="0"/>
              <w:rPr>
                <w:sz w:val="23"/>
                <w:szCs w:val="23"/>
                <w:color w:val="auto"/>
              </w:rPr>
            </w:pPr>
          </w:p>
        </w:tc>
        <w:tc>
          <w:tcPr>
            <w:tcW w:w="980" w:type="dxa"/>
            <w:vAlign w:val="bottom"/>
            <w:shd w:val="clear" w:color="auto" w:fill="F4F4F4"/>
          </w:tcPr>
          <w:p>
            <w:pPr>
              <w:spacing w:after="0"/>
              <w:rPr>
                <w:sz w:val="23"/>
                <w:szCs w:val="23"/>
                <w:color w:val="auto"/>
              </w:rPr>
            </w:pPr>
          </w:p>
        </w:tc>
        <w:tc>
          <w:tcPr>
            <w:tcW w:w="34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Unrecorded contractual obligations: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1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Interest payments on debt</w:t>
            </w:r>
            <w:r>
              <w:rPr>
                <w:rFonts w:ascii="Arial" w:cs="Arial" w:eastAsia="Arial" w:hAnsi="Arial"/>
                <w:sz w:val="23"/>
                <w:szCs w:val="23"/>
                <w:color w:val="auto"/>
                <w:vertAlign w:val="superscript"/>
              </w:rPr>
              <w:t>(5)</w:t>
            </w:r>
          </w:p>
        </w:tc>
        <w:tc>
          <w:tcPr>
            <w:tcW w:w="500" w:type="dxa"/>
            <w:vAlign w:val="bottom"/>
            <w:shd w:val="clear" w:color="auto" w:fill="F4F4F4"/>
          </w:tcPr>
          <w:p>
            <w:pPr>
              <w:spacing w:after="0"/>
              <w:rPr>
                <w:sz w:val="24"/>
                <w:szCs w:val="24"/>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75.2</w:t>
            </w:r>
          </w:p>
        </w:tc>
        <w:tc>
          <w:tcPr>
            <w:tcW w:w="360" w:type="dxa"/>
            <w:vAlign w:val="bottom"/>
            <w:shd w:val="clear" w:color="auto" w:fill="F4F4F4"/>
          </w:tcPr>
          <w:p>
            <w:pPr>
              <w:spacing w:after="0"/>
              <w:rPr>
                <w:sz w:val="24"/>
                <w:szCs w:val="24"/>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F4F4F4"/>
          </w:tcPr>
          <w:p>
            <w:pPr>
              <w:spacing w:after="0"/>
              <w:rPr>
                <w:sz w:val="24"/>
                <w:szCs w:val="24"/>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24.7</w:t>
            </w:r>
          </w:p>
        </w:tc>
        <w:tc>
          <w:tcPr>
            <w:tcW w:w="440" w:type="dxa"/>
            <w:vAlign w:val="bottom"/>
            <w:shd w:val="clear" w:color="auto" w:fill="F4F4F4"/>
          </w:tcPr>
          <w:p>
            <w:pPr>
              <w:spacing w:after="0"/>
              <w:rPr>
                <w:sz w:val="24"/>
                <w:szCs w:val="24"/>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F4F4F4"/>
          </w:tcPr>
          <w:p>
            <w:pPr>
              <w:spacing w:after="0"/>
              <w:rPr>
                <w:sz w:val="24"/>
                <w:szCs w:val="24"/>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6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(6)</w:t>
            </w: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696.4</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63.5</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75.7</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479.4</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900" w:type="dxa"/>
            <w:vAlign w:val="bottom"/>
            <w:shd w:val="clear" w:color="auto" w:fill="71BF43"/>
          </w:tcPr>
          <w:p>
            <w:pPr>
              <w:spacing w:after="0" w:line="20" w:lineRule="exact"/>
              <w:rPr>
                <w:sz w:val="1"/>
                <w:szCs w:val="1"/>
                <w:color w:val="auto"/>
              </w:rPr>
            </w:pPr>
          </w:p>
        </w:tc>
        <w:tc>
          <w:tcPr>
            <w:tcW w:w="36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98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-1988185</wp:posOffset>
            </wp:positionV>
            <wp:extent cx="44748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individual amounts for each period may not sum to total due to rounding.</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principal payments only, under the following assumptions: (i) that the amounts outstanding under the 2020 Credit Facility, our Real Estate Loans and our other debt at June 30, 2021 will remain outstanding until maturity, with minimum payments occurring as currently scheduled, and (ii) that there are no assumed future borrowings on the 2020 Credit Facility for the purposes of determining minimum commitment amounts.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interest payment obligations related to our interest rate swap agreements.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commitments related to operating leases have not been reduced by sublease income, incentive payments and reimbursement of leasehold improvements.</w:t>
      </w:r>
    </w:p>
    <w:p>
      <w:pPr>
        <w:spacing w:after="0" w:line="1" w:lineRule="exact"/>
        <w:rPr>
          <w:rFonts w:ascii="Arial" w:cs="Arial" w:eastAsia="Arial" w:hAnsi="Arial"/>
          <w:sz w:val="14"/>
          <w:szCs w:val="14"/>
          <w:color w:val="auto"/>
        </w:rPr>
      </w:pPr>
    </w:p>
    <w:p>
      <w:pPr>
        <w:ind w:left="340" w:hanging="332"/>
        <w:spacing w:after="0" w:line="241"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actual interest expense recognized in our consolidated statements of comprehensive income will depend on the amount of debt, the length of time the debt is outstanding and the interest rate, which could be different from our assumptions described in (1) above.</w:t>
      </w:r>
    </w:p>
    <w:p>
      <w:pPr>
        <w:ind w:left="340" w:hanging="332"/>
        <w:spacing w:after="0" w:line="258"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have contractual obligations for third-party technology used in our solutions and for other services we purchase as part of our normal operations. In certain cases, these arrangements require a minimum annual purchase commitment by us.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 under the 2020 Credit Facility and our other debt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liability for uncertain tax positions as of June 30, 2021 and December 31, 2020, was $4.7 million and $4.6 million, respectively. Our accrued interest and penalties related to tax positions taken on our tax returns was $1.2 million and $1.1 million as of June 30, 2021 and December 31, 2020,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9 to our unaudited, condensed consolidated financial statements included in this report, we believe it is probable that total losses related to the Security Incident will ultimately exceed the limits of our insurance coverage. However, as we are currently unable to determine when that will be the case and the approximate amount or range of any such excess, we are unable to determine the effect the Security Incident will have on our results of operations, liquidity, or financial condition.</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2021, we did not have any off-balance sheet arrangements as previously defined by Item 303(a)(4)(ii) of Regulation S-K promulgated by the SEC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224155</wp:posOffset>
            </wp:positionV>
            <wp:extent cx="65976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16% of our total revenue for the six months ended June 30, 2021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gain of $4.9 million as of June 30, 2021 and a gain of $0.6 million as of December 31, 2020.</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six months ended June 30, 2021, foreign translation resulted in increases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six months ended June 30, 2021, the fluctuation in foreign currency exchange rates increased our total revenue and our income from operations by $6.3 million and $2.3 million, respectively.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six months ended June 30, 2021 as compared to those disclosed in “Management’s Discussion and Analysis of Financial Condition and Results of Operations” included in our Annual Report on Form 10-K for the fiscal year ended December 31, 2020.</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the impact that recently issued accounting pronouncements are expected to have on our financial position and results of operations when adopted in the future, see Note 2 to our condensed consolidated financial statements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28"/>
          <w:szCs w:val="28"/>
          <w:b w:val="1"/>
          <w:bCs w:val="1"/>
          <w:color w:val="71BF43"/>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rate sensitivity for interest rates and foreign currency exchange rates.</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LIBOR rates. The Financial Conduct Authority in the U.K. has stated that it plans to phase out all tenors of LIBOR by June 2023.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 Due to the nature of our debt, the materiality of the fair values of the</w:t>
      </w:r>
    </w:p>
    <w:p>
      <w:pPr>
        <w:spacing w:after="0" w:line="31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42</w:t>
      </w:r>
      <w:r>
        <w:rPr>
          <w:sz w:val="20"/>
          <w:szCs w:val="20"/>
          <w:color w:val="auto"/>
        </w:rPr>
        <w:tab/>
      </w:r>
      <w:r>
        <w:rPr>
          <w:sz w:val="1"/>
          <w:szCs w:val="1"/>
          <w:color w:val="auto"/>
        </w:rPr>
        <w:drawing>
          <wp:inline distT="0" distB="0" distL="0" distR="0">
            <wp:extent cx="651510" cy="1714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derivative instruments and the highly liquid, short-term nature and level of our cash and cash equivalents as of June 30, 2021, we believe that the risk of exposure to changing interest rates for those positions is immaterial. There were no significant changes in how we manage interest rate risk between December 31, 2020 and June 30, 2021.</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our exposure to foreign currency exchange rate fluctuations, see “Management’s Discussion and Analysis of Financial Condition and Results of Operations — Foreign Currency Exchange Rates”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4. CONTROLS AND PROCEDURES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changes in internal control over financial reporting occurred during the most recent fiscal quarter ended June 30, 2021 with respect to our operations, which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212090</wp:posOffset>
            </wp:positionV>
            <wp:extent cx="65976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Arial" w:cs="Arial" w:eastAsia="Arial" w:hAnsi="Arial"/>
          <w:sz w:val="40"/>
          <w:szCs w:val="40"/>
          <w:b w:val="1"/>
          <w:bCs w:val="1"/>
          <w:color w:val="50535A"/>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-263525</wp:posOffset>
            </wp:positionV>
            <wp:extent cx="171450"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LEGAL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legal proceedings, see Note 9 to our condensed consolidated financial statements in this report.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1A. RISK FACTORS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supplementing Item 1A. Risk Factors in our Annual Report on Form 10-K for the year ended December 31, 2020, as filed with the Securities and Exchange Commission on February 23, 2021 (the “Annual Report”). The following risk factors should be read in conjunction with the risk factors set forth in that Annual Report.</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Security Incident could have numerous adverse effects on our business.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Although the nature of the incident, our research and third party (including law enforcement) investigation have provided no reason to believe that any data went beyond the cybercriminal, was or will be misused, or will be disseminated or otherwise made available publicly, our investigation into the Security Incident remains ongoing and may provide additional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date, we have received approximately 260 specific requests for reimbursement of expenses ("Customer Reimbursement Requests") and approximately 400 reservations of the right to seek expense recovery in the future from customers or their attorneys in the U.S., U.K. and Canada related to the Security Incident (none of which have as yet been filed in court) and are in the process of assessing what liability may exist pursuant to such claims. Of the Customer Reimbursement Requests received to date, approximately 160 have been fully resolved and closed. Customer claims generally seek reimbursement of their costs and expenses associated with notifying their own customers of the Security Incident and taking steps to assure that personal information has not been compromised as a result of the Security Incident. In addition, presently, we are a defendant in 29 putative consumer class action cases [27 in U.S. federal courts (some of which have been consolidated under multi district litigation to a single federal court)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47 state Attorneys General and the District of Columbia and separate Civil Investigative Demands from the offices of the Illinois Attorney General and the California Attorney General relating to the Security Incident. In addition, we have received communications, inquires and requests from the U.S. Federal Trade Commission, the U.S. Department of Health and Human Services, the U.S. Securities and Exchange Commission, the Information Commissioner’s Office in the United Kingdom (the “ICO”) under the U.K. Data Protection Act 2018, the Office of the Australian Information Commissioner, the Office of the Privacy Commissioner of Canada and the Spanish Data Protection Agency. (See Note 9 to our unaudited, condensed consolidated financial statements included in this report for a more detailed description of the Security Incident and related matters.)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may not be covered by insurance. Governmental authorities also may seek to impose undertakings, injunctive relief, consent decrees, or other civil or criminal penalties, which could, among other things, materially increase our data security costs or otherwise require us to alter how we operate our business. Although we intend to</w:t>
      </w:r>
    </w:p>
    <w:p>
      <w:pPr>
        <w:spacing w:after="0" w:line="32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44</w:t>
      </w:r>
      <w:r>
        <w:rPr>
          <w:sz w:val="20"/>
          <w:szCs w:val="20"/>
          <w:color w:val="auto"/>
        </w:rPr>
        <w:tab/>
      </w:r>
      <w:r>
        <w:rPr>
          <w:sz w:val="1"/>
          <w:szCs w:val="1"/>
          <w:color w:val="auto"/>
        </w:rPr>
        <w:drawing>
          <wp:inline distT="0" distB="0" distL="0" distR="0">
            <wp:extent cx="651510" cy="171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Second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defend ourselves vigorously against the claims asserted against us, we cannot predict the potential outcomes, cost and expenses associated with current and any future claims, lawsuits, inquiries and investigations.</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Significant management time and Company resources have been, and are expected to continue to be, devoted to the Security Incident. In the three and six months ended June 30, 2021, we recorded $ 11.7 million and $ 24.4 million, respectively, of expenses related to the Security Incident and offsetting probable insurance recoveries of $11.2 million and $23.9 million, respectively. As of June 30, 2021, we have recorded cumulative expenses related to the Security Incident of $34.2 million and cumulative probable insurance recoveries of $33.3 million. Although we carry insurance designed to protect us against certain losses related to cybersecurity events, we believe it is probable that insurance coverage will not be sufficient to cover all expenses or other losses (including fines) or all types of claims that may arise in connection with cyberattacks, security compromises and other related incidents. Furthermore, in the future such insurance may not be available on commercially reasonable terms, or at all. (See Note 9 to our unaudited, condensed consolidated financial statements included in this report.)</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Future publicity or developments related to the Security Incident could have a range of other adverse effects on our business or prospects, including causing or contributing to loss of customer confidence, reduced customer demand, reduced customer retention, strategic growth opportunities, and associated retention and recruiting difficulties.</w:t>
      </w:r>
    </w:p>
    <w:p>
      <w:pPr>
        <w:spacing w:after="0" w:line="216" w:lineRule="exact"/>
        <w:rPr>
          <w:sz w:val="20"/>
          <w:szCs w:val="20"/>
          <w:color w:val="auto"/>
        </w:rPr>
      </w:pPr>
    </w:p>
    <w:p>
      <w:pPr>
        <w:ind w:right="1540"/>
        <w:spacing w:after="0" w:line="278" w:lineRule="auto"/>
        <w:rPr>
          <w:sz w:val="20"/>
          <w:szCs w:val="20"/>
          <w:color w:val="auto"/>
        </w:rPr>
      </w:pPr>
      <w:r>
        <w:rPr>
          <w:rFonts w:ascii="Arial" w:cs="Arial" w:eastAsia="Arial" w:hAnsi="Arial"/>
          <w:sz w:val="29"/>
          <w:szCs w:val="29"/>
          <w:b w:val="1"/>
          <w:bCs w:val="1"/>
          <w:color w:val="71BF43"/>
        </w:rPr>
        <w:t>ITEM 2. UNREGISTERED SALES OF EQUITY SECURITIES AND USE OF PROCEEDS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table provides information about shares of common stock acquired or repurchased during the three months ended June 30, 2021 under the stock repurchase program then in effect, as well as common stock withheld by us to satisfy the minimum tax obligations of employees due upon vesting of restricted stock awards and units.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shd w:val="clear" w:color="auto" w:fill="ACACAC"/>
          </w:tcPr>
          <w:p>
            <w:pPr>
              <w:spacing w:after="0"/>
              <w:rPr>
                <w:sz w:val="16"/>
                <w:szCs w:val="16"/>
                <w:color w:val="auto"/>
              </w:rPr>
            </w:pPr>
          </w:p>
        </w:tc>
        <w:tc>
          <w:tcPr>
            <w:tcW w:w="136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136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Approximate</w:t>
            </w:r>
          </w:p>
        </w:tc>
        <w:tc>
          <w:tcPr>
            <w:tcW w:w="20" w:type="dxa"/>
            <w:vAlign w:val="bottom"/>
            <w:shd w:val="clear" w:color="auto" w:fill="ACACAC"/>
          </w:tcPr>
          <w:p>
            <w:pPr>
              <w:spacing w:after="0"/>
              <w:rPr>
                <w:sz w:val="16"/>
                <w:szCs w:val="16"/>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dollar value</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that may yet</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be purchased</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price</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under the</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paid</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plans or</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per</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programs</w:t>
            </w:r>
          </w:p>
        </w:tc>
        <w:tc>
          <w:tcPr>
            <w:tcW w:w="20" w:type="dxa"/>
            <w:vAlign w:val="bottom"/>
            <w:shd w:val="clear" w:color="auto" w:fill="ACACAC"/>
          </w:tcPr>
          <w:p>
            <w:pPr>
              <w:spacing w:after="0"/>
              <w:rPr>
                <w:sz w:val="14"/>
                <w:szCs w:val="14"/>
                <w:color w:val="auto"/>
              </w:rPr>
            </w:pPr>
          </w:p>
        </w:tc>
      </w:tr>
      <w:tr>
        <w:trPr>
          <w:trHeight w:val="216"/>
        </w:trPr>
        <w:tc>
          <w:tcPr>
            <w:tcW w:w="54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Period</w:t>
            </w:r>
          </w:p>
        </w:tc>
        <w:tc>
          <w:tcPr>
            <w:tcW w:w="1360" w:type="dxa"/>
            <w:vAlign w:val="bottom"/>
            <w:shd w:val="clear" w:color="auto" w:fill="ACACAC"/>
          </w:tcPr>
          <w:p>
            <w:pPr>
              <w:jc w:val="right"/>
              <w:spacing w:after="0" w:line="202" w:lineRule="exact"/>
              <w:rPr>
                <w:sz w:val="20"/>
                <w:szCs w:val="20"/>
                <w:color w:val="auto"/>
              </w:rPr>
            </w:pPr>
            <w:r>
              <w:rPr>
                <w:rFonts w:ascii="Arial" w:cs="Arial" w:eastAsia="Arial" w:hAnsi="Arial"/>
                <w:sz w:val="14"/>
                <w:szCs w:val="14"/>
                <w:b w:val="1"/>
                <w:bCs w:val="1"/>
                <w:color w:val="FFFFFF"/>
              </w:rPr>
              <w:t>purchased</w:t>
            </w:r>
            <w:r>
              <w:rPr>
                <w:rFonts w:ascii="Arial" w:cs="Arial" w:eastAsia="Arial" w:hAnsi="Arial"/>
                <w:sz w:val="18"/>
                <w:szCs w:val="18"/>
                <w:b w:val="1"/>
                <w:bCs w:val="1"/>
                <w:color w:val="FFFFFF"/>
                <w:vertAlign w:val="superscript"/>
              </w:rPr>
              <w:t>(1)</w:t>
            </w:r>
          </w:p>
        </w:tc>
        <w:tc>
          <w:tcPr>
            <w:tcW w:w="100" w:type="dxa"/>
            <w:vAlign w:val="bottom"/>
            <w:shd w:val="clear" w:color="auto" w:fill="ACACAC"/>
          </w:tcPr>
          <w:p>
            <w:pPr>
              <w:spacing w:after="0"/>
              <w:rPr>
                <w:sz w:val="18"/>
                <w:szCs w:val="18"/>
                <w:color w:val="auto"/>
              </w:rPr>
            </w:pPr>
          </w:p>
        </w:tc>
        <w:tc>
          <w:tcPr>
            <w:tcW w:w="460" w:type="dxa"/>
            <w:vAlign w:val="bottom"/>
            <w:shd w:val="clear" w:color="auto" w:fill="ACACAC"/>
          </w:tcPr>
          <w:p>
            <w:pPr>
              <w:spacing w:after="0"/>
              <w:rPr>
                <w:sz w:val="18"/>
                <w:szCs w:val="18"/>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ACACAC"/>
          </w:tcPr>
          <w:p>
            <w:pPr>
              <w:spacing w:after="0"/>
              <w:rPr>
                <w:sz w:val="18"/>
                <w:szCs w:val="18"/>
                <w:color w:val="auto"/>
              </w:rPr>
            </w:pPr>
          </w:p>
        </w:tc>
        <w:tc>
          <w:tcPr>
            <w:tcW w:w="1360" w:type="dxa"/>
            <w:vAlign w:val="bottom"/>
            <w:shd w:val="clear" w:color="auto" w:fill="ACACAC"/>
          </w:tcPr>
          <w:p>
            <w:pPr>
              <w:jc w:val="right"/>
              <w:spacing w:after="0" w:line="202" w:lineRule="exact"/>
              <w:rPr>
                <w:sz w:val="20"/>
                <w:szCs w:val="20"/>
                <w:color w:val="auto"/>
              </w:rPr>
            </w:pPr>
            <w:r>
              <w:rPr>
                <w:rFonts w:ascii="Arial" w:cs="Arial" w:eastAsia="Arial" w:hAnsi="Arial"/>
                <w:sz w:val="14"/>
                <w:szCs w:val="14"/>
                <w:b w:val="1"/>
                <w:bCs w:val="1"/>
                <w:color w:val="FFFFFF"/>
              </w:rPr>
              <w:t>programs</w:t>
            </w:r>
            <w:r>
              <w:rPr>
                <w:rFonts w:ascii="Arial" w:cs="Arial" w:eastAsia="Arial" w:hAnsi="Arial"/>
                <w:sz w:val="18"/>
                <w:szCs w:val="18"/>
                <w:b w:val="1"/>
                <w:bCs w:val="1"/>
                <w:color w:val="FFFFFF"/>
                <w:vertAlign w:val="superscript"/>
              </w:rPr>
              <w:t>(2)</w:t>
            </w:r>
          </w:p>
        </w:tc>
        <w:tc>
          <w:tcPr>
            <w:tcW w:w="10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c>
          <w:tcPr>
            <w:tcW w:w="20" w:type="dxa"/>
            <w:vAlign w:val="bottom"/>
            <w:shd w:val="clear" w:color="auto" w:fill="ACACAC"/>
          </w:tcPr>
          <w:p>
            <w:pPr>
              <w:spacing w:after="0"/>
              <w:rPr>
                <w:sz w:val="18"/>
                <w:szCs w:val="18"/>
                <w:color w:val="auto"/>
              </w:rPr>
            </w:pPr>
          </w:p>
        </w:tc>
      </w:tr>
      <w:tr>
        <w:trPr>
          <w:trHeight w:val="250"/>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Beginning balance, April 1, 2021</w:t>
            </w: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180,933</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April 1, 2021 through April 30, 2021</w:t>
            </w:r>
          </w:p>
        </w:tc>
        <w:tc>
          <w:tcPr>
            <w:tcW w:w="136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71.97</w:t>
            </w:r>
          </w:p>
        </w:tc>
        <w:tc>
          <w:tcPr>
            <w:tcW w:w="12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180,933</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May 1, 2021 through May 31, 2021</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284,869</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71.04</w:t>
            </w:r>
          </w:p>
        </w:tc>
        <w:tc>
          <w:tcPr>
            <w:tcW w:w="12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gridSpan w:val="2"/>
            <w:shd w:val="clear" w:color="auto" w:fill="F4F4F4"/>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180,933</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June 1, 2021 through June 30, 2021</w:t>
            </w:r>
          </w:p>
        </w:tc>
        <w:tc>
          <w:tcPr>
            <w:tcW w:w="1360" w:type="dxa"/>
            <w:vAlign w:val="bottom"/>
          </w:tcPr>
          <w:p>
            <w:pPr>
              <w:jc w:val="right"/>
              <w:spacing w:after="0"/>
              <w:rPr>
                <w:sz w:val="20"/>
                <w:szCs w:val="20"/>
                <w:color w:val="auto"/>
              </w:rPr>
            </w:pPr>
            <w:r>
              <w:rPr>
                <w:rFonts w:ascii="Arial" w:cs="Arial" w:eastAsia="Arial" w:hAnsi="Arial"/>
                <w:sz w:val="18"/>
                <w:szCs w:val="18"/>
                <w:color w:val="auto"/>
              </w:rPr>
              <w:t>405,322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74.09</w:t>
            </w:r>
          </w:p>
        </w:tc>
        <w:tc>
          <w:tcPr>
            <w:tcW w:w="120" w:type="dxa"/>
            <w:vAlign w:val="bottom"/>
          </w:tcPr>
          <w:p>
            <w:pPr>
              <w:spacing w:after="0"/>
              <w:rPr>
                <w:sz w:val="21"/>
                <w:szCs w:val="21"/>
                <w:color w:val="auto"/>
              </w:rPr>
            </w:pPr>
          </w:p>
        </w:tc>
        <w:tc>
          <w:tcPr>
            <w:tcW w:w="1360" w:type="dxa"/>
            <w:vAlign w:val="bottom"/>
          </w:tcPr>
          <w:p>
            <w:pPr>
              <w:jc w:val="right"/>
              <w:ind w:right="2"/>
              <w:spacing w:after="0"/>
              <w:rPr>
                <w:sz w:val="20"/>
                <w:szCs w:val="20"/>
                <w:color w:val="auto"/>
              </w:rPr>
            </w:pPr>
            <w:r>
              <w:rPr>
                <w:rFonts w:ascii="Arial" w:cs="Arial" w:eastAsia="Arial" w:hAnsi="Arial"/>
                <w:sz w:val="18"/>
                <w:szCs w:val="18"/>
                <w:color w:val="auto"/>
              </w:rPr>
              <w:t>405,047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150,925</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690,568</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72.83</w:t>
            </w:r>
          </w:p>
        </w:tc>
        <w:tc>
          <w:tcPr>
            <w:tcW w:w="120" w:type="dxa"/>
            <w:vAlign w:val="bottom"/>
            <w:tcBorders>
              <w:bottom w:val="single" w:sz="8" w:color="F4F4F4"/>
            </w:tcBorders>
            <w:shd w:val="clear" w:color="auto" w:fill="F4F4F4"/>
          </w:tcPr>
          <w:p>
            <w:pPr>
              <w:spacing w:after="0"/>
              <w:rPr>
                <w:sz w:val="21"/>
                <w:szCs w:val="21"/>
                <w:color w:val="auto"/>
              </w:rPr>
            </w:pPr>
          </w:p>
        </w:tc>
        <w:tc>
          <w:tcPr>
            <w:tcW w:w="136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405,047</w:t>
            </w:r>
          </w:p>
        </w:tc>
        <w:tc>
          <w:tcPr>
            <w:tcW w:w="10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150,925</w:t>
            </w:r>
          </w:p>
        </w:tc>
        <w:tc>
          <w:tcPr>
            <w:tcW w:w="20" w:type="dxa"/>
            <w:vAlign w:val="bottom"/>
          </w:tcPr>
          <w:p>
            <w:pPr>
              <w:spacing w:after="0"/>
              <w:rPr>
                <w:sz w:val="21"/>
                <w:szCs w:val="21"/>
                <w:color w:val="auto"/>
              </w:rPr>
            </w:pPr>
          </w:p>
        </w:tc>
      </w:tr>
      <w:tr>
        <w:trPr>
          <w:trHeight w:val="20"/>
        </w:trPr>
        <w:tc>
          <w:tcPr>
            <w:tcW w:w="5440" w:type="dxa"/>
            <w:vAlign w:val="bottom"/>
            <w:shd w:val="clear" w:color="auto" w:fill="71BF43"/>
          </w:tcPr>
          <w:p>
            <w:pPr>
              <w:spacing w:after="0" w:line="20" w:lineRule="exact"/>
              <w:rPr>
                <w:sz w:val="1"/>
                <w:szCs w:val="1"/>
                <w:color w:val="auto"/>
              </w:rPr>
            </w:pPr>
          </w:p>
        </w:tc>
        <w:tc>
          <w:tcPr>
            <w:tcW w:w="13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92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13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right="20" w:hanging="332"/>
        <w:spacing w:after="0" w:line="241" w:lineRule="auto"/>
        <w:tabs>
          <w:tab w:leader="none" w:pos="3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285,521 shares (377 in April, 284,869 in May and 275 in June) withheld by us to satisfy the minimum tax obligations of employees due upon vesting of restricted stock awards and units. The level of this acquisition activity varies from period to period based upon the timing of award grants and vesting.</w:t>
      </w:r>
    </w:p>
    <w:p>
      <w:pPr>
        <w:ind w:left="340" w:right="20" w:hanging="332"/>
        <w:spacing w:after="0" w:line="258" w:lineRule="auto"/>
        <w:tabs>
          <w:tab w:leader="none" w:pos="3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November 2020, our Board of Directors reauthorized and expanded our stock repurchase program to authorize us to purchase up to $250.0 million of our outstanding shares of common stock. The program does not have an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480"/>
              <w:spacing w:after="0"/>
              <w:rPr>
                <w:sz w:val="20"/>
                <w:szCs w:val="20"/>
                <w:color w:val="auto"/>
              </w:rPr>
            </w:pPr>
            <w:r>
              <w:rPr>
                <w:rFonts w:ascii="Arial" w:cs="Arial" w:eastAsia="Arial" w:hAnsi="Arial"/>
                <w:sz w:val="14"/>
                <w:szCs w:val="14"/>
                <w:color w:val="auto"/>
              </w:rPr>
              <w:t>Second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6. EXHIBITS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incorporated by reference as part of this Quarterly Report on Form 10-Q:</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0" w:type="dxa"/>
            <w:vAlign w:val="bottom"/>
            <w:shd w:val="clear" w:color="auto" w:fill="ACACAC"/>
          </w:tcPr>
          <w:p>
            <w:pPr>
              <w:spacing w:after="0"/>
              <w:rPr>
                <w:sz w:val="18"/>
                <w:szCs w:val="18"/>
                <w:color w:val="auto"/>
              </w:rPr>
            </w:pPr>
          </w:p>
        </w:tc>
        <w:tc>
          <w:tcPr>
            <w:tcW w:w="360" w:type="dxa"/>
            <w:vAlign w:val="bottom"/>
            <w:shd w:val="clear" w:color="auto" w:fill="ACACAC"/>
          </w:tcPr>
          <w:p>
            <w:pPr>
              <w:spacing w:after="0"/>
              <w:rPr>
                <w:sz w:val="18"/>
                <w:szCs w:val="18"/>
                <w:color w:val="auto"/>
              </w:rPr>
            </w:pPr>
          </w:p>
        </w:tc>
        <w:tc>
          <w:tcPr>
            <w:tcW w:w="140" w:type="dxa"/>
            <w:vAlign w:val="bottom"/>
            <w:shd w:val="clear" w:color="auto" w:fill="ACACAC"/>
          </w:tcPr>
          <w:p>
            <w:pPr>
              <w:spacing w:after="0"/>
              <w:rPr>
                <w:sz w:val="18"/>
                <w:szCs w:val="18"/>
                <w:color w:val="auto"/>
              </w:rPr>
            </w:pPr>
          </w:p>
        </w:tc>
        <w:tc>
          <w:tcPr>
            <w:tcW w:w="960" w:type="dxa"/>
            <w:vAlign w:val="bottom"/>
            <w:shd w:val="clear" w:color="auto" w:fill="ACACAC"/>
          </w:tcPr>
          <w:p>
            <w:pPr>
              <w:spacing w:after="0"/>
              <w:rPr>
                <w:sz w:val="18"/>
                <w:szCs w:val="18"/>
                <w:color w:val="auto"/>
              </w:rPr>
            </w:pPr>
          </w:p>
        </w:tc>
        <w:tc>
          <w:tcPr>
            <w:tcW w:w="1380" w:type="dxa"/>
            <w:vAlign w:val="bottom"/>
            <w:shd w:val="clear" w:color="auto" w:fill="ACACAC"/>
          </w:tcPr>
          <w:p>
            <w:pPr>
              <w:spacing w:after="0"/>
              <w:rPr>
                <w:sz w:val="18"/>
                <w:szCs w:val="18"/>
                <w:color w:val="auto"/>
              </w:rPr>
            </w:pPr>
          </w:p>
        </w:tc>
        <w:tc>
          <w:tcPr>
            <w:tcW w:w="1460" w:type="dxa"/>
            <w:vAlign w:val="bottom"/>
            <w:shd w:val="clear" w:color="auto" w:fill="ACACAC"/>
          </w:tcPr>
          <w:p>
            <w:pPr>
              <w:spacing w:after="0"/>
              <w:rPr>
                <w:sz w:val="18"/>
                <w:szCs w:val="18"/>
                <w:color w:val="auto"/>
              </w:rPr>
            </w:pPr>
          </w:p>
        </w:tc>
        <w:tc>
          <w:tcPr>
            <w:tcW w:w="460" w:type="dxa"/>
            <w:vAlign w:val="bottom"/>
            <w:shd w:val="clear" w:color="auto" w:fill="ACACAC"/>
          </w:tcPr>
          <w:p>
            <w:pPr>
              <w:spacing w:after="0"/>
              <w:rPr>
                <w:sz w:val="18"/>
                <w:szCs w:val="18"/>
                <w:color w:val="auto"/>
              </w:rPr>
            </w:pPr>
          </w:p>
        </w:tc>
        <w:tc>
          <w:tcPr>
            <w:tcW w:w="60" w:type="dxa"/>
            <w:vAlign w:val="bottom"/>
            <w:shd w:val="clear" w:color="auto" w:fill="ACACAC"/>
          </w:tcPr>
          <w:p>
            <w:pPr>
              <w:spacing w:after="0"/>
              <w:rPr>
                <w:sz w:val="18"/>
                <w:szCs w:val="18"/>
                <w:color w:val="auto"/>
              </w:rPr>
            </w:pPr>
          </w:p>
        </w:tc>
        <w:tc>
          <w:tcPr>
            <w:tcW w:w="200" w:type="dxa"/>
            <w:vAlign w:val="bottom"/>
            <w:shd w:val="clear" w:color="auto" w:fill="ACACAC"/>
          </w:tcPr>
          <w:p>
            <w:pPr>
              <w:spacing w:after="0"/>
              <w:rPr>
                <w:sz w:val="18"/>
                <w:szCs w:val="18"/>
                <w:color w:val="auto"/>
              </w:rPr>
            </w:pPr>
          </w:p>
        </w:tc>
        <w:tc>
          <w:tcPr>
            <w:tcW w:w="60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1070" w:type="dxa"/>
            <w:vAlign w:val="bottom"/>
            <w:shd w:val="clear" w:color="auto" w:fill="ACACAC"/>
          </w:tcPr>
          <w:p>
            <w:pPr>
              <w:spacing w:after="0"/>
              <w:rPr>
                <w:sz w:val="18"/>
                <w:szCs w:val="18"/>
                <w:color w:val="auto"/>
              </w:rPr>
            </w:pPr>
          </w:p>
        </w:tc>
        <w:tc>
          <w:tcPr>
            <w:tcW w:w="990" w:type="dxa"/>
            <w:vAlign w:val="bottom"/>
            <w:shd w:val="clear" w:color="auto" w:fill="ACACAC"/>
          </w:tcPr>
          <w:p>
            <w:pPr>
              <w:spacing w:after="0"/>
              <w:rPr>
                <w:sz w:val="18"/>
                <w:szCs w:val="18"/>
                <w:color w:val="auto"/>
              </w:rPr>
            </w:pPr>
          </w:p>
        </w:tc>
        <w:tc>
          <w:tcPr>
            <w:tcW w:w="1480" w:type="dxa"/>
            <w:vAlign w:val="bottom"/>
            <w:shd w:val="clear" w:color="auto" w:fill="ACACAC"/>
          </w:tcPr>
          <w:p>
            <w:pPr>
              <w:spacing w:after="0"/>
              <w:rPr>
                <w:sz w:val="20"/>
                <w:szCs w:val="20"/>
                <w:color w:val="auto"/>
              </w:rPr>
            </w:pPr>
            <w:r>
              <w:rPr>
                <w:rFonts w:ascii="Arial" w:cs="Arial" w:eastAsia="Arial" w:hAnsi="Arial"/>
                <w:sz w:val="14"/>
                <w:szCs w:val="14"/>
                <w:b w:val="1"/>
                <w:bCs w:val="1"/>
                <w:color w:val="FFFFFF"/>
              </w:rPr>
              <w:t>Filed In</w:t>
            </w:r>
          </w:p>
        </w:tc>
        <w:tc>
          <w:tcPr>
            <w:tcW w:w="110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r>
      <w:tr>
        <w:trPr>
          <w:trHeight w:val="201"/>
        </w:trPr>
        <w:tc>
          <w:tcPr>
            <w:tcW w:w="10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Exhibit</w:t>
            </w:r>
          </w:p>
        </w:tc>
        <w:tc>
          <w:tcPr>
            <w:tcW w:w="140" w:type="dxa"/>
            <w:vAlign w:val="bottom"/>
            <w:shd w:val="clear" w:color="auto" w:fill="ACACAC"/>
          </w:tcPr>
          <w:p>
            <w:pPr>
              <w:spacing w:after="0"/>
              <w:rPr>
                <w:sz w:val="17"/>
                <w:szCs w:val="17"/>
                <w:color w:val="auto"/>
              </w:rPr>
            </w:pPr>
          </w:p>
        </w:tc>
        <w:tc>
          <w:tcPr>
            <w:tcW w:w="960" w:type="dxa"/>
            <w:vAlign w:val="bottom"/>
            <w:shd w:val="clear" w:color="auto" w:fill="ACACAC"/>
          </w:tcPr>
          <w:p>
            <w:pPr>
              <w:spacing w:after="0"/>
              <w:rPr>
                <w:sz w:val="17"/>
                <w:szCs w:val="17"/>
                <w:color w:val="auto"/>
              </w:rPr>
            </w:pPr>
          </w:p>
        </w:tc>
        <w:tc>
          <w:tcPr>
            <w:tcW w:w="1380" w:type="dxa"/>
            <w:vAlign w:val="bottom"/>
            <w:shd w:val="clear" w:color="auto" w:fill="ACACAC"/>
          </w:tcPr>
          <w:p>
            <w:pPr>
              <w:spacing w:after="0"/>
              <w:rPr>
                <w:sz w:val="17"/>
                <w:szCs w:val="17"/>
                <w:color w:val="auto"/>
              </w:rPr>
            </w:pPr>
          </w:p>
        </w:tc>
        <w:tc>
          <w:tcPr>
            <w:tcW w:w="1460" w:type="dxa"/>
            <w:vAlign w:val="bottom"/>
            <w:shd w:val="clear" w:color="auto" w:fill="ACACAC"/>
          </w:tcPr>
          <w:p>
            <w:pPr>
              <w:spacing w:after="0"/>
              <w:rPr>
                <w:sz w:val="17"/>
                <w:szCs w:val="17"/>
                <w:color w:val="auto"/>
              </w:rPr>
            </w:pPr>
          </w:p>
        </w:tc>
        <w:tc>
          <w:tcPr>
            <w:tcW w:w="460" w:type="dxa"/>
            <w:vAlign w:val="bottom"/>
            <w:shd w:val="clear" w:color="auto" w:fill="ACACAC"/>
          </w:tcPr>
          <w:p>
            <w:pPr>
              <w:spacing w:after="0"/>
              <w:rPr>
                <w:sz w:val="17"/>
                <w:szCs w:val="17"/>
                <w:color w:val="auto"/>
              </w:rPr>
            </w:pPr>
          </w:p>
        </w:tc>
        <w:tc>
          <w:tcPr>
            <w:tcW w:w="60" w:type="dxa"/>
            <w:vAlign w:val="bottom"/>
            <w:shd w:val="clear" w:color="auto" w:fill="ACACAC"/>
          </w:tcPr>
          <w:p>
            <w:pPr>
              <w:spacing w:after="0"/>
              <w:rPr>
                <w:sz w:val="17"/>
                <w:szCs w:val="17"/>
                <w:color w:val="auto"/>
              </w:rPr>
            </w:pPr>
          </w:p>
        </w:tc>
        <w:tc>
          <w:tcPr>
            <w:tcW w:w="200" w:type="dxa"/>
            <w:vAlign w:val="bottom"/>
            <w:shd w:val="clear" w:color="auto" w:fill="ACACAC"/>
          </w:tcPr>
          <w:p>
            <w:pPr>
              <w:spacing w:after="0"/>
              <w:rPr>
                <w:sz w:val="17"/>
                <w:szCs w:val="17"/>
                <w:color w:val="auto"/>
              </w:rPr>
            </w:pPr>
          </w:p>
        </w:tc>
        <w:tc>
          <w:tcPr>
            <w:tcW w:w="60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1070" w:type="dxa"/>
            <w:vAlign w:val="bottom"/>
            <w:shd w:val="clear" w:color="auto" w:fill="ACACAC"/>
          </w:tcPr>
          <w:p>
            <w:pPr>
              <w:jc w:val="center"/>
              <w:ind w:right="47"/>
              <w:spacing w:after="0"/>
              <w:rPr>
                <w:sz w:val="20"/>
                <w:szCs w:val="20"/>
                <w:color w:val="auto"/>
              </w:rPr>
            </w:pPr>
            <w:r>
              <w:rPr>
                <w:rFonts w:ascii="Arial" w:cs="Arial" w:eastAsia="Arial" w:hAnsi="Arial"/>
                <w:sz w:val="14"/>
                <w:szCs w:val="14"/>
                <w:b w:val="1"/>
                <w:bCs w:val="1"/>
                <w:color w:val="FFFFFF"/>
              </w:rPr>
              <w:t>Filed</w:t>
            </w:r>
          </w:p>
        </w:tc>
        <w:tc>
          <w:tcPr>
            <w:tcW w:w="990" w:type="dxa"/>
            <w:vAlign w:val="bottom"/>
            <w:shd w:val="clear" w:color="auto" w:fill="ACACAC"/>
          </w:tcPr>
          <w:p>
            <w:pPr>
              <w:spacing w:after="0"/>
              <w:rPr>
                <w:sz w:val="17"/>
                <w:szCs w:val="17"/>
                <w:color w:val="auto"/>
              </w:rPr>
            </w:pPr>
          </w:p>
        </w:tc>
        <w:tc>
          <w:tcPr>
            <w:tcW w:w="1480" w:type="dxa"/>
            <w:vAlign w:val="bottom"/>
            <w:shd w:val="clear" w:color="auto" w:fill="ACACAC"/>
          </w:tcPr>
          <w:p>
            <w:pPr>
              <w:spacing w:after="0"/>
              <w:rPr>
                <w:sz w:val="17"/>
                <w:szCs w:val="17"/>
                <w:color w:val="auto"/>
              </w:rPr>
            </w:pPr>
          </w:p>
        </w:tc>
        <w:tc>
          <w:tcPr>
            <w:tcW w:w="110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r>
      <w:tr>
        <w:trPr>
          <w:trHeight w:val="196"/>
        </w:trPr>
        <w:tc>
          <w:tcPr>
            <w:tcW w:w="108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140" w:type="dxa"/>
            <w:vAlign w:val="bottom"/>
            <w:tcBorders>
              <w:bottom w:val="single" w:sz="8" w:color="ACACAC"/>
            </w:tcBorders>
            <w:shd w:val="clear" w:color="auto" w:fill="ACACAC"/>
          </w:tcPr>
          <w:p>
            <w:pPr>
              <w:spacing w:after="0"/>
              <w:rPr>
                <w:sz w:val="17"/>
                <w:szCs w:val="17"/>
                <w:color w:val="auto"/>
              </w:rPr>
            </w:pPr>
          </w:p>
        </w:tc>
        <w:tc>
          <w:tcPr>
            <w:tcW w:w="960" w:type="dxa"/>
            <w:vAlign w:val="bottom"/>
            <w:tcBorders>
              <w:bottom w:val="single" w:sz="8" w:color="ACACAC"/>
            </w:tcBorders>
            <w:shd w:val="clear" w:color="auto" w:fill="ACACAC"/>
          </w:tcPr>
          <w:p>
            <w:pPr>
              <w:spacing w:after="0"/>
              <w:rPr>
                <w:sz w:val="17"/>
                <w:szCs w:val="17"/>
                <w:color w:val="auto"/>
              </w:rPr>
            </w:pPr>
          </w:p>
        </w:tc>
        <w:tc>
          <w:tcPr>
            <w:tcW w:w="4420" w:type="dxa"/>
            <w:vAlign w:val="bottom"/>
            <w:tcBorders>
              <w:bottom w:val="single" w:sz="8" w:color="ACACAC"/>
            </w:tcBorders>
            <w:gridSpan w:val="8"/>
            <w:shd w:val="clear" w:color="auto" w:fill="ACACAC"/>
          </w:tcPr>
          <w:p>
            <w:pPr>
              <w:ind w:left="800"/>
              <w:spacing w:after="0"/>
              <w:rPr>
                <w:sz w:val="20"/>
                <w:szCs w:val="20"/>
                <w:color w:val="auto"/>
              </w:rPr>
            </w:pPr>
            <w:r>
              <w:rPr>
                <w:rFonts w:ascii="Arial" w:cs="Arial" w:eastAsia="Arial" w:hAnsi="Arial"/>
                <w:sz w:val="14"/>
                <w:szCs w:val="14"/>
                <w:b w:val="1"/>
                <w:bCs w:val="1"/>
                <w:color w:val="FFFFFF"/>
              </w:rPr>
              <w:t>Description of Document</w:t>
            </w:r>
          </w:p>
        </w:tc>
        <w:tc>
          <w:tcPr>
            <w:tcW w:w="1070" w:type="dxa"/>
            <w:vAlign w:val="bottom"/>
            <w:tcBorders>
              <w:bottom w:val="single" w:sz="8" w:color="ACACAC"/>
            </w:tcBorders>
            <w:shd w:val="clear" w:color="auto" w:fill="ACACAC"/>
          </w:tcPr>
          <w:p>
            <w:pPr>
              <w:jc w:val="center"/>
              <w:ind w:right="27"/>
              <w:spacing w:after="0"/>
              <w:rPr>
                <w:sz w:val="20"/>
                <w:szCs w:val="20"/>
                <w:color w:val="auto"/>
              </w:rPr>
            </w:pPr>
            <w:r>
              <w:rPr>
                <w:rFonts w:ascii="Arial" w:cs="Arial" w:eastAsia="Arial" w:hAnsi="Arial"/>
                <w:sz w:val="14"/>
                <w:szCs w:val="14"/>
                <w:b w:val="1"/>
                <w:bCs w:val="1"/>
                <w:color w:val="FFFFFF"/>
              </w:rPr>
              <w:t>Herewith</w:t>
            </w:r>
          </w:p>
        </w:tc>
        <w:tc>
          <w:tcPr>
            <w:tcW w:w="99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Form</w:t>
            </w:r>
          </w:p>
        </w:tc>
        <w:tc>
          <w:tcPr>
            <w:tcW w:w="148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Exhibit Number</w:t>
            </w:r>
          </w:p>
        </w:tc>
        <w:tc>
          <w:tcPr>
            <w:tcW w:w="110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Filing Date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6"/>
        </w:trPr>
        <w:tc>
          <w:tcPr>
            <w:tcW w:w="720" w:type="dxa"/>
            <w:vAlign w:val="bottom"/>
            <w:tcBorders>
              <w:bottom w:val="single" w:sz="8" w:color="F4F4F4"/>
            </w:tcBorders>
            <w:shd w:val="clear" w:color="auto" w:fill="F4F4F4"/>
          </w:tcPr>
          <w:p>
            <w:pPr>
              <w:spacing w:after="0"/>
              <w:rPr>
                <w:sz w:val="22"/>
                <w:szCs w:val="22"/>
                <w:color w:val="auto"/>
              </w:rPr>
            </w:pPr>
          </w:p>
        </w:tc>
        <w:tc>
          <w:tcPr>
            <w:tcW w:w="360" w:type="dxa"/>
            <w:vAlign w:val="bottom"/>
            <w:tcBorders>
              <w:bottom w:val="single" w:sz="8" w:color="0000FF"/>
            </w:tcBorders>
            <w:shd w:val="clear" w:color="auto" w:fill="F4F4F4"/>
          </w:tcPr>
          <w:p>
            <w:pPr>
              <w:jc w:val="right"/>
              <w:spacing w:after="0"/>
              <w:rPr>
                <w:rFonts w:ascii="Arial" w:cs="Arial" w:eastAsia="Arial" w:hAnsi="Arial"/>
                <w:sz w:val="18"/>
                <w:szCs w:val="18"/>
                <w:color w:val="0000FF"/>
                <w:w w:val="96"/>
              </w:rPr>
            </w:pPr>
            <w:hyperlink r:id="rId21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140" w:type="dxa"/>
            <w:vAlign w:val="bottom"/>
            <w:tcBorders>
              <w:bottom w:val="single" w:sz="8" w:color="F4F4F4"/>
            </w:tcBorders>
            <w:shd w:val="clear" w:color="auto" w:fill="F4F4F4"/>
          </w:tcPr>
          <w:p>
            <w:pPr>
              <w:spacing w:after="0"/>
              <w:rPr>
                <w:sz w:val="22"/>
                <w:szCs w:val="22"/>
                <w:color w:val="auto"/>
              </w:rPr>
            </w:pPr>
          </w:p>
        </w:tc>
        <w:tc>
          <w:tcPr>
            <w:tcW w:w="4520" w:type="dxa"/>
            <w:vAlign w:val="bottom"/>
            <w:tcBorders>
              <w:bottom w:val="single" w:sz="8" w:color="0000FF"/>
            </w:tcBorders>
            <w:gridSpan w:val="6"/>
            <w:shd w:val="clear" w:color="auto" w:fill="F4F4F4"/>
          </w:tcPr>
          <w:p>
            <w:pPr>
              <w:spacing w:after="0"/>
              <w:rPr>
                <w:rFonts w:ascii="Arial" w:cs="Arial" w:eastAsia="Arial" w:hAnsi="Arial"/>
                <w:sz w:val="18"/>
                <w:szCs w:val="18"/>
                <w:color w:val="0000FF"/>
                <w:w w:val="99"/>
              </w:rPr>
            </w:pPr>
            <w:hyperlink r:id="rId210">
              <w:r>
                <w:rPr>
                  <w:rFonts w:ascii="Arial" w:cs="Arial" w:eastAsia="Arial" w:hAnsi="Arial"/>
                  <w:sz w:val="18"/>
                  <w:szCs w:val="18"/>
                  <w:color w:val="0000FF"/>
                  <w:w w:val="99"/>
                </w:rPr>
                <w:t>Amended and Restated Blackbaud, Inc. 2016 Equity and</w:t>
              </w:r>
            </w:hyperlink>
          </w:p>
        </w:tc>
        <w:tc>
          <w:tcPr>
            <w:tcW w:w="860" w:type="dxa"/>
            <w:vAlign w:val="bottom"/>
            <w:tcBorders>
              <w:bottom w:val="single" w:sz="8" w:color="F4F4F4"/>
            </w:tcBorders>
            <w:gridSpan w:val="3"/>
            <w:shd w:val="clear" w:color="auto" w:fill="F4F4F4"/>
          </w:tcPr>
          <w:p>
            <w:pPr>
              <w:spacing w:after="0"/>
              <w:rPr>
                <w:sz w:val="22"/>
                <w:szCs w:val="22"/>
                <w:color w:val="auto"/>
              </w:rPr>
            </w:pPr>
          </w:p>
        </w:tc>
        <w:tc>
          <w:tcPr>
            <w:tcW w:w="1070" w:type="dxa"/>
            <w:vAlign w:val="bottom"/>
            <w:tcBorders>
              <w:bottom w:val="single" w:sz="8" w:color="F4F4F4"/>
            </w:tcBorders>
            <w:shd w:val="clear" w:color="auto" w:fill="F4F4F4"/>
          </w:tcPr>
          <w:p>
            <w:pPr>
              <w:spacing w:after="0"/>
              <w:rPr>
                <w:sz w:val="22"/>
                <w:szCs w:val="22"/>
                <w:color w:val="auto"/>
              </w:rPr>
            </w:pPr>
          </w:p>
        </w:tc>
        <w:tc>
          <w:tcPr>
            <w:tcW w:w="990"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8"/>
              </w:rPr>
              <w:t>DEF 14A</w:t>
            </w:r>
          </w:p>
        </w:tc>
        <w:tc>
          <w:tcPr>
            <w:tcW w:w="1480"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9"/>
              </w:rPr>
              <w:t>Appendix B</w:t>
            </w:r>
          </w:p>
        </w:tc>
        <w:tc>
          <w:tcPr>
            <w:tcW w:w="1100" w:type="dxa"/>
            <w:vAlign w:val="bottom"/>
            <w:tcBorders>
              <w:bottom w:val="single" w:sz="8" w:color="F4F4F4"/>
            </w:tcBorders>
            <w:shd w:val="clear" w:color="auto" w:fill="F4F4F4"/>
          </w:tcPr>
          <w:p>
            <w:pPr>
              <w:jc w:val="right"/>
              <w:ind w:right="79"/>
              <w:spacing w:after="0"/>
              <w:rPr>
                <w:sz w:val="20"/>
                <w:szCs w:val="20"/>
                <w:color w:val="auto"/>
              </w:rPr>
            </w:pPr>
            <w:r>
              <w:rPr>
                <w:rFonts w:ascii="Arial" w:cs="Arial" w:eastAsia="Arial" w:hAnsi="Arial"/>
                <w:sz w:val="18"/>
                <w:szCs w:val="18"/>
                <w:color w:val="auto"/>
              </w:rPr>
              <w:t>4/20/2021</w:t>
            </w:r>
          </w:p>
        </w:tc>
        <w:tc>
          <w:tcPr>
            <w:tcW w:w="20" w:type="dxa"/>
            <w:vAlign w:val="bottom"/>
          </w:tcPr>
          <w:p>
            <w:pPr>
              <w:spacing w:after="0"/>
              <w:rPr>
                <w:sz w:val="22"/>
                <w:szCs w:val="22"/>
                <w:color w:val="auto"/>
              </w:rPr>
            </w:pPr>
          </w:p>
        </w:tc>
      </w:tr>
      <w:tr>
        <w:trPr>
          <w:trHeight w:val="244"/>
        </w:trPr>
        <w:tc>
          <w:tcPr>
            <w:tcW w:w="72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40" w:type="dxa"/>
            <w:vAlign w:val="bottom"/>
            <w:tcBorders>
              <w:bottom w:val="single" w:sz="8" w:color="F4F4F4"/>
            </w:tcBorders>
            <w:shd w:val="clear" w:color="auto" w:fill="F4F4F4"/>
          </w:tcPr>
          <w:p>
            <w:pPr>
              <w:spacing w:after="0"/>
              <w:rPr>
                <w:sz w:val="21"/>
                <w:szCs w:val="21"/>
                <w:color w:val="auto"/>
              </w:rPr>
            </w:pPr>
          </w:p>
        </w:tc>
        <w:tc>
          <w:tcPr>
            <w:tcW w:w="2340" w:type="dxa"/>
            <w:vAlign w:val="bottom"/>
            <w:tcBorders>
              <w:bottom w:val="single" w:sz="8" w:color="0000FF"/>
            </w:tcBorders>
            <w:gridSpan w:val="2"/>
            <w:shd w:val="clear" w:color="auto" w:fill="F4F4F4"/>
          </w:tcPr>
          <w:p>
            <w:pPr>
              <w:spacing w:after="0" w:line="196"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Incentive Compensation Plan</w:t>
              </w:r>
            </w:hyperlink>
          </w:p>
        </w:tc>
        <w:tc>
          <w:tcPr>
            <w:tcW w:w="3040" w:type="dxa"/>
            <w:vAlign w:val="bottom"/>
            <w:tcBorders>
              <w:bottom w:val="single" w:sz="8" w:color="F4F4F4"/>
            </w:tcBorders>
            <w:gridSpan w:val="7"/>
            <w:shd w:val="clear" w:color="auto" w:fill="F4F4F4"/>
          </w:tcPr>
          <w:p>
            <w:pPr>
              <w:spacing w:after="0"/>
              <w:rPr>
                <w:sz w:val="21"/>
                <w:szCs w:val="21"/>
                <w:color w:val="auto"/>
              </w:rPr>
            </w:pPr>
          </w:p>
        </w:tc>
        <w:tc>
          <w:tcPr>
            <w:tcW w:w="1070" w:type="dxa"/>
            <w:vAlign w:val="bottom"/>
            <w:tcBorders>
              <w:bottom w:val="single" w:sz="8" w:color="F4F4F4"/>
            </w:tcBorders>
            <w:shd w:val="clear" w:color="auto" w:fill="F4F4F4"/>
          </w:tcPr>
          <w:p>
            <w:pPr>
              <w:spacing w:after="0"/>
              <w:rPr>
                <w:sz w:val="21"/>
                <w:szCs w:val="21"/>
                <w:color w:val="auto"/>
              </w:rPr>
            </w:pPr>
          </w:p>
        </w:tc>
        <w:tc>
          <w:tcPr>
            <w:tcW w:w="990" w:type="dxa"/>
            <w:vAlign w:val="bottom"/>
            <w:tcBorders>
              <w:bottom w:val="single" w:sz="8" w:color="F4F4F4"/>
            </w:tcBorders>
            <w:shd w:val="clear" w:color="auto" w:fill="F4F4F4"/>
          </w:tcPr>
          <w:p>
            <w:pPr>
              <w:spacing w:after="0"/>
              <w:rPr>
                <w:sz w:val="21"/>
                <w:szCs w:val="21"/>
                <w:color w:val="auto"/>
              </w:rPr>
            </w:pPr>
          </w:p>
        </w:tc>
        <w:tc>
          <w:tcPr>
            <w:tcW w:w="148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720" w:type="dxa"/>
            <w:vAlign w:val="bottom"/>
          </w:tcPr>
          <w:p>
            <w:pPr>
              <w:spacing w:after="0"/>
              <w:rPr>
                <w:sz w:val="22"/>
                <w:szCs w:val="22"/>
                <w:color w:val="auto"/>
              </w:rPr>
            </w:pPr>
          </w:p>
        </w:tc>
        <w:tc>
          <w:tcPr>
            <w:tcW w:w="360" w:type="dxa"/>
            <w:vAlign w:val="bottom"/>
            <w:tcBorders>
              <w:bottom w:val="single" w:sz="8" w:color="0000FF"/>
            </w:tcBorders>
          </w:tcPr>
          <w:p>
            <w:pPr>
              <w:jc w:val="right"/>
              <w:spacing w:after="0"/>
              <w:rPr>
                <w:rFonts w:ascii="Arial" w:cs="Arial" w:eastAsia="Arial" w:hAnsi="Arial"/>
                <w:sz w:val="18"/>
                <w:szCs w:val="18"/>
                <w:color w:val="0000FF"/>
                <w:w w:val="96"/>
              </w:rPr>
            </w:pPr>
            <w:hyperlink w:anchor="page4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140" w:type="dxa"/>
            <w:vAlign w:val="bottom"/>
          </w:tcPr>
          <w:p>
            <w:pPr>
              <w:spacing w:after="0"/>
              <w:rPr>
                <w:sz w:val="22"/>
                <w:szCs w:val="22"/>
                <w:color w:val="auto"/>
              </w:rPr>
            </w:pPr>
          </w:p>
        </w:tc>
        <w:tc>
          <w:tcPr>
            <w:tcW w:w="432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Certification by the Chief Executive Officer pursuant to</w:t>
              </w:r>
            </w:hyperlink>
          </w:p>
        </w:tc>
        <w:tc>
          <w:tcPr>
            <w:tcW w:w="1060" w:type="dxa"/>
            <w:vAlign w:val="bottom"/>
            <w:gridSpan w:val="4"/>
          </w:tcPr>
          <w:p>
            <w:pPr>
              <w:spacing w:after="0"/>
              <w:rPr>
                <w:sz w:val="22"/>
                <w:szCs w:val="22"/>
                <w:color w:val="auto"/>
              </w:rPr>
            </w:pPr>
          </w:p>
        </w:tc>
        <w:tc>
          <w:tcPr>
            <w:tcW w:w="1070" w:type="dxa"/>
            <w:vAlign w:val="bottom"/>
          </w:tcPr>
          <w:p>
            <w:pPr>
              <w:jc w:val="center"/>
              <w:ind w:right="67"/>
              <w:spacing w:after="0"/>
              <w:rPr>
                <w:sz w:val="20"/>
                <w:szCs w:val="20"/>
                <w:color w:val="auto"/>
              </w:rPr>
            </w:pPr>
            <w:r>
              <w:rPr>
                <w:rFonts w:ascii="Arial" w:cs="Arial" w:eastAsia="Arial" w:hAnsi="Arial"/>
                <w:sz w:val="18"/>
                <w:szCs w:val="18"/>
                <w:color w:val="auto"/>
                <w:w w:val="99"/>
              </w:rPr>
              <w:t>X</w:t>
            </w:r>
          </w:p>
        </w:tc>
        <w:tc>
          <w:tcPr>
            <w:tcW w:w="99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9"/>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Section 302 of the Sarbanes-Oxley Act of 2002.</w:t>
              </w:r>
            </w:hyperlink>
          </w:p>
        </w:tc>
        <w:tc>
          <w:tcPr>
            <w:tcW w:w="107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70" w:type="dxa"/>
            <w:vAlign w:val="bottom"/>
          </w:tcPr>
          <w:p>
            <w:pPr>
              <w:spacing w:after="0"/>
              <w:rPr>
                <w:sz w:val="4"/>
                <w:szCs w:val="4"/>
                <w:color w:val="auto"/>
              </w:rPr>
            </w:pPr>
          </w:p>
        </w:tc>
        <w:tc>
          <w:tcPr>
            <w:tcW w:w="99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0" w:type="dxa"/>
            <w:vAlign w:val="bottom"/>
            <w:tcBorders>
              <w:bottom w:val="single" w:sz="8" w:color="F4F4F4"/>
            </w:tcBorders>
            <w:shd w:val="clear" w:color="auto" w:fill="F4F4F4"/>
          </w:tcPr>
          <w:p>
            <w:pPr>
              <w:spacing w:after="0"/>
              <w:rPr>
                <w:sz w:val="22"/>
                <w:szCs w:val="22"/>
                <w:color w:val="auto"/>
              </w:rPr>
            </w:pPr>
          </w:p>
        </w:tc>
        <w:tc>
          <w:tcPr>
            <w:tcW w:w="360" w:type="dxa"/>
            <w:vAlign w:val="bottom"/>
            <w:tcBorders>
              <w:bottom w:val="single" w:sz="8" w:color="0000FF"/>
            </w:tcBorders>
            <w:shd w:val="clear" w:color="auto" w:fill="F4F4F4"/>
          </w:tcPr>
          <w:p>
            <w:pPr>
              <w:jc w:val="right"/>
              <w:spacing w:after="0"/>
              <w:rPr>
                <w:rFonts w:ascii="Arial" w:cs="Arial" w:eastAsia="Arial" w:hAnsi="Arial"/>
                <w:sz w:val="18"/>
                <w:szCs w:val="18"/>
                <w:color w:val="0000FF"/>
                <w:w w:val="96"/>
              </w:rPr>
            </w:pPr>
            <w:hyperlink w:anchor="page50">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140" w:type="dxa"/>
            <w:vAlign w:val="bottom"/>
            <w:tcBorders>
              <w:bottom w:val="single" w:sz="8" w:color="F4F4F4"/>
            </w:tcBorders>
            <w:shd w:val="clear" w:color="auto" w:fill="F4F4F4"/>
          </w:tcPr>
          <w:p>
            <w:pPr>
              <w:spacing w:after="0"/>
              <w:rPr>
                <w:sz w:val="22"/>
                <w:szCs w:val="22"/>
                <w:color w:val="auto"/>
              </w:rPr>
            </w:pPr>
          </w:p>
        </w:tc>
        <w:tc>
          <w:tcPr>
            <w:tcW w:w="4260" w:type="dxa"/>
            <w:vAlign w:val="bottom"/>
            <w:tcBorders>
              <w:bottom w:val="single" w:sz="8" w:color="0000FF"/>
            </w:tcBorders>
            <w:gridSpan w:val="4"/>
            <w:shd w:val="clear" w:color="auto" w:fill="F4F4F4"/>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by the Chief Financial Officer pursuant to</w:t>
              </w:r>
            </w:hyperlink>
          </w:p>
        </w:tc>
        <w:tc>
          <w:tcPr>
            <w:tcW w:w="1120" w:type="dxa"/>
            <w:vAlign w:val="bottom"/>
            <w:tcBorders>
              <w:bottom w:val="single" w:sz="8" w:color="F4F4F4"/>
            </w:tcBorders>
            <w:gridSpan w:val="5"/>
            <w:shd w:val="clear" w:color="auto" w:fill="F4F4F4"/>
          </w:tcPr>
          <w:p>
            <w:pPr>
              <w:spacing w:after="0"/>
              <w:rPr>
                <w:sz w:val="22"/>
                <w:szCs w:val="22"/>
                <w:color w:val="auto"/>
              </w:rPr>
            </w:pPr>
          </w:p>
        </w:tc>
        <w:tc>
          <w:tcPr>
            <w:tcW w:w="1070" w:type="dxa"/>
            <w:vAlign w:val="bottom"/>
            <w:tcBorders>
              <w:bottom w:val="single" w:sz="8" w:color="F4F4F4"/>
            </w:tcBorders>
            <w:shd w:val="clear" w:color="auto" w:fill="F4F4F4"/>
          </w:tcPr>
          <w:p>
            <w:pPr>
              <w:jc w:val="center"/>
              <w:ind w:right="67"/>
              <w:spacing w:after="0"/>
              <w:rPr>
                <w:sz w:val="20"/>
                <w:szCs w:val="20"/>
                <w:color w:val="auto"/>
              </w:rPr>
            </w:pPr>
            <w:r>
              <w:rPr>
                <w:rFonts w:ascii="Arial" w:cs="Arial" w:eastAsia="Arial" w:hAnsi="Arial"/>
                <w:sz w:val="18"/>
                <w:szCs w:val="18"/>
                <w:color w:val="auto"/>
                <w:w w:val="99"/>
              </w:rPr>
              <w:t>X</w:t>
            </w:r>
          </w:p>
        </w:tc>
        <w:tc>
          <w:tcPr>
            <w:tcW w:w="990" w:type="dxa"/>
            <w:vAlign w:val="bottom"/>
            <w:tcBorders>
              <w:bottom w:val="single" w:sz="8" w:color="F4F4F4"/>
            </w:tcBorders>
            <w:shd w:val="clear" w:color="auto" w:fill="F4F4F4"/>
          </w:tcPr>
          <w:p>
            <w:pPr>
              <w:spacing w:after="0"/>
              <w:rPr>
                <w:sz w:val="22"/>
                <w:szCs w:val="22"/>
                <w:color w:val="auto"/>
              </w:rPr>
            </w:pPr>
          </w:p>
        </w:tc>
        <w:tc>
          <w:tcPr>
            <w:tcW w:w="148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spacing w:after="0"/>
              <w:rPr>
                <w:sz w:val="22"/>
                <w:szCs w:val="22"/>
                <w:color w:val="auto"/>
              </w:rPr>
            </w:pPr>
          </w:p>
        </w:tc>
        <w:tc>
          <w:tcPr>
            <w:tcW w:w="20" w:type="dxa"/>
            <w:vAlign w:val="bottom"/>
          </w:tcPr>
          <w:p>
            <w:pPr>
              <w:spacing w:after="0"/>
              <w:rPr>
                <w:sz w:val="22"/>
                <w:szCs w:val="22"/>
                <w:color w:val="auto"/>
              </w:rPr>
            </w:pPr>
          </w:p>
        </w:tc>
      </w:tr>
      <w:tr>
        <w:trPr>
          <w:trHeight w:val="244"/>
        </w:trPr>
        <w:tc>
          <w:tcPr>
            <w:tcW w:w="72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40" w:type="dxa"/>
            <w:vAlign w:val="bottom"/>
            <w:tcBorders>
              <w:bottom w:val="single" w:sz="8" w:color="F4F4F4"/>
            </w:tcBorders>
            <w:shd w:val="clear" w:color="auto" w:fill="F4F4F4"/>
          </w:tcPr>
          <w:p>
            <w:pPr>
              <w:spacing w:after="0"/>
              <w:rPr>
                <w:sz w:val="21"/>
                <w:szCs w:val="21"/>
                <w:color w:val="auto"/>
              </w:rPr>
            </w:pPr>
          </w:p>
        </w:tc>
        <w:tc>
          <w:tcPr>
            <w:tcW w:w="3800" w:type="dxa"/>
            <w:vAlign w:val="bottom"/>
            <w:tcBorders>
              <w:bottom w:val="single" w:sz="8" w:color="0000FF"/>
            </w:tcBorders>
            <w:gridSpan w:val="3"/>
            <w:shd w:val="clear" w:color="auto" w:fill="F4F4F4"/>
          </w:tcPr>
          <w:p>
            <w:pPr>
              <w:spacing w:after="0" w:line="196"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Section 302 of the Sarbanes-Oxley Act of 2002.</w:t>
              </w:r>
            </w:hyperlink>
          </w:p>
        </w:tc>
        <w:tc>
          <w:tcPr>
            <w:tcW w:w="1580" w:type="dxa"/>
            <w:vAlign w:val="bottom"/>
            <w:tcBorders>
              <w:bottom w:val="single" w:sz="8" w:color="F4F4F4"/>
            </w:tcBorders>
            <w:gridSpan w:val="6"/>
            <w:shd w:val="clear" w:color="auto" w:fill="F4F4F4"/>
          </w:tcPr>
          <w:p>
            <w:pPr>
              <w:spacing w:after="0"/>
              <w:rPr>
                <w:sz w:val="21"/>
                <w:szCs w:val="21"/>
                <w:color w:val="auto"/>
              </w:rPr>
            </w:pPr>
          </w:p>
        </w:tc>
        <w:tc>
          <w:tcPr>
            <w:tcW w:w="1070" w:type="dxa"/>
            <w:vAlign w:val="bottom"/>
            <w:tcBorders>
              <w:bottom w:val="single" w:sz="8" w:color="F4F4F4"/>
            </w:tcBorders>
            <w:shd w:val="clear" w:color="auto" w:fill="F4F4F4"/>
          </w:tcPr>
          <w:p>
            <w:pPr>
              <w:spacing w:after="0"/>
              <w:rPr>
                <w:sz w:val="21"/>
                <w:szCs w:val="21"/>
                <w:color w:val="auto"/>
              </w:rPr>
            </w:pPr>
          </w:p>
        </w:tc>
        <w:tc>
          <w:tcPr>
            <w:tcW w:w="990" w:type="dxa"/>
            <w:vAlign w:val="bottom"/>
            <w:tcBorders>
              <w:bottom w:val="single" w:sz="8" w:color="F4F4F4"/>
            </w:tcBorders>
            <w:shd w:val="clear" w:color="auto" w:fill="F4F4F4"/>
          </w:tcPr>
          <w:p>
            <w:pPr>
              <w:spacing w:after="0"/>
              <w:rPr>
                <w:sz w:val="21"/>
                <w:szCs w:val="21"/>
                <w:color w:val="auto"/>
              </w:rPr>
            </w:pPr>
          </w:p>
        </w:tc>
        <w:tc>
          <w:tcPr>
            <w:tcW w:w="148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720" w:type="dxa"/>
            <w:vAlign w:val="bottom"/>
          </w:tcPr>
          <w:p>
            <w:pPr>
              <w:spacing w:after="0"/>
              <w:rPr>
                <w:sz w:val="22"/>
                <w:szCs w:val="22"/>
                <w:color w:val="auto"/>
              </w:rPr>
            </w:pPr>
          </w:p>
        </w:tc>
        <w:tc>
          <w:tcPr>
            <w:tcW w:w="360" w:type="dxa"/>
            <w:vAlign w:val="bottom"/>
          </w:tcPr>
          <w:p>
            <w:pPr>
              <w:jc w:val="right"/>
              <w:spacing w:after="0"/>
              <w:rPr>
                <w:rFonts w:ascii="Arial" w:cs="Arial" w:eastAsia="Arial" w:hAnsi="Arial"/>
                <w:sz w:val="18"/>
                <w:szCs w:val="18"/>
                <w:color w:val="0000FF"/>
                <w:w w:val="96"/>
              </w:rPr>
            </w:pPr>
            <w:hyperlink w:anchor="page51">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140" w:type="dxa"/>
            <w:vAlign w:val="bottom"/>
          </w:tcPr>
          <w:p>
            <w:pPr>
              <w:spacing w:after="0"/>
              <w:rPr>
                <w:sz w:val="22"/>
                <w:szCs w:val="22"/>
                <w:color w:val="auto"/>
              </w:rPr>
            </w:pPr>
          </w:p>
        </w:tc>
        <w:tc>
          <w:tcPr>
            <w:tcW w:w="5380" w:type="dxa"/>
            <w:vAlign w:val="bottom"/>
            <w:gridSpan w:val="9"/>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by the Chief Executive Officer pursuant to 18 U.S.C.</w:t>
              </w:r>
            </w:hyperlink>
          </w:p>
        </w:tc>
        <w:tc>
          <w:tcPr>
            <w:tcW w:w="1070" w:type="dxa"/>
            <w:vAlign w:val="bottom"/>
          </w:tcPr>
          <w:p>
            <w:pPr>
              <w:jc w:val="center"/>
              <w:ind w:right="67"/>
              <w:spacing w:after="0"/>
              <w:rPr>
                <w:sz w:val="20"/>
                <w:szCs w:val="20"/>
                <w:color w:val="auto"/>
              </w:rPr>
            </w:pPr>
            <w:r>
              <w:rPr>
                <w:rFonts w:ascii="Arial" w:cs="Arial" w:eastAsia="Arial" w:hAnsi="Arial"/>
                <w:sz w:val="18"/>
                <w:szCs w:val="18"/>
                <w:color w:val="auto"/>
                <w:w w:val="99"/>
              </w:rPr>
              <w:t>X</w:t>
            </w:r>
          </w:p>
        </w:tc>
        <w:tc>
          <w:tcPr>
            <w:tcW w:w="99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tcBorders>
              <w:top w:val="single" w:sz="8" w:color="0000FF"/>
            </w:tcBorders>
            <w:gridSpan w:val="8"/>
          </w:tcPr>
          <w:p>
            <w:pPr>
              <w:spacing w:after="0" w:line="196"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1350 as adopted pursuant to Section 906 of the Sarbanes-Oxley</w:t>
              </w:r>
            </w:hyperlink>
          </w:p>
        </w:tc>
        <w:tc>
          <w:tcPr>
            <w:tcW w:w="240" w:type="dxa"/>
            <w:vAlign w:val="bottom"/>
          </w:tcPr>
          <w:p>
            <w:pPr>
              <w:spacing w:after="0"/>
              <w:rPr>
                <w:sz w:val="17"/>
                <w:szCs w:val="17"/>
                <w:color w:val="auto"/>
              </w:rPr>
            </w:pPr>
          </w:p>
        </w:tc>
        <w:tc>
          <w:tcPr>
            <w:tcW w:w="107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7"/>
              </w:rPr>
            </w:pPr>
            <w:hyperlink w:anchor="page51">
              <w:r>
                <w:rPr>
                  <w:rFonts w:ascii="Arial" w:cs="Arial" w:eastAsia="Arial" w:hAnsi="Arial"/>
                  <w:sz w:val="18"/>
                  <w:szCs w:val="18"/>
                  <w:color w:val="0000FF"/>
                  <w:w w:val="97"/>
                </w:rPr>
                <w:t>Act of 2002.</w:t>
              </w:r>
            </w:hyperlink>
          </w:p>
        </w:tc>
        <w:tc>
          <w:tcPr>
            <w:tcW w:w="4160" w:type="dxa"/>
            <w:vAlign w:val="bottom"/>
            <w:tcBorders>
              <w:top w:val="single" w:sz="8" w:color="0000FF"/>
            </w:tcBorders>
            <w:gridSpan w:val="6"/>
          </w:tcPr>
          <w:p>
            <w:pPr>
              <w:spacing w:after="0"/>
              <w:rPr>
                <w:sz w:val="17"/>
                <w:szCs w:val="17"/>
                <w:color w:val="auto"/>
              </w:rPr>
            </w:pPr>
          </w:p>
        </w:tc>
        <w:tc>
          <w:tcPr>
            <w:tcW w:w="260" w:type="dxa"/>
            <w:vAlign w:val="bottom"/>
            <w:gridSpan w:val="2"/>
          </w:tcPr>
          <w:p>
            <w:pPr>
              <w:spacing w:after="0"/>
              <w:rPr>
                <w:sz w:val="17"/>
                <w:szCs w:val="17"/>
                <w:color w:val="auto"/>
              </w:rPr>
            </w:pPr>
          </w:p>
        </w:tc>
        <w:tc>
          <w:tcPr>
            <w:tcW w:w="107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4800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-1731010</wp:posOffset>
            </wp:positionV>
            <wp:extent cx="29660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p>
      <w:pPr>
        <w:spacing w:after="0" w:line="134" w:lineRule="exact"/>
        <w:rPr>
          <w:sz w:val="20"/>
          <w:szCs w:val="20"/>
          <w:color w:val="auto"/>
        </w:rPr>
      </w:pPr>
    </w:p>
    <w:p>
      <w:pPr>
        <w:jc w:val="both"/>
        <w:ind w:left="1220" w:hanging="493"/>
        <w:spacing w:after="0" w:line="256" w:lineRule="auto"/>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32.2 Certification by the Chief Financial Officer pursuant to 18 U.S.C.</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1350 as adopted pursuant to Section 906 of the Sarbanes-Oxley</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Act of 2002.</w:t>
        </w:r>
      </w:hyperlink>
    </w:p>
    <w:p>
      <w:pPr>
        <w:spacing w:after="0" w:line="40" w:lineRule="exact"/>
        <w:rPr>
          <w:rFonts w:ascii="Arial" w:cs="Arial" w:eastAsia="Arial" w:hAnsi="Arial"/>
          <w:sz w:val="18"/>
          <w:szCs w:val="18"/>
          <w:u w:val="single" w:color="auto"/>
          <w:color w:val="0000FF"/>
        </w:rPr>
      </w:pPr>
    </w:p>
    <w:p>
      <w:pPr>
        <w:jc w:val="both"/>
        <w:ind w:left="1220" w:right="40" w:hanging="793"/>
        <w:spacing w:after="0" w:line="256" w:lineRule="auto"/>
        <w:rPr>
          <w:sz w:val="20"/>
          <w:szCs w:val="20"/>
          <w:color w:val="auto"/>
        </w:rPr>
      </w:pPr>
      <w:r>
        <w:rPr>
          <w:rFonts w:ascii="Arial" w:cs="Arial" w:eastAsia="Arial" w:hAnsi="Arial"/>
          <w:sz w:val="18"/>
          <w:szCs w:val="18"/>
          <w:color w:val="auto"/>
        </w:rPr>
        <w:t>101.INS Inline XBRL Instance Document - the Instance Document does not appear in the interactive data file because its XBRL tags are embedded within the Inline XBRL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6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FF"/>
        </w:rPr>
      </w:pPr>
    </w:p>
    <w:p>
      <w:pPr>
        <w:spacing w:after="0" w:line="36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480" w:lineRule="exact"/>
        <w:rPr>
          <w:rFonts w:ascii="Arial" w:cs="Arial" w:eastAsia="Arial" w:hAnsi="Arial"/>
          <w:sz w:val="18"/>
          <w:szCs w:val="18"/>
          <w:u w:val="single" w:color="auto"/>
          <w:color w:val="0000FF"/>
        </w:rPr>
      </w:pPr>
    </w:p>
    <w:p>
      <w:pPr>
        <w:sectPr>
          <w:pgSz w:w="11900" w:h="16838" w:orient="portrait"/>
          <w:cols w:equalWidth="0" w:num="2">
            <w:col w:w="6340" w:space="660"/>
            <w:col w:w="4260"/>
          </w:cols>
          <w:pgMar w:left="320" w:top="126" w:right="31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101.SCH</w:t>
            </w:r>
          </w:p>
        </w:tc>
        <w:tc>
          <w:tcPr>
            <w:tcW w:w="5540" w:type="dxa"/>
            <w:vAlign w:val="bottom"/>
            <w:tcBorders>
              <w:bottom w:val="single" w:sz="8" w:color="F4F4F4"/>
            </w:tcBorders>
            <w:shd w:val="clear" w:color="auto" w:fill="F4F4F4"/>
          </w:tcPr>
          <w:p>
            <w:pPr>
              <w:ind w:left="80"/>
              <w:spacing w:after="0"/>
              <w:rPr>
                <w:sz w:val="20"/>
                <w:szCs w:val="20"/>
                <w:color w:val="auto"/>
              </w:rPr>
            </w:pPr>
            <w:r>
              <w:rPr>
                <w:rFonts w:ascii="Arial" w:cs="Arial" w:eastAsia="Arial" w:hAnsi="Arial"/>
                <w:sz w:val="18"/>
                <w:szCs w:val="18"/>
                <w:color w:val="auto"/>
              </w:rPr>
              <w:t>Inline XBRL Taxonomy Extension Schema Document.</w:t>
            </w:r>
          </w:p>
        </w:tc>
        <w:tc>
          <w:tcPr>
            <w:tcW w:w="4560" w:type="dxa"/>
            <w:vAlign w:val="bottom"/>
            <w:tcBorders>
              <w:bottom w:val="single" w:sz="8" w:color="F4F4F4"/>
            </w:tcBorders>
            <w:shd w:val="clear" w:color="auto" w:fill="F4F4F4"/>
          </w:tcPr>
          <w:p>
            <w:pPr>
              <w:ind w:left="320"/>
              <w:spacing w:after="0"/>
              <w:rPr>
                <w:sz w:val="20"/>
                <w:szCs w:val="20"/>
                <w:color w:val="auto"/>
              </w:rPr>
            </w:pPr>
            <w:r>
              <w:rPr>
                <w:rFonts w:ascii="Arial" w:cs="Arial" w:eastAsia="Arial" w:hAnsi="Arial"/>
                <w:sz w:val="18"/>
                <w:szCs w:val="18"/>
                <w:color w:val="auto"/>
              </w:rPr>
              <w:t>X</w:t>
            </w:r>
          </w:p>
        </w:tc>
      </w:tr>
      <w:tr>
        <w:trPr>
          <w:trHeight w:val="242"/>
        </w:trPr>
        <w:tc>
          <w:tcPr>
            <w:tcW w:w="1140" w:type="dxa"/>
            <w:vAlign w:val="bottom"/>
          </w:tcPr>
          <w:p>
            <w:pPr>
              <w:jc w:val="right"/>
              <w:spacing w:after="0"/>
              <w:rPr>
                <w:sz w:val="20"/>
                <w:szCs w:val="20"/>
                <w:color w:val="auto"/>
              </w:rPr>
            </w:pPr>
            <w:r>
              <w:rPr>
                <w:rFonts w:ascii="Arial" w:cs="Arial" w:eastAsia="Arial" w:hAnsi="Arial"/>
                <w:sz w:val="18"/>
                <w:szCs w:val="18"/>
                <w:color w:val="auto"/>
              </w:rPr>
              <w:t>101.CAL</w:t>
            </w:r>
          </w:p>
        </w:tc>
        <w:tc>
          <w:tcPr>
            <w:tcW w:w="5540" w:type="dxa"/>
            <w:vAlign w:val="bottom"/>
          </w:tcPr>
          <w:p>
            <w:pPr>
              <w:ind w:left="80"/>
              <w:spacing w:after="0"/>
              <w:rPr>
                <w:sz w:val="20"/>
                <w:szCs w:val="20"/>
                <w:color w:val="auto"/>
              </w:rPr>
            </w:pPr>
            <w:r>
              <w:rPr>
                <w:rFonts w:ascii="Arial" w:cs="Arial" w:eastAsia="Arial" w:hAnsi="Arial"/>
                <w:sz w:val="18"/>
                <w:szCs w:val="18"/>
                <w:color w:val="auto"/>
              </w:rPr>
              <w:t>Inline XBRL Taxonomy Extension Calculation Linkbase</w:t>
            </w:r>
          </w:p>
        </w:tc>
        <w:tc>
          <w:tcPr>
            <w:tcW w:w="456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17"/>
        </w:trPr>
        <w:tc>
          <w:tcPr>
            <w:tcW w:w="114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Document.</w:t>
            </w:r>
          </w:p>
        </w:tc>
        <w:tc>
          <w:tcPr>
            <w:tcW w:w="456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101.DEF</w:t>
            </w:r>
          </w:p>
        </w:tc>
        <w:tc>
          <w:tcPr>
            <w:tcW w:w="5540" w:type="dxa"/>
            <w:vAlign w:val="bottom"/>
            <w:tcBorders>
              <w:bottom w:val="single" w:sz="8" w:color="F4F4F4"/>
            </w:tcBorders>
            <w:shd w:val="clear" w:color="auto" w:fill="F4F4F4"/>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c>
          <w:tcPr>
            <w:tcW w:w="4560" w:type="dxa"/>
            <w:vAlign w:val="bottom"/>
            <w:tcBorders>
              <w:bottom w:val="single" w:sz="8" w:color="F4F4F4"/>
            </w:tcBorders>
            <w:shd w:val="clear" w:color="auto" w:fill="F4F4F4"/>
          </w:tcPr>
          <w:p>
            <w:pPr>
              <w:ind w:left="320"/>
              <w:spacing w:after="0"/>
              <w:rPr>
                <w:sz w:val="20"/>
                <w:szCs w:val="20"/>
                <w:color w:val="auto"/>
              </w:rPr>
            </w:pPr>
            <w:r>
              <w:rPr>
                <w:rFonts w:ascii="Arial" w:cs="Arial" w:eastAsia="Arial" w:hAnsi="Arial"/>
                <w:sz w:val="18"/>
                <w:szCs w:val="18"/>
                <w:color w:val="auto"/>
              </w:rPr>
              <w:t>X</w:t>
            </w:r>
          </w:p>
        </w:tc>
      </w:tr>
      <w:tr>
        <w:trPr>
          <w:trHeight w:val="243"/>
        </w:trPr>
        <w:tc>
          <w:tcPr>
            <w:tcW w:w="1140" w:type="dxa"/>
            <w:vAlign w:val="bottom"/>
          </w:tcPr>
          <w:p>
            <w:pPr>
              <w:jc w:val="right"/>
              <w:spacing w:after="0"/>
              <w:rPr>
                <w:sz w:val="20"/>
                <w:szCs w:val="20"/>
                <w:color w:val="auto"/>
              </w:rPr>
            </w:pPr>
            <w:r>
              <w:rPr>
                <w:rFonts w:ascii="Arial" w:cs="Arial" w:eastAsia="Arial" w:hAnsi="Arial"/>
                <w:sz w:val="18"/>
                <w:szCs w:val="18"/>
                <w:color w:val="auto"/>
              </w:rPr>
              <w:t>101.LAB</w:t>
            </w:r>
          </w:p>
        </w:tc>
        <w:tc>
          <w:tcPr>
            <w:tcW w:w="5540" w:type="dxa"/>
            <w:vAlign w:val="bottom"/>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c>
          <w:tcPr>
            <w:tcW w:w="456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7"/>
        </w:trPr>
        <w:tc>
          <w:tcPr>
            <w:tcW w:w="1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42"/>
        </w:trPr>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101.PRE</w:t>
            </w:r>
          </w:p>
        </w:tc>
        <w:tc>
          <w:tcPr>
            <w:tcW w:w="5540" w:type="dxa"/>
            <w:vAlign w:val="bottom"/>
            <w:shd w:val="clear" w:color="auto" w:fill="F4F4F4"/>
          </w:tcPr>
          <w:p>
            <w:pPr>
              <w:ind w:left="80"/>
              <w:spacing w:after="0"/>
              <w:rPr>
                <w:sz w:val="20"/>
                <w:szCs w:val="20"/>
                <w:color w:val="auto"/>
              </w:rPr>
            </w:pPr>
            <w:r>
              <w:rPr>
                <w:rFonts w:ascii="Arial" w:cs="Arial" w:eastAsia="Arial" w:hAnsi="Arial"/>
                <w:sz w:val="18"/>
                <w:szCs w:val="18"/>
                <w:color w:val="auto"/>
              </w:rPr>
              <w:t>Inline XBRL Taxonomy Extension Presentation Linkbase</w:t>
            </w:r>
          </w:p>
        </w:tc>
        <w:tc>
          <w:tcPr>
            <w:tcW w:w="4560" w:type="dxa"/>
            <w:vAlign w:val="bottom"/>
            <w:shd w:val="clear" w:color="auto" w:fill="F4F4F4"/>
          </w:tcPr>
          <w:p>
            <w:pPr>
              <w:ind w:left="320"/>
              <w:spacing w:after="0"/>
              <w:rPr>
                <w:sz w:val="20"/>
                <w:szCs w:val="20"/>
                <w:color w:val="auto"/>
              </w:rPr>
            </w:pPr>
            <w:r>
              <w:rPr>
                <w:rFonts w:ascii="Arial" w:cs="Arial" w:eastAsia="Arial" w:hAnsi="Arial"/>
                <w:sz w:val="18"/>
                <w:szCs w:val="18"/>
                <w:color w:val="auto"/>
              </w:rPr>
              <w:t>X</w:t>
            </w:r>
          </w:p>
        </w:tc>
      </w:tr>
      <w:tr>
        <w:trPr>
          <w:trHeight w:val="224"/>
        </w:trPr>
        <w:tc>
          <w:tcPr>
            <w:tcW w:w="1140" w:type="dxa"/>
            <w:vAlign w:val="bottom"/>
            <w:tcBorders>
              <w:bottom w:val="single" w:sz="8" w:color="F4F4F4"/>
            </w:tcBorders>
            <w:shd w:val="clear" w:color="auto" w:fill="F4F4F4"/>
          </w:tcPr>
          <w:p>
            <w:pPr>
              <w:spacing w:after="0"/>
              <w:rPr>
                <w:sz w:val="19"/>
                <w:szCs w:val="19"/>
                <w:color w:val="auto"/>
              </w:rPr>
            </w:pPr>
          </w:p>
        </w:tc>
        <w:tc>
          <w:tcPr>
            <w:tcW w:w="5540" w:type="dxa"/>
            <w:vAlign w:val="bottom"/>
            <w:tcBorders>
              <w:bottom w:val="single" w:sz="8" w:color="F4F4F4"/>
            </w:tcBorders>
            <w:shd w:val="clear" w:color="auto" w:fill="F4F4F4"/>
          </w:tcPr>
          <w:p>
            <w:pPr>
              <w:ind w:left="80"/>
              <w:spacing w:after="0"/>
              <w:rPr>
                <w:sz w:val="20"/>
                <w:szCs w:val="20"/>
                <w:color w:val="auto"/>
              </w:rPr>
            </w:pPr>
            <w:r>
              <w:rPr>
                <w:rFonts w:ascii="Arial" w:cs="Arial" w:eastAsia="Arial" w:hAnsi="Arial"/>
                <w:sz w:val="18"/>
                <w:szCs w:val="18"/>
                <w:color w:val="auto"/>
              </w:rPr>
              <w:t>Document.</w:t>
            </w:r>
          </w:p>
        </w:tc>
        <w:tc>
          <w:tcPr>
            <w:tcW w:w="4560" w:type="dxa"/>
            <w:vAlign w:val="bottom"/>
            <w:tcBorders>
              <w:bottom w:val="single" w:sz="8" w:color="F4F4F4"/>
            </w:tcBorders>
            <w:shd w:val="clear" w:color="auto" w:fill="F4F4F4"/>
          </w:tcPr>
          <w:p>
            <w:pPr>
              <w:spacing w:after="0"/>
              <w:rPr>
                <w:sz w:val="19"/>
                <w:szCs w:val="19"/>
                <w:color w:val="auto"/>
              </w:rPr>
            </w:pPr>
          </w:p>
        </w:tc>
      </w:tr>
      <w:tr>
        <w:trPr>
          <w:trHeight w:val="242"/>
        </w:trPr>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5540" w:type="dxa"/>
            <w:vAlign w:val="bottom"/>
          </w:tcPr>
          <w:p>
            <w:pPr>
              <w:ind w:left="80"/>
              <w:spacing w:after="0"/>
              <w:rPr>
                <w:sz w:val="20"/>
                <w:szCs w:val="20"/>
                <w:color w:val="auto"/>
              </w:rPr>
            </w:pPr>
            <w:r>
              <w:rPr>
                <w:rFonts w:ascii="Arial" w:cs="Arial" w:eastAsia="Arial" w:hAnsi="Arial"/>
                <w:sz w:val="18"/>
                <w:szCs w:val="18"/>
                <w:color w:val="auto"/>
              </w:rPr>
              <w:t>Cover Page Interactive Data File (formatted as Inline XBRL and</w:t>
            </w:r>
          </w:p>
        </w:tc>
        <w:tc>
          <w:tcPr>
            <w:tcW w:w="456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17"/>
        </w:trPr>
        <w:tc>
          <w:tcPr>
            <w:tcW w:w="114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contained in Exhibit 101).</w:t>
            </w:r>
          </w:p>
        </w:tc>
        <w:tc>
          <w:tcPr>
            <w:tcW w:w="4560" w:type="dxa"/>
            <w:vAlign w:val="bottom"/>
          </w:tcPr>
          <w:p>
            <w:pPr>
              <w:spacing w:after="0"/>
              <w:rPr>
                <w:sz w:val="18"/>
                <w:szCs w:val="18"/>
                <w:color w:val="auto"/>
              </w:rPr>
            </w:pPr>
          </w:p>
        </w:tc>
      </w:tr>
      <w:tr>
        <w:trPr>
          <w:trHeight w:val="27"/>
        </w:trPr>
        <w:tc>
          <w:tcPr>
            <w:tcW w:w="1140" w:type="dxa"/>
            <w:vAlign w:val="bottom"/>
            <w:tcBorders>
              <w:bottom w:val="single" w:sz="8" w:color="71BF43"/>
            </w:tcBorders>
          </w:tcPr>
          <w:p>
            <w:pPr>
              <w:spacing w:after="0"/>
              <w:rPr>
                <w:sz w:val="2"/>
                <w:szCs w:val="2"/>
                <w:color w:val="auto"/>
              </w:rPr>
            </w:pPr>
          </w:p>
        </w:tc>
        <w:tc>
          <w:tcPr>
            <w:tcW w:w="5540" w:type="dxa"/>
            <w:vAlign w:val="bottom"/>
            <w:tcBorders>
              <w:bottom w:val="single" w:sz="8" w:color="71BF43"/>
            </w:tcBorders>
          </w:tcPr>
          <w:p>
            <w:pPr>
              <w:spacing w:after="0"/>
              <w:rPr>
                <w:sz w:val="2"/>
                <w:szCs w:val="2"/>
                <w:color w:val="auto"/>
              </w:rPr>
            </w:pPr>
          </w:p>
        </w:tc>
        <w:tc>
          <w:tcPr>
            <w:tcW w:w="4560" w:type="dxa"/>
            <w:vAlign w:val="bottom"/>
            <w:tcBorders>
              <w:bottom w:val="single" w:sz="8" w:color="71BF43"/>
            </w:tcBorders>
          </w:tcPr>
          <w:p>
            <w:pPr>
              <w:spacing w:after="0"/>
              <w:rPr>
                <w:sz w:val="2"/>
                <w:szCs w:val="2"/>
                <w:color w:val="auto"/>
              </w:rPr>
            </w:pPr>
          </w:p>
        </w:tc>
      </w:tr>
      <w:tr>
        <w:trPr>
          <w:trHeight w:val="684"/>
        </w:trPr>
        <w:tc>
          <w:tcPr>
            <w:tcW w:w="1140" w:type="dxa"/>
            <w:vAlign w:val="bottom"/>
          </w:tcPr>
          <w:p>
            <w:pPr>
              <w:jc w:val="right"/>
              <w:ind w:right="873"/>
              <w:spacing w:after="0"/>
              <w:rPr>
                <w:sz w:val="20"/>
                <w:szCs w:val="20"/>
                <w:color w:val="auto"/>
              </w:rPr>
            </w:pPr>
            <w:r>
              <w:rPr>
                <w:rFonts w:ascii="Arial" w:cs="Arial" w:eastAsia="Arial" w:hAnsi="Arial"/>
                <w:sz w:val="14"/>
                <w:szCs w:val="14"/>
                <w:color w:val="auto"/>
              </w:rPr>
              <w:t>46</w:t>
            </w:r>
          </w:p>
        </w:tc>
        <w:tc>
          <w:tcPr>
            <w:tcW w:w="5540" w:type="dxa"/>
            <w:vAlign w:val="bottom"/>
          </w:tcPr>
          <w:p>
            <w:pPr>
              <w:ind w:left="500"/>
              <w:spacing w:after="0"/>
              <w:rPr>
                <w:sz w:val="20"/>
                <w:szCs w:val="20"/>
                <w:color w:val="auto"/>
              </w:rPr>
            </w:pPr>
            <w:r>
              <w:rPr>
                <w:rFonts w:ascii="Arial" w:cs="Arial" w:eastAsia="Arial" w:hAnsi="Arial"/>
                <w:sz w:val="14"/>
                <w:szCs w:val="14"/>
                <w:color w:val="auto"/>
              </w:rPr>
              <w:t>Second Quarter 2021 Form 10-Q</w:t>
            </w:r>
          </w:p>
        </w:tc>
        <w:tc>
          <w:tcPr>
            <w:tcW w:w="4560" w:type="dxa"/>
            <w:vAlign w:val="bottom"/>
          </w:tcPr>
          <w:p>
            <w:pPr>
              <w:spacing w:after="0"/>
              <w:rPr>
                <w:sz w:val="24"/>
                <w:szCs w:val="24"/>
                <w:color w:val="auto"/>
              </w:rPr>
            </w:pPr>
          </w:p>
        </w:tc>
      </w:tr>
      <w:tr>
        <w:trPr>
          <w:trHeight w:val="329"/>
        </w:trPr>
        <w:tc>
          <w:tcPr>
            <w:tcW w:w="114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Arial" w:cs="Arial" w:eastAsia="Arial" w:hAnsi="Arial"/>
          <w:sz w:val="40"/>
          <w:szCs w:val="40"/>
          <w:b w:val="1"/>
          <w:bCs w:val="1"/>
          <w:color w:val="50535A"/>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-263525</wp:posOffset>
            </wp:positionV>
            <wp:extent cx="171450" cy="2228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71450" cy="222885"/>
                    </a:xfrm>
                    <a:prstGeom prst="rect">
                      <a:avLst/>
                    </a:prstGeom>
                    <a:noFill/>
                  </pic:spPr>
                </pic:pic>
              </a:graphicData>
            </a:graphic>
          </wp:anchor>
        </w:drawing>
      </w:r>
    </w:p>
    <w:p>
      <w:pPr>
        <w:spacing w:after="0" w:line="30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340" w:type="dxa"/>
            <w:vAlign w:val="bottom"/>
            <w:gridSpan w:val="2"/>
          </w:tcPr>
          <w:p>
            <w:pPr>
              <w:ind w:left="2000"/>
              <w:spacing w:after="0"/>
              <w:rPr>
                <w:sz w:val="20"/>
                <w:szCs w:val="20"/>
                <w:color w:val="auto"/>
              </w:rPr>
            </w:pPr>
            <w:r>
              <w:rPr>
                <w:rFonts w:ascii="Arial" w:cs="Arial" w:eastAsia="Arial" w:hAnsi="Arial"/>
                <w:sz w:val="18"/>
                <w:szCs w:val="18"/>
                <w:b w:val="1"/>
                <w:bCs w:val="1"/>
                <w:color w:val="auto"/>
              </w:rPr>
              <w:t>BLACKBAUD, INC.</w:t>
            </w: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ind w:left="100"/>
              <w:spacing w:after="0"/>
              <w:rPr>
                <w:sz w:val="20"/>
                <w:szCs w:val="20"/>
                <w:color w:val="auto"/>
              </w:rPr>
            </w:pPr>
            <w:r>
              <w:rPr>
                <w:rFonts w:ascii="Arial" w:cs="Arial" w:eastAsia="Arial" w:hAnsi="Arial"/>
                <w:sz w:val="18"/>
                <w:szCs w:val="18"/>
                <w:color w:val="auto"/>
              </w:rPr>
              <w:t>August 6, 2021</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Michael P. Gianoni</w:t>
            </w:r>
          </w:p>
        </w:tc>
      </w:tr>
      <w:tr>
        <w:trPr>
          <w:trHeight w:val="27"/>
        </w:trPr>
        <w:tc>
          <w:tcPr>
            <w:tcW w:w="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Michael P. Gianoni</w:t>
            </w:r>
          </w:p>
        </w:tc>
      </w:tr>
      <w:tr>
        <w:trPr>
          <w:trHeight w:val="270"/>
        </w:trPr>
        <w:tc>
          <w:tcPr>
            <w:tcW w:w="54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54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ind w:left="100"/>
              <w:spacing w:after="0"/>
              <w:rPr>
                <w:sz w:val="20"/>
                <w:szCs w:val="20"/>
                <w:color w:val="auto"/>
              </w:rPr>
            </w:pPr>
            <w:r>
              <w:rPr>
                <w:rFonts w:ascii="Arial" w:cs="Arial" w:eastAsia="Arial" w:hAnsi="Arial"/>
                <w:sz w:val="18"/>
                <w:szCs w:val="18"/>
                <w:color w:val="auto"/>
              </w:rPr>
              <w:t>August 6, 2021</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Anthony W. Boor</w:t>
            </w:r>
          </w:p>
        </w:tc>
      </w:tr>
      <w:tr>
        <w:trPr>
          <w:trHeight w:val="27"/>
        </w:trPr>
        <w:tc>
          <w:tcPr>
            <w:tcW w:w="5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Anthony W. Boor</w:t>
            </w:r>
          </w:p>
        </w:tc>
      </w:tr>
      <w:tr>
        <w:trPr>
          <w:trHeight w:val="270"/>
        </w:trPr>
        <w:tc>
          <w:tcPr>
            <w:tcW w:w="54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54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556895</wp:posOffset>
            </wp:positionV>
            <wp:extent cx="659765"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7480" w:type="dxa"/>
        <w:tblCellMar>
          <w:top w:w="0" w:type="dxa"/>
          <w:left w:w="0" w:type="dxa"/>
          <w:bottom w:w="0" w:type="dxa"/>
          <w:right w:w="0" w:type="dxa"/>
        </w:tblCellMar>
      </w:tblPr>
      <w:tr>
        <w:trPr>
          <w:trHeight w:val="172"/>
        </w:trPr>
        <w:tc>
          <w:tcPr>
            <w:tcW w:w="2840" w:type="dxa"/>
            <w:vAlign w:val="bottom"/>
          </w:tcPr>
          <w:p>
            <w:pPr>
              <w:spacing w:after="0"/>
              <w:rPr>
                <w:sz w:val="20"/>
                <w:szCs w:val="20"/>
                <w:color w:val="auto"/>
              </w:rPr>
            </w:pPr>
            <w:r>
              <w:rPr>
                <w:rFonts w:ascii="Arial" w:cs="Arial" w:eastAsia="Arial" w:hAnsi="Arial"/>
                <w:sz w:val="14"/>
                <w:szCs w:val="14"/>
                <w:color w:val="auto"/>
              </w:rPr>
              <w:t>Second Quarter 2021 Form 10-Q</w:t>
            </w: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r>
    </w:tbl>
    <w:p>
      <w:pPr>
        <w:sectPr>
          <w:pgSz w:w="11900" w:h="16838" w:orient="portrait"/>
          <w:cols w:equalWidth="0" w:num="1">
            <w:col w:w="11240"/>
          </w:cols>
          <w:pgMar w:left="320" w:top="12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Date:  August 6, 2021</w:t>
            </w: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/s/ Michael P. Gianoni</w:t>
            </w:r>
          </w:p>
        </w:tc>
      </w:tr>
      <w:tr>
        <w:trPr>
          <w:trHeight w:val="223"/>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Date:  August 6, 2021</w:t>
            </w: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/s/ Anthony W. Boor</w:t>
            </w:r>
          </w:p>
        </w:tc>
      </w:tr>
      <w:tr>
        <w:trPr>
          <w:trHeight w:val="223"/>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8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June 30, 2021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Date:  August 6, 2021</w:t>
            </w:r>
          </w:p>
        </w:tc>
        <w:tc>
          <w:tcPr>
            <w:tcW w:w="7380" w:type="dxa"/>
            <w:vAlign w:val="bottom"/>
            <w:gridSpan w:val="2"/>
          </w:tcPr>
          <w:p>
            <w:pPr>
              <w:ind w:left="1960"/>
              <w:spacing w:after="0"/>
              <w:rPr>
                <w:sz w:val="20"/>
                <w:szCs w:val="20"/>
                <w:color w:val="auto"/>
              </w:rPr>
            </w:pPr>
            <w:r>
              <w:rPr>
                <w:rFonts w:ascii="Arial" w:cs="Arial" w:eastAsia="Arial" w:hAnsi="Arial"/>
                <w:sz w:val="18"/>
                <w:szCs w:val="18"/>
                <w:color w:val="auto"/>
              </w:rPr>
              <w:t>By:   /s/ Michael P. Gianoni</w:t>
            </w:r>
          </w:p>
        </w:tc>
      </w:tr>
      <w:tr>
        <w:trPr>
          <w:trHeight w:val="223"/>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29"/>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June 30, 2021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Date:  August 6, 2021</w:t>
            </w:r>
          </w:p>
        </w:tc>
        <w:tc>
          <w:tcPr>
            <w:tcW w:w="7380" w:type="dxa"/>
            <w:vAlign w:val="bottom"/>
            <w:gridSpan w:val="2"/>
          </w:tcPr>
          <w:p>
            <w:pPr>
              <w:ind w:left="1960"/>
              <w:spacing w:after="0"/>
              <w:rPr>
                <w:sz w:val="20"/>
                <w:szCs w:val="20"/>
                <w:color w:val="auto"/>
              </w:rPr>
            </w:pPr>
            <w:r>
              <w:rPr>
                <w:rFonts w:ascii="Arial" w:cs="Arial" w:eastAsia="Arial" w:hAnsi="Arial"/>
                <w:sz w:val="18"/>
                <w:szCs w:val="18"/>
                <w:color w:val="auto"/>
              </w:rPr>
              <w:t>By:   /s/ Anthony W. Boor</w:t>
            </w:r>
          </w:p>
        </w:tc>
      </w:tr>
      <w:tr>
        <w:trPr>
          <w:trHeight w:val="223"/>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29"/>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8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emdash "/>
      <w:numFmt w:val="bullet"/>
      <w:start w:val="1"/>
    </w:lvl>
  </w:abstractNum>
  <w:abstractNum w:abstractNumId="3">
    <w:nsid w:val="2443A858"/>
    <w:multiLevelType w:val="hybridMultilevel"/>
    <w:lvl w:ilvl="0">
      <w:lvlJc w:val="left"/>
      <w:lvlText w:val="\emdash "/>
      <w:numFmt w:val="bullet"/>
      <w:start w:val="1"/>
    </w:lvl>
  </w:abstractNum>
  <w:abstractNum w:abstractNumId="4">
    <w:nsid w:val="2D1D5AE9"/>
    <w:multiLevelType w:val="hybridMultilevel"/>
    <w:lvl w:ilvl="0">
      <w:lvlJc w:val="left"/>
      <w:lvlText w:val="6"/>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bullet"/>
      <w:start w:val="1"/>
    </w:lvl>
  </w:abstractNum>
  <w:abstractNum w:abstractNumId="12">
    <w:nsid w:val="54E49EB4"/>
    <w:multiLevelType w:val="hybridMultilevel"/>
    <w:lvl w:ilvl="0">
      <w:lvlJc w:val="left"/>
      <w:lvlText w:val="2"/>
      <w:numFmt w:val="bullet"/>
      <w:start w:val="1"/>
    </w:lvl>
  </w:abstractNum>
  <w:abstractNum w:abstractNumId="13">
    <w:nsid w:val="71F32454"/>
    <w:multiLevelType w:val="hybridMultilevel"/>
    <w:lvl w:ilvl="0">
      <w:lvlJc w:val="left"/>
      <w:lvlText w:val="%1."/>
      <w:numFmt w:val="decimal"/>
    </w:lvl>
    <w:lvl w:ilvl="1">
      <w:lvlJc w:val="left"/>
      <w:lvlText w:val="3"/>
      <w:numFmt w:val="bullet"/>
      <w:start w:val="1"/>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jpeg"/><Relationship Id="rId217" Type="http://schemas.openxmlformats.org/officeDocument/2006/relationships/image" Target="media/image209.jpeg"/><Relationship Id="rId210" Type="http://schemas.openxmlformats.org/officeDocument/2006/relationships/hyperlink" Target="https://www.sec.gov/Archives/edgar/data/1280058/000128005821000011/def14aapr2021.htm#ic898d2fb7a23496296383dec3b9ed2c6_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2021-08-06T06:58:53Z</dcterms:created>
  <dcterms:modified xsi:type="dcterms:W3CDTF">2021-08-06T06:58:53Z</dcterms:modified>
</cp:coreProperties>
</file>