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51555C"/>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51555C"/>
        </w:rPr>
        <w:t>SECURITIES AND EXCHANGE COMMISSION</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51555C"/>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51555C"/>
        </w:rPr>
        <w:t>FORM 10-Q</w:t>
      </w:r>
    </w:p>
    <w:p>
      <w:pPr>
        <w:spacing w:after="0" w:line="222" w:lineRule="exact"/>
        <w:rPr>
          <w:sz w:val="24"/>
          <w:szCs w:val="24"/>
          <w:color w:val="auto"/>
        </w:rPr>
      </w:pPr>
    </w:p>
    <w:p>
      <w:pPr>
        <w:ind w:left="700" w:right="2440" w:hanging="550"/>
        <w:spacing w:after="0" w:line="349" w:lineRule="auto"/>
        <w:tabs>
          <w:tab w:leader="none" w:pos="484" w:val="left"/>
        </w:tabs>
        <w:numPr>
          <w:ilvl w:val="0"/>
          <w:numId w:val="1"/>
        </w:numPr>
        <w:rPr>
          <w:rFonts w:ascii="MS PGothic" w:cs="MS PGothic" w:eastAsia="MS PGothic" w:hAnsi="MS PGothic"/>
          <w:sz w:val="20"/>
          <w:szCs w:val="20"/>
          <w:color w:val="51555C"/>
        </w:rPr>
      </w:pPr>
      <w:r>
        <w:rPr>
          <w:rFonts w:ascii="Arial" w:cs="Arial" w:eastAsia="Arial" w:hAnsi="Arial"/>
          <w:sz w:val="16"/>
          <w:szCs w:val="16"/>
          <w:b w:val="1"/>
          <w:bCs w:val="1"/>
          <w:color w:val="51555C"/>
        </w:rPr>
        <w:t xml:space="preserve">QUARTERLY REPORT PURSUANT TO SECTION 13 OR 15(d) OF THE SECURITIES EXCHANGE ACT OF 1934 </w:t>
      </w:r>
      <w:r>
        <w:rPr>
          <w:rFonts w:ascii="Arial" w:cs="Arial" w:eastAsia="Arial" w:hAnsi="Arial"/>
          <w:sz w:val="16"/>
          <w:szCs w:val="16"/>
          <w:color w:val="51555C"/>
        </w:rPr>
        <w:t>For the quarterly period ended March 31, 2025</w:t>
      </w:r>
    </w:p>
    <w:p>
      <w:pPr>
        <w:jc w:val="center"/>
        <w:ind w:right="-19"/>
        <w:spacing w:after="0"/>
        <w:rPr>
          <w:sz w:val="20"/>
          <w:szCs w:val="20"/>
          <w:color w:val="auto"/>
        </w:rPr>
      </w:pPr>
      <w:r>
        <w:rPr>
          <w:rFonts w:ascii="Arial" w:cs="Arial" w:eastAsia="Arial" w:hAnsi="Arial"/>
          <w:sz w:val="16"/>
          <w:szCs w:val="16"/>
          <w:b w:val="1"/>
          <w:bCs w:val="1"/>
          <w:color w:val="51555C"/>
        </w:rPr>
        <w:t>or</w:t>
      </w:r>
    </w:p>
    <w:p>
      <w:pPr>
        <w:spacing w:after="0" w:line="154"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51555C"/>
        </w:rPr>
      </w:pPr>
      <w:r>
        <w:rPr>
          <w:rFonts w:ascii="Arial" w:cs="Arial" w:eastAsia="Arial" w:hAnsi="Arial"/>
          <w:sz w:val="16"/>
          <w:szCs w:val="16"/>
          <w:b w:val="1"/>
          <w:bCs w:val="1"/>
          <w:color w:val="51555C"/>
        </w:rPr>
        <w:t>TRANSITION REPORT PURSUANT TO SECTION 13 OR 15(d) OF THE SECURITIES EXCHANGE ACT OF 1934</w:t>
      </w:r>
    </w:p>
    <w:p>
      <w:pPr>
        <w:spacing w:after="0" w:line="6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51555C"/>
        </w:rPr>
        <w:t>For the transition period from</w:t>
      </w:r>
      <w:r>
        <w:rPr>
          <w:sz w:val="20"/>
          <w:szCs w:val="20"/>
          <w:color w:val="auto"/>
        </w:rPr>
        <w:tab/>
      </w:r>
      <w:r>
        <w:rPr>
          <w:rFonts w:ascii="Arial" w:cs="Arial" w:eastAsia="Arial" w:hAnsi="Arial"/>
          <w:sz w:val="16"/>
          <w:szCs w:val="16"/>
          <w:color w:val="51555C"/>
        </w:rPr>
        <w:t>to</w:t>
      </w:r>
      <w:r>
        <w:rPr>
          <w:sz w:val="20"/>
          <w:szCs w:val="20"/>
          <w:color w:val="auto"/>
        </w:rPr>
        <w:tab/>
      </w:r>
      <w:r>
        <w:rPr>
          <w:rFonts w:ascii="Arial" w:cs="Arial" w:eastAsia="Arial" w:hAnsi="Arial"/>
          <w:sz w:val="16"/>
          <w:szCs w:val="16"/>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-4445</wp:posOffset>
            </wp:positionV>
            <wp:extent cx="1257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 xml:space="preserve">Commission file number: </w:t>
      </w:r>
      <w:r>
        <w:rPr>
          <w:rFonts w:ascii="Arial" w:cs="Arial" w:eastAsia="Arial" w:hAnsi="Arial"/>
          <w:sz w:val="16"/>
          <w:szCs w:val="16"/>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175260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51555C"/>
        </w:rPr>
        <w:t>Blackbaud,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16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51555C"/>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b w:val="1"/>
          <w:bCs w:val="1"/>
          <w:color w:val="51555C"/>
        </w:rPr>
        <w:t>11-2617163</w:t>
      </w:r>
    </w:p>
    <w:p>
      <w:pPr>
        <w:spacing w:after="0" w:line="70" w:lineRule="exact"/>
        <w:rPr>
          <w:sz w:val="24"/>
          <w:szCs w:val="24"/>
          <w:color w:val="auto"/>
        </w:rPr>
      </w:pPr>
    </w:p>
    <w:p>
      <w:pPr>
        <w:sectPr>
          <w:pgSz w:w="11900" w:h="16838" w:orient="portrait"/>
          <w:cols w:equalWidth="0" w:num="2">
            <w:col w:w="7340" w:space="720"/>
            <w:col w:w="3180"/>
          </w:cols>
          <w:pgMar w:left="320" w:top="926"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51555C"/>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51555C"/>
        </w:rPr>
        <w:t>(I.R.S. Employer Identification No.)</w:t>
      </w:r>
    </w:p>
    <w:p>
      <w:pPr>
        <w:spacing w:after="0" w:line="113" w:lineRule="exact"/>
        <w:rPr>
          <w:sz w:val="24"/>
          <w:szCs w:val="24"/>
          <w:color w:val="auto"/>
        </w:rPr>
      </w:pPr>
    </w:p>
    <w:p>
      <w:pPr>
        <w:sectPr>
          <w:pgSz w:w="11900" w:h="16838" w:orient="portrait"/>
          <w:cols w:equalWidth="0" w:num="2">
            <w:col w:w="6520" w:space="720"/>
            <w:col w:w="4000"/>
          </w:cols>
          <w:pgMar w:left="320" w:top="926" w:right="339" w:bottom="1440" w:gutter="0" w:footer="0" w:header="0"/>
          <w:type w:val="continuous"/>
        </w:sectPr>
      </w:pPr>
    </w:p>
    <w:p>
      <w:pPr>
        <w:ind w:left="4920"/>
        <w:spacing w:after="0"/>
        <w:rPr>
          <w:sz w:val="20"/>
          <w:szCs w:val="20"/>
          <w:color w:val="auto"/>
        </w:rPr>
      </w:pPr>
      <w:r>
        <w:rPr>
          <w:rFonts w:ascii="Arial" w:cs="Arial" w:eastAsia="Arial" w:hAnsi="Arial"/>
          <w:sz w:val="16"/>
          <w:szCs w:val="16"/>
          <w:b w:val="1"/>
          <w:bCs w:val="1"/>
          <w:color w:val="51555C"/>
        </w:rPr>
        <w:t>65 Fairchild Street</w:t>
      </w:r>
    </w:p>
    <w:p>
      <w:pPr>
        <w:spacing w:after="0" w:line="35"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51555C"/>
        </w:rPr>
        <w:t>Charleston, South Carolina 29492</w:t>
      </w:r>
    </w:p>
    <w:p>
      <w:pPr>
        <w:spacing w:after="0" w:line="5" w:lineRule="exact"/>
        <w:rPr>
          <w:sz w:val="24"/>
          <w:szCs w:val="24"/>
          <w:color w:val="auto"/>
        </w:rPr>
      </w:pPr>
    </w:p>
    <w:p>
      <w:pPr>
        <w:ind w:left="3540"/>
        <w:spacing w:after="0"/>
        <w:rPr>
          <w:sz w:val="20"/>
          <w:szCs w:val="20"/>
          <w:color w:val="auto"/>
        </w:rPr>
      </w:pPr>
      <w:r>
        <w:rPr>
          <w:rFonts w:ascii="Arial" w:cs="Arial" w:eastAsia="Arial" w:hAnsi="Arial"/>
          <w:sz w:val="16"/>
          <w:szCs w:val="16"/>
          <w:color w:val="51555C"/>
        </w:rPr>
        <w:t>(Address of principal executive offices, including zip code)</w:t>
      </w:r>
    </w:p>
    <w:p>
      <w:pPr>
        <w:spacing w:after="0" w:line="15"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51555C"/>
        </w:rPr>
        <w:t>(843) 216-6200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51555C"/>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51555C"/>
              </w:rPr>
              <w:t>Securities Registered Pursuant to Section 12(b) of the Act:</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4"/>
        </w:trPr>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51555C"/>
              </w:rPr>
              <w:t>Title of Each Class</w:t>
            </w:r>
          </w:p>
        </w:tc>
        <w:tc>
          <w:tcPr>
            <w:tcW w:w="1800" w:type="dxa"/>
            <w:vAlign w:val="bottom"/>
          </w:tcPr>
          <w:p>
            <w:pPr>
              <w:spacing w:after="0"/>
              <w:rPr>
                <w:sz w:val="17"/>
                <w:szCs w:val="17"/>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51555C"/>
              </w:rPr>
              <w:t>Trading Symbol(s)</w:t>
            </w:r>
          </w:p>
        </w:tc>
        <w:tc>
          <w:tcPr>
            <w:tcW w:w="1160" w:type="dxa"/>
            <w:vAlign w:val="bottom"/>
          </w:tcPr>
          <w:p>
            <w:pPr>
              <w:spacing w:after="0"/>
              <w:rPr>
                <w:sz w:val="17"/>
                <w:szCs w:val="17"/>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51555C"/>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51555C"/>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51555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51555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51555C"/>
              </w:rPr>
              <w:t>Common Stock, $0.001 Par Value</w:t>
            </w:r>
          </w:p>
        </w:tc>
        <w:tc>
          <w:tcPr>
            <w:tcW w:w="4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51555C"/>
                <w:w w:val="98"/>
              </w:rPr>
              <w:t>BLKB</w:t>
            </w:r>
          </w:p>
        </w:tc>
        <w:tc>
          <w:tcPr>
            <w:tcW w:w="1160" w:type="dxa"/>
            <w:vAlign w:val="bottom"/>
          </w:tcPr>
          <w:p>
            <w:pPr>
              <w:spacing w:after="0"/>
              <w:rPr>
                <w:sz w:val="23"/>
                <w:szCs w:val="23"/>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51555C"/>
              </w:rPr>
              <w:t>Nasdaq Global Select Market</w:t>
            </w:r>
          </w:p>
        </w:tc>
      </w:tr>
      <w:tr>
        <w:trPr>
          <w:trHeight w:val="62"/>
        </w:trPr>
        <w:tc>
          <w:tcPr>
            <w:tcW w:w="14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pacing w:after="0" w:line="200" w:lineRule="exact"/>
        <w:rPr>
          <w:sz w:val="24"/>
          <w:szCs w:val="24"/>
          <w:color w:val="auto"/>
        </w:rPr>
      </w:pPr>
    </w:p>
    <w:p>
      <w:pPr>
        <w:spacing w:after="0" w:line="285" w:lineRule="exact"/>
        <w:rPr>
          <w:sz w:val="24"/>
          <w:szCs w:val="24"/>
          <w:color w:val="auto"/>
        </w:rPr>
      </w:pPr>
    </w:p>
    <w:p>
      <w:pPr>
        <w:jc w:val="both"/>
        <w:spacing w:after="0" w:line="264" w:lineRule="auto"/>
        <w:rPr>
          <w:sz w:val="20"/>
          <w:szCs w:val="20"/>
          <w:color w:val="auto"/>
        </w:rPr>
      </w:pPr>
      <w:r>
        <w:rPr>
          <w:rFonts w:ascii="Arial" w:cs="Arial" w:eastAsia="Arial" w:hAnsi="Arial"/>
          <w:sz w:val="16"/>
          <w:szCs w:val="16"/>
          <w:color w:val="51555C"/>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rPr>
          <w:sz w:val="20"/>
          <w:szCs w:val="20"/>
          <w:color w:val="auto"/>
        </w:rPr>
      </w:pPr>
      <w:r>
        <w:rPr>
          <w:rFonts w:ascii="Arial" w:cs="Arial" w:eastAsia="Arial" w:hAnsi="Arial"/>
          <w:sz w:val="16"/>
          <w:szCs w:val="16"/>
          <w:color w:val="51555C"/>
        </w:rPr>
        <w:t>requirements for the past 90 days.</w:t>
      </w:r>
    </w:p>
    <w:p>
      <w:pPr>
        <w:spacing w:after="0" w:line="31"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0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51555C"/>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13"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51555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334"/>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51555C"/>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bl>
    <w:p>
      <w:pPr>
        <w:spacing w:after="0" w:line="85" w:lineRule="exact"/>
        <w:rPr>
          <w:sz w:val="24"/>
          <w:szCs w:val="24"/>
          <w:color w:val="auto"/>
        </w:rPr>
      </w:pPr>
    </w:p>
    <w:p>
      <w:pPr>
        <w:ind w:right="20"/>
        <w:spacing w:after="0" w:line="234" w:lineRule="exact"/>
        <w:rPr>
          <w:sz w:val="20"/>
          <w:szCs w:val="20"/>
          <w:color w:val="auto"/>
        </w:rPr>
      </w:pPr>
      <w:r>
        <w:rPr>
          <w:rFonts w:ascii="Arial" w:cs="Arial" w:eastAsia="Arial" w:hAnsi="Arial"/>
          <w:sz w:val="16"/>
          <w:szCs w:val="16"/>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51555C"/>
        </w:rPr>
        <w:t>☐</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51555C"/>
        </w:rPr>
        <w:t>Indicate by check mark whether registrant is a shell company (as defined in Rule 12b-2 of the Exchange Act).</w:t>
      </w:r>
    </w:p>
    <w:p>
      <w:pPr>
        <w:spacing w:after="0" w:line="24"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51555C"/>
        </w:rPr>
        <w:t>The number of shares of the registrant’s Common Stock outstanding as of April 28, 2025 was 48,517,704.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054"/>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3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20"/>
          <w:szCs w:val="20"/>
          <w:b w:val="1"/>
          <w:bCs w:val="1"/>
          <w:color w:val="004054"/>
        </w:rPr>
        <w:t>PART I.</w:t>
      </w:r>
      <w:r>
        <w:rPr>
          <w:sz w:val="20"/>
          <w:szCs w:val="20"/>
          <w:color w:val="auto"/>
        </w:rPr>
        <w:tab/>
      </w:r>
      <w:r>
        <w:rPr>
          <w:rFonts w:ascii="Arial" w:cs="Arial" w:eastAsia="Arial" w:hAnsi="Arial"/>
          <w:sz w:val="19"/>
          <w:szCs w:val="19"/>
          <w:b w:val="1"/>
          <w:bCs w:val="1"/>
          <w:color w:val="004054"/>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0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7"/>
          <w:szCs w:val="17"/>
          <w:color w:val="51555C"/>
        </w:rPr>
        <w:t>Financial statements</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Balance Sheets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Comprehensive Income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Cash Flows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Stockholders’ Equity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Notes to Condensed Consolidated Financial Statements (Unaudited)</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8"/>
          <w:szCs w:val="18"/>
          <w:color w:val="51555C"/>
        </w:rPr>
        <w:t>Management's discussion and analysis of financial condition and results of operations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3.</w:t>
      </w:r>
      <w:r>
        <w:rPr>
          <w:sz w:val="20"/>
          <w:szCs w:val="20"/>
          <w:color w:val="auto"/>
        </w:rPr>
        <w:tab/>
      </w:r>
      <w:r>
        <w:rPr>
          <w:rFonts w:ascii="Arial" w:cs="Arial" w:eastAsia="Arial" w:hAnsi="Arial"/>
          <w:sz w:val="17"/>
          <w:szCs w:val="17"/>
          <w:color w:val="51555C"/>
        </w:rPr>
        <w:t>Quantitative and qualitative disclosures about market risk</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4.</w:t>
      </w:r>
      <w:r>
        <w:rPr>
          <w:sz w:val="20"/>
          <w:szCs w:val="20"/>
          <w:color w:val="auto"/>
        </w:rPr>
        <w:tab/>
      </w:r>
      <w:r>
        <w:rPr>
          <w:rFonts w:ascii="Arial" w:cs="Arial" w:eastAsia="Arial" w:hAnsi="Arial"/>
          <w:sz w:val="17"/>
          <w:szCs w:val="17"/>
          <w:color w:val="51555C"/>
        </w:rPr>
        <w:t>Controls and procedures</w:t>
      </w:r>
    </w:p>
    <w:p>
      <w:pPr>
        <w:spacing w:after="0" w:line="38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20"/>
          <w:szCs w:val="20"/>
          <w:b w:val="1"/>
          <w:bCs w:val="1"/>
          <w:color w:val="004054"/>
        </w:rPr>
        <w:t>PART II.</w:t>
      </w:r>
      <w:r>
        <w:rPr>
          <w:sz w:val="20"/>
          <w:szCs w:val="20"/>
          <w:color w:val="auto"/>
        </w:rPr>
        <w:tab/>
      </w:r>
      <w:r>
        <w:rPr>
          <w:rFonts w:ascii="Arial" w:cs="Arial" w:eastAsia="Arial" w:hAnsi="Arial"/>
          <w:sz w:val="19"/>
          <w:szCs w:val="19"/>
          <w:b w:val="1"/>
          <w:bCs w:val="1"/>
          <w:color w:val="0040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0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7"/>
          <w:szCs w:val="17"/>
          <w:color w:val="51555C"/>
        </w:rPr>
        <w:t>Legal proceedings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1A.</w:t>
      </w:r>
      <w:r>
        <w:rPr>
          <w:sz w:val="20"/>
          <w:szCs w:val="20"/>
          <w:color w:val="auto"/>
        </w:rPr>
        <w:tab/>
      </w:r>
      <w:r>
        <w:rPr>
          <w:rFonts w:ascii="Arial" w:cs="Arial" w:eastAsia="Arial" w:hAnsi="Arial"/>
          <w:sz w:val="17"/>
          <w:szCs w:val="17"/>
          <w:color w:val="51555C"/>
        </w:rPr>
        <w:t>Risk factors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7"/>
          <w:szCs w:val="17"/>
          <w:color w:val="51555C"/>
        </w:rPr>
        <w:t>Unregistered sales of equity securities and use of proceeds</w:t>
      </w:r>
    </w:p>
    <w:p>
      <w:pPr>
        <w:spacing w:after="0" w:line="17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5.</w:t>
      </w:r>
      <w:r>
        <w:rPr>
          <w:sz w:val="20"/>
          <w:szCs w:val="20"/>
          <w:color w:val="auto"/>
        </w:rPr>
        <w:tab/>
      </w:r>
      <w:r>
        <w:rPr>
          <w:rFonts w:ascii="Arial" w:cs="Arial" w:eastAsia="Arial" w:hAnsi="Arial"/>
          <w:sz w:val="17"/>
          <w:szCs w:val="17"/>
          <w:color w:val="51555C"/>
        </w:rPr>
        <w:t>Other information</w:t>
      </w:r>
    </w:p>
    <w:p>
      <w:pPr>
        <w:spacing w:after="0" w:line="6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6.</w:t>
      </w:r>
      <w:r>
        <w:rPr>
          <w:sz w:val="20"/>
          <w:szCs w:val="20"/>
          <w:color w:val="auto"/>
        </w:rPr>
        <w:tab/>
      </w:r>
      <w:r>
        <w:rPr>
          <w:rFonts w:ascii="Arial" w:cs="Arial" w:eastAsia="Arial" w:hAnsi="Arial"/>
          <w:sz w:val="17"/>
          <w:szCs w:val="17"/>
          <w:color w:val="51555C"/>
        </w:rPr>
        <w:t>Exhibits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05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51555C"/>
        </w:rPr>
        <w:t>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2</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41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846455</wp:posOffset>
            </wp:positionV>
            <wp:extent cx="6769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51555C"/>
        </w:rPr>
        <w:t>1</w:t>
      </w:r>
    </w:p>
    <w:p>
      <w:pPr>
        <w:sectPr>
          <w:pgSz w:w="11900" w:h="16838" w:orient="portrait"/>
          <w:cols w:equalWidth="0" w:num="2">
            <w:col w:w="10020" w:space="720"/>
            <w:col w:w="480"/>
          </w:cols>
          <w:pgMar w:left="320" w:top="1091"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7A04DD"/>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right="640"/>
        <w:spacing w:after="0" w:line="29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-532130</wp:posOffset>
            </wp:positionV>
            <wp:extent cx="24828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2024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0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676910" cy="171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ind w:left="140"/>
        <w:spacing w:after="0"/>
        <w:rPr>
          <w:sz w:val="20"/>
          <w:szCs w:val="20"/>
          <w:color w:val="auto"/>
        </w:rPr>
      </w:pPr>
      <w:r>
        <w:rPr>
          <w:sz w:val="1"/>
          <w:szCs w:val="1"/>
          <w:color w:val="auto"/>
        </w:rPr>
        <w:drawing>
          <wp:inline distT="0" distB="0" distL="0" distR="0">
            <wp:extent cx="248285" cy="2489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FINANCIAL STATEMENTS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30" w:type="dxa"/>
            <w:vAlign w:val="bottom"/>
            <w:shd w:val="clear" w:color="auto" w:fill="004054"/>
          </w:tcPr>
          <w:p>
            <w:pPr>
              <w:spacing w:after="0"/>
              <w:rPr>
                <w:sz w:val="17"/>
                <w:szCs w:val="17"/>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96"/>
        </w:trPr>
        <w:tc>
          <w:tcPr>
            <w:tcW w:w="793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9"/>
        </w:trPr>
        <w:tc>
          <w:tcPr>
            <w:tcW w:w="7930" w:type="dxa"/>
            <w:vAlign w:val="bottom"/>
            <w:shd w:val="clear" w:color="auto" w:fill="004054"/>
          </w:tcPr>
          <w:p>
            <w:pPr>
              <w:spacing w:after="0"/>
              <w:rPr>
                <w:sz w:val="2"/>
                <w:szCs w:val="2"/>
                <w:color w:val="auto"/>
              </w:rPr>
            </w:pPr>
          </w:p>
        </w:tc>
        <w:tc>
          <w:tcPr>
            <w:tcW w:w="1640" w:type="dxa"/>
            <w:vAlign w:val="bottom"/>
            <w:shd w:val="clear" w:color="auto" w:fill="004054"/>
          </w:tcPr>
          <w:p>
            <w:pPr>
              <w:spacing w:after="0"/>
              <w:rPr>
                <w:sz w:val="2"/>
                <w:szCs w:val="2"/>
                <w:color w:val="auto"/>
              </w:rPr>
            </w:pPr>
          </w:p>
        </w:tc>
        <w:tc>
          <w:tcPr>
            <w:tcW w:w="1650" w:type="dxa"/>
            <w:vAlign w:val="bottom"/>
            <w:shd w:val="clear" w:color="auto" w:fill="00405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983" w:right="339" w:bottom="1054"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Assets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Cash and cash equivalents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39" w:lineRule="exact"/>
        <w:rPr>
          <w:sz w:val="20"/>
          <w:szCs w:val="20"/>
          <w:color w:val="auto"/>
        </w:rPr>
      </w:pPr>
    </w:p>
    <w:p>
      <w:pPr>
        <w:ind w:left="460" w:right="380"/>
        <w:spacing w:after="0" w:line="290" w:lineRule="auto"/>
        <w:rPr>
          <w:sz w:val="20"/>
          <w:szCs w:val="20"/>
          <w:color w:val="auto"/>
        </w:rPr>
      </w:pPr>
      <w:r>
        <w:rPr>
          <w:rFonts w:ascii="Arial" w:cs="Arial" w:eastAsia="Arial" w:hAnsi="Arial"/>
          <w:sz w:val="16"/>
          <w:szCs w:val="16"/>
          <w:color w:val="51555C"/>
        </w:rPr>
        <w:t>Accounts receivable, net of allowance of $5,660 and $5,228 at March 31, 2025 and December 31, 2024,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Prepaid expenses and other current assets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Property and equipment, net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Software development costs, net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Intangible assets, net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Total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Current liabilities: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Accrued expenses and other current liabilities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Debt, current portion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Deferred revenue,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Total current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Deferred tax liability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Operating lease liabilities, net of current portion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Total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Commitments and contingencies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Stockholders’ equity: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Preferred stock; 20,000,000 shares authorized,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402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402590"/>
                    </a:xfrm>
                    <a:prstGeom prst="rect">
                      <a:avLst/>
                    </a:prstGeom>
                    <a:noFill/>
                  </pic:spPr>
                </pic:pic>
              </a:graphicData>
            </a:graphic>
          </wp:anchor>
        </w:drawing>
      </w:r>
    </w:p>
    <w:p>
      <w:pPr>
        <w:spacing w:after="0" w:line="39" w:lineRule="exact"/>
        <w:rPr>
          <w:sz w:val="20"/>
          <w:szCs w:val="20"/>
          <w:color w:val="auto"/>
        </w:rPr>
      </w:pPr>
    </w:p>
    <w:p>
      <w:pPr>
        <w:ind w:left="460" w:right="100"/>
        <w:spacing w:after="0" w:line="275" w:lineRule="auto"/>
        <w:rPr>
          <w:sz w:val="20"/>
          <w:szCs w:val="20"/>
          <w:color w:val="auto"/>
        </w:rPr>
      </w:pPr>
      <w:r>
        <w:rPr>
          <w:rFonts w:ascii="Arial" w:cs="Arial" w:eastAsia="Arial" w:hAnsi="Arial"/>
          <w:sz w:val="16"/>
          <w:szCs w:val="16"/>
          <w:color w:val="51555C"/>
        </w:rPr>
        <w:t>Common stock, $0.001 par value; 180,000,000 shares authorized, 72,258,301 and 70,943,373 shares issued at March 31, 2025 and December 31, 2024, respectively; 48,515,315 and 49,245,588 shares outstanding at March 31, 2025 and December 31, 2024, respectively</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51555C"/>
        </w:rPr>
        <w:t>Treasury stock, at cost; 23,742,986 and 21,697,785 shares at March 31, 2025 and December 31, 2024,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37,243</w:t>
            </w:r>
          </w:p>
        </w:tc>
        <w:tc>
          <w:tcPr>
            <w:tcW w:w="460" w:type="dxa"/>
            <w:vAlign w:val="bottom"/>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67,628</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419,400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741,884</w:t>
            </w:r>
          </w:p>
        </w:tc>
      </w:tr>
      <w:tr>
        <w:trPr>
          <w:trHeight w:val="445"/>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78,105</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83,539</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4,522</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1,970</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88,182</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81,287</w:t>
            </w:r>
          </w:p>
        </w:tc>
      </w:tr>
      <w:tr>
        <w:trPr>
          <w:trHeight w:val="228"/>
        </w:trPr>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627,452</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976,308</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85,031</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91,926</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1,725</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26,554</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150,113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148,319</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1,054,290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1,052,506</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126,338</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132,881</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57,270</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67,221</w:t>
            </w:r>
          </w:p>
        </w:tc>
      </w:tr>
      <w:tr>
        <w:trPr>
          <w:trHeight w:val="237"/>
        </w:trPr>
        <w:tc>
          <w:tcPr>
            <w:tcW w:w="440" w:type="dxa"/>
            <w:vAlign w:val="bottom"/>
            <w:tcBorders>
              <w:bottom w:val="single" w:sz="8" w:color="51555C"/>
            </w:tcBorders>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2,102,219</w:t>
            </w:r>
          </w:p>
        </w:tc>
        <w:tc>
          <w:tcPr>
            <w:tcW w:w="460" w:type="dxa"/>
            <w:vAlign w:val="bottom"/>
            <w:tcBorders>
              <w:bottom w:val="single" w:sz="8" w:color="51555C"/>
            </w:tcBorders>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2,495,715</w:t>
            </w:r>
          </w:p>
        </w:tc>
      </w:tr>
      <w:tr>
        <w:trPr>
          <w:trHeight w:val="700"/>
        </w:trPr>
        <w:tc>
          <w:tcPr>
            <w:tcW w:w="440" w:type="dxa"/>
            <w:vAlign w:val="bottom"/>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46,435</w:t>
            </w:r>
          </w:p>
        </w:tc>
        <w:tc>
          <w:tcPr>
            <w:tcW w:w="460" w:type="dxa"/>
            <w:vAlign w:val="bottom"/>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50,810</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45,124</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75,543</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422,780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742,340</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23,350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23,875</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326,209</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359,529</w:t>
            </w:r>
          </w:p>
        </w:tc>
      </w:tr>
      <w:tr>
        <w:trPr>
          <w:trHeight w:val="228"/>
        </w:trPr>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863,898</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1,252,097</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1,182,343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1,051,110</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9,604</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9,518</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6,033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2,015</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2,395</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34,186</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4,771</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4,796</w:t>
            </w:r>
          </w:p>
        </w:tc>
      </w:tr>
      <w:tr>
        <w:trPr>
          <w:trHeight w:val="237"/>
        </w:trPr>
        <w:tc>
          <w:tcPr>
            <w:tcW w:w="440" w:type="dxa"/>
            <w:vAlign w:val="bottom"/>
            <w:tcBorders>
              <w:bottom w:val="single" w:sz="8" w:color="51555C"/>
            </w:tcBorders>
          </w:tcPr>
          <w:p>
            <w:pPr>
              <w:spacing w:after="0"/>
              <w:rPr>
                <w:sz w:val="20"/>
                <w:szCs w:val="20"/>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2,069,044</w:t>
            </w:r>
          </w:p>
        </w:tc>
        <w:tc>
          <w:tcPr>
            <w:tcW w:w="460" w:type="dxa"/>
            <w:vAlign w:val="bottom"/>
            <w:tcBorders>
              <w:bottom w:val="single" w:sz="8" w:color="51555C"/>
            </w:tcBorders>
          </w:tcPr>
          <w:p>
            <w:pPr>
              <w:spacing w:after="0"/>
              <w:rPr>
                <w:sz w:val="20"/>
                <w:szCs w:val="20"/>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2,353,722</w:t>
            </w:r>
          </w:p>
        </w:tc>
      </w:tr>
      <w:tr>
        <w:trPr>
          <w:trHeight w:val="700"/>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635"/>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72</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71</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1,319,562</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1,291,442</w:t>
            </w:r>
          </w:p>
        </w:tc>
      </w:tr>
      <w:tr>
        <w:trPr>
          <w:trHeight w:val="445"/>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(1,198,721)</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(1,060,348)</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(8,302)</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(4,869)</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(79,436)</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(84,303)</w:t>
            </w:r>
          </w:p>
        </w:tc>
      </w:tr>
    </w:tbl>
    <w:p>
      <w:pPr>
        <w:spacing w:after="0" w:line="1" w:lineRule="exact"/>
        <w:rPr>
          <w:sz w:val="20"/>
          <w:szCs w:val="20"/>
          <w:color w:val="auto"/>
        </w:rPr>
      </w:pPr>
    </w:p>
    <w:p>
      <w:pPr>
        <w:sectPr>
          <w:pgSz w:w="11900" w:h="16838" w:orient="portrait"/>
          <w:cols w:equalWidth="0" w:num="2">
            <w:col w:w="7860" w:space="60"/>
            <w:col w:w="3320"/>
          </w:cols>
          <w:pgMar w:left="320" w:top="983" w:right="339" w:bottom="1054"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7920" w:type="dxa"/>
            <w:vAlign w:val="bottom"/>
            <w:tcBorders>
              <w:bottom w:val="single" w:sz="8" w:color="EBFBFF"/>
            </w:tcBorders>
          </w:tcPr>
          <w:p>
            <w:pPr>
              <w:ind w:left="900"/>
              <w:spacing w:after="0"/>
              <w:rPr>
                <w:sz w:val="20"/>
                <w:szCs w:val="20"/>
                <w:color w:val="auto"/>
              </w:rPr>
            </w:pPr>
            <w:r>
              <w:rPr>
                <w:rFonts w:ascii="Arial" w:cs="Arial" w:eastAsia="Arial" w:hAnsi="Arial"/>
                <w:sz w:val="16"/>
                <w:szCs w:val="16"/>
                <w:b w:val="1"/>
                <w:bCs w:val="1"/>
                <w:color w:val="51555C"/>
              </w:rPr>
              <w:t>Total stockholders’ equity</w:t>
            </w:r>
          </w:p>
        </w:tc>
        <w:tc>
          <w:tcPr>
            <w:tcW w:w="480" w:type="dxa"/>
            <w:vAlign w:val="bottom"/>
            <w:tcBorders>
              <w:top w:val="single" w:sz="8" w:color="51555C"/>
              <w:bottom w:val="single" w:sz="8" w:color="51555C"/>
            </w:tcBorders>
          </w:tcPr>
          <w:p>
            <w:pPr>
              <w:spacing w:after="0"/>
              <w:rPr>
                <w:sz w:val="21"/>
                <w:szCs w:val="21"/>
                <w:color w:val="auto"/>
              </w:rPr>
            </w:pPr>
          </w:p>
        </w:tc>
        <w:tc>
          <w:tcPr>
            <w:tcW w:w="114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6"/>
                <w:szCs w:val="16"/>
                <w:color w:val="51555C"/>
              </w:rPr>
              <w:t>33,175</w:t>
            </w:r>
          </w:p>
        </w:tc>
        <w:tc>
          <w:tcPr>
            <w:tcW w:w="500" w:type="dxa"/>
            <w:vAlign w:val="bottom"/>
            <w:tcBorders>
              <w:top w:val="single" w:sz="8" w:color="51555C"/>
              <w:bottom w:val="single" w:sz="8" w:color="51555C"/>
            </w:tcBorders>
          </w:tcPr>
          <w:p>
            <w:pPr>
              <w:spacing w:after="0"/>
              <w:rPr>
                <w:sz w:val="21"/>
                <w:szCs w:val="21"/>
                <w:color w:val="auto"/>
              </w:rPr>
            </w:pPr>
          </w:p>
        </w:tc>
        <w:tc>
          <w:tcPr>
            <w:tcW w:w="118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6"/>
                <w:szCs w:val="16"/>
                <w:color w:val="51555C"/>
              </w:rPr>
              <w:t>141,993</w:t>
            </w:r>
          </w:p>
        </w:tc>
      </w:tr>
      <w:tr>
        <w:trPr>
          <w:trHeight w:val="235"/>
        </w:trPr>
        <w:tc>
          <w:tcPr>
            <w:tcW w:w="7920" w:type="dxa"/>
            <w:vAlign w:val="bottom"/>
            <w:tcBorders>
              <w:bottom w:val="single" w:sz="8" w:color="0CD973"/>
            </w:tcBorders>
            <w:shd w:val="clear" w:color="auto" w:fill="EBFBFF"/>
          </w:tcPr>
          <w:p>
            <w:pPr>
              <w:ind w:left="900"/>
              <w:spacing w:after="0"/>
              <w:rPr>
                <w:sz w:val="20"/>
                <w:szCs w:val="20"/>
                <w:color w:val="auto"/>
              </w:rPr>
            </w:pPr>
            <w:r>
              <w:rPr>
                <w:rFonts w:ascii="Arial" w:cs="Arial" w:eastAsia="Arial" w:hAnsi="Arial"/>
                <w:sz w:val="16"/>
                <w:szCs w:val="16"/>
                <w:b w:val="1"/>
                <w:bCs w:val="1"/>
                <w:color w:val="51555C"/>
              </w:rPr>
              <w:t>Total liabilities and stockholders’ equity</w:t>
            </w:r>
          </w:p>
        </w:tc>
        <w:tc>
          <w:tcPr>
            <w:tcW w:w="480" w:type="dxa"/>
            <w:vAlign w:val="bottom"/>
            <w:tcBorders>
              <w:bottom w:val="single" w:sz="8" w:color="0CD973"/>
            </w:tcBorders>
            <w:shd w:val="clear" w:color="auto" w:fill="EBFBFF"/>
          </w:tcPr>
          <w:p>
            <w:pPr>
              <w:jc w:val="right"/>
              <w:ind w:right="299"/>
              <w:spacing w:after="0"/>
              <w:rPr>
                <w:sz w:val="20"/>
                <w:szCs w:val="20"/>
                <w:color w:val="auto"/>
              </w:rPr>
            </w:pPr>
            <w:r>
              <w:rPr>
                <w:rFonts w:ascii="Arial" w:cs="Arial" w:eastAsia="Arial" w:hAnsi="Arial"/>
                <w:sz w:val="16"/>
                <w:szCs w:val="16"/>
                <w:color w:val="51555C"/>
                <w:w w:val="89"/>
              </w:rPr>
              <w:t>$</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2,102,219</w:t>
            </w:r>
          </w:p>
        </w:tc>
        <w:tc>
          <w:tcPr>
            <w:tcW w:w="500" w:type="dxa"/>
            <w:vAlign w:val="bottom"/>
            <w:tcBorders>
              <w:bottom w:val="single" w:sz="8" w:color="0CD973"/>
            </w:tcBorders>
            <w:shd w:val="clear" w:color="auto" w:fill="EBFBFF"/>
          </w:tcPr>
          <w:p>
            <w:pPr>
              <w:jc w:val="right"/>
              <w:ind w:right="279"/>
              <w:spacing w:after="0"/>
              <w:rPr>
                <w:sz w:val="20"/>
                <w:szCs w:val="20"/>
                <w:color w:val="auto"/>
              </w:rPr>
            </w:pPr>
            <w:r>
              <w:rPr>
                <w:rFonts w:ascii="Arial" w:cs="Arial" w:eastAsia="Arial" w:hAnsi="Arial"/>
                <w:sz w:val="16"/>
                <w:szCs w:val="16"/>
                <w:color w:val="51555C"/>
              </w:rPr>
              <w:t>$</w:t>
            </w:r>
          </w:p>
        </w:tc>
        <w:tc>
          <w:tcPr>
            <w:tcW w:w="1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2,495,715</w:t>
            </w:r>
          </w:p>
        </w:tc>
      </w:tr>
    </w:tbl>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312420</wp:posOffset>
            </wp:positionV>
            <wp:extent cx="67691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3</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054" w:gutter="0" w:footer="0" w:header="0"/>
          <w:type w:val="continuous"/>
        </w:sectPr>
      </w:pPr>
    </w:p>
    <w:bookmarkStart w:id="4" w:name="page5"/>
    <w:bookmarkEnd w:id="4"/>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2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23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862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6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86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60" w:type="dxa"/>
            <w:vAlign w:val="bottom"/>
            <w:tcBorders>
              <w:bottom w:val="single" w:sz="8" w:color="004054"/>
            </w:tcBorders>
            <w:shd w:val="clear" w:color="auto" w:fill="004054"/>
          </w:tcPr>
          <w:p>
            <w:pPr>
              <w:spacing w:after="0"/>
              <w:rPr>
                <w:sz w:val="21"/>
                <w:szCs w:val="21"/>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60" w:type="dxa"/>
            <w:vAlign w:val="bottom"/>
            <w:tcBorders>
              <w:bottom w:val="single" w:sz="8" w:color="004054"/>
            </w:tcBorders>
            <w:shd w:val="clear" w:color="auto" w:fill="004054"/>
          </w:tcPr>
          <w:p>
            <w:pPr>
              <w:spacing w:after="0"/>
              <w:rPr>
                <w:sz w:val="21"/>
                <w:szCs w:val="21"/>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43"/>
        </w:trPr>
        <w:tc>
          <w:tcPr>
            <w:tcW w:w="86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Revenue</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270,661</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279,250</w:t>
            </w:r>
          </w:p>
        </w:tc>
        <w:tc>
          <w:tcPr>
            <w:tcW w:w="20" w:type="dxa"/>
            <w:vAlign w:val="bottom"/>
          </w:tcPr>
          <w:p>
            <w:pPr>
              <w:spacing w:after="0"/>
              <w:rPr>
                <w:sz w:val="21"/>
                <w:szCs w:val="21"/>
                <w:color w:val="auto"/>
              </w:rPr>
            </w:pPr>
          </w:p>
        </w:tc>
      </w:tr>
      <w:tr>
        <w:trPr>
          <w:trHeight w:val="239"/>
        </w:trPr>
        <w:tc>
          <w:tcPr>
            <w:tcW w:w="862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Cost of revenue</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114,815</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126,206</w:t>
            </w:r>
          </w:p>
        </w:tc>
        <w:tc>
          <w:tcPr>
            <w:tcW w:w="20" w:type="dxa"/>
            <w:vAlign w:val="bottom"/>
          </w:tcPr>
          <w:p>
            <w:pPr>
              <w:spacing w:after="0"/>
              <w:rPr>
                <w:sz w:val="20"/>
                <w:szCs w:val="20"/>
                <w:color w:val="auto"/>
              </w:rPr>
            </w:pPr>
          </w:p>
        </w:tc>
      </w:tr>
      <w:tr>
        <w:trPr>
          <w:trHeight w:val="240"/>
        </w:trPr>
        <w:tc>
          <w:tcPr>
            <w:tcW w:w="86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Gross profit</w:t>
            </w:r>
          </w:p>
        </w:tc>
        <w:tc>
          <w:tcPr>
            <w:tcW w:w="260" w:type="dxa"/>
            <w:vAlign w:val="bottom"/>
            <w:tcBorders>
              <w:bottom w:val="single" w:sz="8" w:color="51555C"/>
            </w:tcBorders>
            <w:shd w:val="clear" w:color="auto" w:fill="EBFBFF"/>
          </w:tcPr>
          <w:p>
            <w:pPr>
              <w:spacing w:after="0"/>
              <w:rPr>
                <w:sz w:val="20"/>
                <w:szCs w:val="20"/>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155,846</w:t>
            </w:r>
          </w:p>
        </w:tc>
        <w:tc>
          <w:tcPr>
            <w:tcW w:w="260" w:type="dxa"/>
            <w:vAlign w:val="bottom"/>
            <w:tcBorders>
              <w:bottom w:val="single" w:sz="8" w:color="51555C"/>
            </w:tcBorders>
            <w:shd w:val="clear" w:color="auto" w:fill="EBFBFF"/>
          </w:tcPr>
          <w:p>
            <w:pPr>
              <w:spacing w:after="0"/>
              <w:rPr>
                <w:sz w:val="20"/>
                <w:szCs w:val="20"/>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153,044</w:t>
            </w:r>
          </w:p>
        </w:tc>
        <w:tc>
          <w:tcPr>
            <w:tcW w:w="20" w:type="dxa"/>
            <w:vAlign w:val="bottom"/>
          </w:tcPr>
          <w:p>
            <w:pPr>
              <w:spacing w:after="0"/>
              <w:rPr>
                <w:sz w:val="20"/>
                <w:szCs w:val="20"/>
                <w:color w:val="auto"/>
              </w:rPr>
            </w:pPr>
          </w:p>
        </w:tc>
      </w:tr>
      <w:tr>
        <w:trPr>
          <w:trHeight w:val="219"/>
        </w:trPr>
        <w:tc>
          <w:tcPr>
            <w:tcW w:w="8620" w:type="dxa"/>
            <w:vAlign w:val="bottom"/>
          </w:tcPr>
          <w:p>
            <w:pPr>
              <w:ind w:left="20"/>
              <w:spacing w:after="0"/>
              <w:rPr>
                <w:sz w:val="20"/>
                <w:szCs w:val="20"/>
                <w:color w:val="auto"/>
              </w:rPr>
            </w:pPr>
            <w:r>
              <w:rPr>
                <w:rFonts w:ascii="Arial" w:cs="Arial" w:eastAsia="Arial" w:hAnsi="Arial"/>
                <w:sz w:val="16"/>
                <w:szCs w:val="16"/>
                <w:b w:val="1"/>
                <w:bCs w:val="1"/>
                <w:color w:val="51555C"/>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Sales, marketing and customer success</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44,644</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50,865</w:t>
            </w:r>
          </w:p>
        </w:tc>
        <w:tc>
          <w:tcPr>
            <w:tcW w:w="20" w:type="dxa"/>
            <w:vAlign w:val="bottom"/>
          </w:tcPr>
          <w:p>
            <w:pPr>
              <w:spacing w:after="0"/>
              <w:rPr>
                <w:sz w:val="21"/>
                <w:szCs w:val="21"/>
                <w:color w:val="auto"/>
              </w:rPr>
            </w:pPr>
          </w:p>
        </w:tc>
      </w:tr>
      <w:tr>
        <w:trPr>
          <w:trHeight w:val="235"/>
        </w:trPr>
        <w:tc>
          <w:tcPr>
            <w:tcW w:w="8620" w:type="dxa"/>
            <w:vAlign w:val="bottom"/>
          </w:tcPr>
          <w:p>
            <w:pPr>
              <w:ind w:left="240"/>
              <w:spacing w:after="0"/>
              <w:rPr>
                <w:sz w:val="20"/>
                <w:szCs w:val="20"/>
                <w:color w:val="auto"/>
              </w:rPr>
            </w:pPr>
            <w:r>
              <w:rPr>
                <w:rFonts w:ascii="Arial" w:cs="Arial" w:eastAsia="Arial" w:hAnsi="Arial"/>
                <w:sz w:val="16"/>
                <w:szCs w:val="16"/>
                <w:color w:val="51555C"/>
              </w:rPr>
              <w:t>Research and development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33,559</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42,802</w:t>
            </w:r>
          </w:p>
        </w:tc>
        <w:tc>
          <w:tcPr>
            <w:tcW w:w="20" w:type="dxa"/>
            <w:vAlign w:val="bottom"/>
          </w:tcPr>
          <w:p>
            <w:pPr>
              <w:spacing w:after="0"/>
              <w:rPr>
                <w:sz w:val="20"/>
                <w:szCs w:val="20"/>
                <w:color w:val="auto"/>
              </w:rPr>
            </w:pPr>
          </w:p>
        </w:tc>
      </w:tr>
      <w:tr>
        <w:trPr>
          <w:trHeight w:val="251"/>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General and administrative</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56,679</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47,754</w:t>
            </w:r>
          </w:p>
        </w:tc>
        <w:tc>
          <w:tcPr>
            <w:tcW w:w="20" w:type="dxa"/>
            <w:vAlign w:val="bottom"/>
          </w:tcPr>
          <w:p>
            <w:pPr>
              <w:spacing w:after="0"/>
              <w:rPr>
                <w:sz w:val="21"/>
                <w:szCs w:val="21"/>
                <w:color w:val="auto"/>
              </w:rPr>
            </w:pPr>
          </w:p>
        </w:tc>
      </w:tr>
      <w:tr>
        <w:trPr>
          <w:trHeight w:val="237"/>
        </w:trPr>
        <w:tc>
          <w:tcPr>
            <w:tcW w:w="86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Amortization of intangible assets</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534</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904</w:t>
            </w:r>
          </w:p>
        </w:tc>
        <w:tc>
          <w:tcPr>
            <w:tcW w:w="20" w:type="dxa"/>
            <w:vAlign w:val="bottom"/>
          </w:tcPr>
          <w:p>
            <w:pPr>
              <w:spacing w:after="0"/>
              <w:rPr>
                <w:sz w:val="20"/>
                <w:szCs w:val="20"/>
                <w:color w:val="auto"/>
              </w:rPr>
            </w:pPr>
          </w:p>
        </w:tc>
      </w:tr>
      <w:tr>
        <w:trPr>
          <w:trHeight w:val="243"/>
        </w:trPr>
        <w:tc>
          <w:tcPr>
            <w:tcW w:w="8620" w:type="dxa"/>
            <w:vAlign w:val="bottom"/>
            <w:shd w:val="clear" w:color="auto" w:fill="EBFBFF"/>
          </w:tcPr>
          <w:p>
            <w:pPr>
              <w:ind w:left="460"/>
              <w:spacing w:after="0"/>
              <w:rPr>
                <w:sz w:val="20"/>
                <w:szCs w:val="20"/>
                <w:color w:val="auto"/>
              </w:rPr>
            </w:pPr>
            <w:r>
              <w:rPr>
                <w:rFonts w:ascii="Arial" w:cs="Arial" w:eastAsia="Arial" w:hAnsi="Arial"/>
                <w:sz w:val="16"/>
                <w:szCs w:val="16"/>
                <w:b w:val="1"/>
                <w:bCs w:val="1"/>
                <w:color w:val="51555C"/>
              </w:rPr>
              <w:t>Total operating expenses</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135,416</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142,325</w:t>
            </w:r>
          </w:p>
        </w:tc>
        <w:tc>
          <w:tcPr>
            <w:tcW w:w="20" w:type="dxa"/>
            <w:vAlign w:val="bottom"/>
          </w:tcPr>
          <w:p>
            <w:pPr>
              <w:spacing w:after="0"/>
              <w:rPr>
                <w:sz w:val="21"/>
                <w:szCs w:val="21"/>
                <w:color w:val="auto"/>
              </w:rPr>
            </w:pPr>
          </w:p>
        </w:tc>
      </w:tr>
      <w:tr>
        <w:trPr>
          <w:trHeight w:val="230"/>
        </w:trPr>
        <w:tc>
          <w:tcPr>
            <w:tcW w:w="862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Income from operations</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20,430</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10,719</w:t>
            </w:r>
          </w:p>
        </w:tc>
        <w:tc>
          <w:tcPr>
            <w:tcW w:w="20" w:type="dxa"/>
            <w:vAlign w:val="bottom"/>
          </w:tcPr>
          <w:p>
            <w:pPr>
              <w:spacing w:after="0"/>
              <w:rPr>
                <w:sz w:val="20"/>
                <w:szCs w:val="20"/>
                <w:color w:val="auto"/>
              </w:rPr>
            </w:pPr>
          </w:p>
        </w:tc>
      </w:tr>
      <w:tr>
        <w:trPr>
          <w:trHeight w:val="243"/>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Interest expense</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(16,945)</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(10,276)</w:t>
            </w:r>
          </w:p>
        </w:tc>
        <w:tc>
          <w:tcPr>
            <w:tcW w:w="20" w:type="dxa"/>
            <w:vAlign w:val="bottom"/>
          </w:tcPr>
          <w:p>
            <w:pPr>
              <w:spacing w:after="0"/>
              <w:rPr>
                <w:sz w:val="21"/>
                <w:szCs w:val="21"/>
                <w:color w:val="auto"/>
              </w:rPr>
            </w:pPr>
          </w:p>
        </w:tc>
      </w:tr>
      <w:tr>
        <w:trPr>
          <w:trHeight w:val="237"/>
        </w:trPr>
        <w:tc>
          <w:tcPr>
            <w:tcW w:w="86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income, net</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2,105</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3,347</w:t>
            </w:r>
          </w:p>
        </w:tc>
        <w:tc>
          <w:tcPr>
            <w:tcW w:w="20" w:type="dxa"/>
            <w:vAlign w:val="bottom"/>
          </w:tcPr>
          <w:p>
            <w:pPr>
              <w:spacing w:after="0"/>
              <w:rPr>
                <w:sz w:val="20"/>
                <w:szCs w:val="20"/>
                <w:color w:val="auto"/>
              </w:rPr>
            </w:pPr>
          </w:p>
        </w:tc>
      </w:tr>
      <w:tr>
        <w:trPr>
          <w:trHeight w:val="243"/>
        </w:trPr>
        <w:tc>
          <w:tcPr>
            <w:tcW w:w="86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Income before provision (benefit) for income taxes</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5,590</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3,790</w:t>
            </w:r>
          </w:p>
        </w:tc>
        <w:tc>
          <w:tcPr>
            <w:tcW w:w="20" w:type="dxa"/>
            <w:vAlign w:val="bottom"/>
          </w:tcPr>
          <w:p>
            <w:pPr>
              <w:spacing w:after="0"/>
              <w:rPr>
                <w:sz w:val="21"/>
                <w:szCs w:val="21"/>
                <w:color w:val="auto"/>
              </w:rPr>
            </w:pPr>
          </w:p>
        </w:tc>
      </w:tr>
      <w:tr>
        <w:trPr>
          <w:trHeight w:val="236"/>
        </w:trPr>
        <w:tc>
          <w:tcPr>
            <w:tcW w:w="86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Income tax provision (benefit)</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723</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(1,456)</w:t>
            </w:r>
          </w:p>
        </w:tc>
        <w:tc>
          <w:tcPr>
            <w:tcW w:w="20" w:type="dxa"/>
            <w:vAlign w:val="bottom"/>
          </w:tcPr>
          <w:p>
            <w:pPr>
              <w:spacing w:after="0"/>
              <w:rPr>
                <w:sz w:val="20"/>
                <w:szCs w:val="20"/>
                <w:color w:val="auto"/>
              </w:rPr>
            </w:pPr>
          </w:p>
        </w:tc>
      </w:tr>
      <w:tr>
        <w:trPr>
          <w:trHeight w:val="243"/>
        </w:trPr>
        <w:tc>
          <w:tcPr>
            <w:tcW w:w="86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Net income</w:t>
            </w:r>
          </w:p>
        </w:tc>
        <w:tc>
          <w:tcPr>
            <w:tcW w:w="260" w:type="dxa"/>
            <w:vAlign w:val="bottom"/>
            <w:tcBorders>
              <w:bottom w:val="single" w:sz="8" w:color="51555C"/>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4,867</w:t>
            </w:r>
          </w:p>
        </w:tc>
        <w:tc>
          <w:tcPr>
            <w:tcW w:w="260" w:type="dxa"/>
            <w:vAlign w:val="bottom"/>
            <w:tcBorders>
              <w:bottom w:val="single" w:sz="8" w:color="51555C"/>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5,246</w:t>
            </w:r>
          </w:p>
        </w:tc>
        <w:tc>
          <w:tcPr>
            <w:tcW w:w="20" w:type="dxa"/>
            <w:vAlign w:val="bottom"/>
          </w:tcPr>
          <w:p>
            <w:pPr>
              <w:spacing w:after="0"/>
              <w:rPr>
                <w:sz w:val="21"/>
                <w:szCs w:val="21"/>
                <w:color w:val="auto"/>
              </w:rPr>
            </w:pPr>
          </w:p>
        </w:tc>
      </w:tr>
      <w:tr>
        <w:trPr>
          <w:trHeight w:val="219"/>
        </w:trPr>
        <w:tc>
          <w:tcPr>
            <w:tcW w:w="8620" w:type="dxa"/>
            <w:vAlign w:val="bottom"/>
          </w:tcPr>
          <w:p>
            <w:pPr>
              <w:ind w:left="20"/>
              <w:spacing w:after="0"/>
              <w:rPr>
                <w:sz w:val="20"/>
                <w:szCs w:val="20"/>
                <w:color w:val="auto"/>
              </w:rPr>
            </w:pPr>
            <w:r>
              <w:rPr>
                <w:rFonts w:ascii="Arial" w:cs="Arial" w:eastAsia="Arial" w:hAnsi="Arial"/>
                <w:sz w:val="16"/>
                <w:szCs w:val="16"/>
                <w:b w:val="1"/>
                <w:bCs w:val="1"/>
                <w:color w:val="51555C"/>
              </w:rPr>
              <w:t>Earnings per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Basic</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0.10</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0.10</w:t>
            </w:r>
          </w:p>
        </w:tc>
        <w:tc>
          <w:tcPr>
            <w:tcW w:w="20" w:type="dxa"/>
            <w:vAlign w:val="bottom"/>
          </w:tcPr>
          <w:p>
            <w:pPr>
              <w:spacing w:after="0"/>
              <w:rPr>
                <w:sz w:val="21"/>
                <w:szCs w:val="21"/>
                <w:color w:val="auto"/>
              </w:rPr>
            </w:pPr>
          </w:p>
        </w:tc>
      </w:tr>
      <w:tr>
        <w:trPr>
          <w:trHeight w:val="235"/>
        </w:trPr>
        <w:tc>
          <w:tcPr>
            <w:tcW w:w="8620" w:type="dxa"/>
            <w:vAlign w:val="bottom"/>
          </w:tcPr>
          <w:p>
            <w:pPr>
              <w:ind w:left="240"/>
              <w:spacing w:after="0"/>
              <w:rPr>
                <w:sz w:val="20"/>
                <w:szCs w:val="20"/>
                <w:color w:val="auto"/>
              </w:rPr>
            </w:pPr>
            <w:r>
              <w:rPr>
                <w:rFonts w:ascii="Arial" w:cs="Arial" w:eastAsia="Arial" w:hAnsi="Arial"/>
                <w:sz w:val="16"/>
                <w:szCs w:val="16"/>
                <w:color w:val="51555C"/>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51555C"/>
              </w:rPr>
              <w:t>0.10</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0.10</w:t>
            </w:r>
          </w:p>
        </w:tc>
        <w:tc>
          <w:tcPr>
            <w:tcW w:w="20" w:type="dxa"/>
            <w:vAlign w:val="bottom"/>
          </w:tcPr>
          <w:p>
            <w:pPr>
              <w:spacing w:after="0"/>
              <w:rPr>
                <w:sz w:val="20"/>
                <w:szCs w:val="20"/>
                <w:color w:val="auto"/>
              </w:rPr>
            </w:pPr>
          </w:p>
        </w:tc>
      </w:tr>
      <w:tr>
        <w:trPr>
          <w:trHeight w:val="251"/>
        </w:trPr>
        <w:tc>
          <w:tcPr>
            <w:tcW w:w="86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Common shares and equivalents outstanding</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620" w:type="dxa"/>
            <w:vAlign w:val="bottom"/>
          </w:tcPr>
          <w:p>
            <w:pPr>
              <w:ind w:left="240"/>
              <w:spacing w:after="0"/>
              <w:rPr>
                <w:sz w:val="20"/>
                <w:szCs w:val="20"/>
                <w:color w:val="auto"/>
              </w:rPr>
            </w:pPr>
            <w:r>
              <w:rPr>
                <w:rFonts w:ascii="Arial" w:cs="Arial" w:eastAsia="Arial" w:hAnsi="Arial"/>
                <w:sz w:val="16"/>
                <w:szCs w:val="16"/>
                <w:color w:val="51555C"/>
              </w:rPr>
              <w:t>Basic weighted average shares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48,429,061</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52,052,370</w:t>
            </w:r>
          </w:p>
        </w:tc>
        <w:tc>
          <w:tcPr>
            <w:tcW w:w="20" w:type="dxa"/>
            <w:vAlign w:val="bottom"/>
          </w:tcPr>
          <w:p>
            <w:pPr>
              <w:spacing w:after="0"/>
              <w:rPr>
                <w:sz w:val="20"/>
                <w:szCs w:val="20"/>
                <w:color w:val="auto"/>
              </w:rPr>
            </w:pPr>
          </w:p>
        </w:tc>
      </w:tr>
      <w:tr>
        <w:trPr>
          <w:trHeight w:val="251"/>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Diluted weighted average shares</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49,445,079</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53,414,495</w:t>
            </w:r>
          </w:p>
        </w:tc>
        <w:tc>
          <w:tcPr>
            <w:tcW w:w="20" w:type="dxa"/>
            <w:vAlign w:val="bottom"/>
          </w:tcPr>
          <w:p>
            <w:pPr>
              <w:spacing w:after="0"/>
              <w:rPr>
                <w:sz w:val="21"/>
                <w:szCs w:val="21"/>
                <w:color w:val="auto"/>
              </w:rPr>
            </w:pPr>
          </w:p>
        </w:tc>
      </w:tr>
      <w:tr>
        <w:trPr>
          <w:trHeight w:val="239"/>
        </w:trPr>
        <w:tc>
          <w:tcPr>
            <w:tcW w:w="8620" w:type="dxa"/>
            <w:vAlign w:val="bottom"/>
          </w:tcPr>
          <w:p>
            <w:pPr>
              <w:ind w:left="20"/>
              <w:spacing w:after="0"/>
              <w:rPr>
                <w:sz w:val="20"/>
                <w:szCs w:val="20"/>
                <w:color w:val="auto"/>
              </w:rPr>
            </w:pPr>
            <w:r>
              <w:rPr>
                <w:rFonts w:ascii="Arial" w:cs="Arial" w:eastAsia="Arial" w:hAnsi="Arial"/>
                <w:sz w:val="16"/>
                <w:szCs w:val="16"/>
                <w:b w:val="1"/>
                <w:bCs w:val="1"/>
                <w:color w:val="51555C"/>
              </w:rPr>
              <w:t>Other comprehensive (loss) income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86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Foreign currency translation adjustment</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3,259</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(1,185)</w:t>
            </w:r>
          </w:p>
        </w:tc>
        <w:tc>
          <w:tcPr>
            <w:tcW w:w="20" w:type="dxa"/>
            <w:vAlign w:val="bottom"/>
          </w:tcPr>
          <w:p>
            <w:pPr>
              <w:spacing w:after="0"/>
              <w:rPr>
                <w:sz w:val="21"/>
                <w:szCs w:val="21"/>
                <w:color w:val="auto"/>
              </w:rPr>
            </w:pPr>
          </w:p>
        </w:tc>
      </w:tr>
      <w:tr>
        <w:trPr>
          <w:trHeight w:val="237"/>
        </w:trPr>
        <w:tc>
          <w:tcPr>
            <w:tcW w:w="86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Unrealized (loss) gain on derivative instruments, net of tax</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(6,692)</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4,095</w:t>
            </w:r>
          </w:p>
        </w:tc>
        <w:tc>
          <w:tcPr>
            <w:tcW w:w="20" w:type="dxa"/>
            <w:vAlign w:val="bottom"/>
          </w:tcPr>
          <w:p>
            <w:pPr>
              <w:spacing w:after="0"/>
              <w:rPr>
                <w:sz w:val="20"/>
                <w:szCs w:val="20"/>
                <w:color w:val="auto"/>
              </w:rPr>
            </w:pPr>
          </w:p>
        </w:tc>
      </w:tr>
      <w:tr>
        <w:trPr>
          <w:trHeight w:val="243"/>
        </w:trPr>
        <w:tc>
          <w:tcPr>
            <w:tcW w:w="8620" w:type="dxa"/>
            <w:vAlign w:val="bottom"/>
            <w:shd w:val="clear" w:color="auto" w:fill="EBFBFF"/>
          </w:tcPr>
          <w:p>
            <w:pPr>
              <w:ind w:left="460"/>
              <w:spacing w:after="0"/>
              <w:rPr>
                <w:sz w:val="20"/>
                <w:szCs w:val="20"/>
                <w:color w:val="auto"/>
              </w:rPr>
            </w:pPr>
            <w:r>
              <w:rPr>
                <w:rFonts w:ascii="Arial" w:cs="Arial" w:eastAsia="Arial" w:hAnsi="Arial"/>
                <w:sz w:val="16"/>
                <w:szCs w:val="16"/>
                <w:b w:val="1"/>
                <w:bCs w:val="1"/>
                <w:color w:val="51555C"/>
              </w:rPr>
              <w:t>Total other comprehensive (loss) income</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(3,433)</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2,910</w:t>
            </w:r>
          </w:p>
        </w:tc>
        <w:tc>
          <w:tcPr>
            <w:tcW w:w="20" w:type="dxa"/>
            <w:vAlign w:val="bottom"/>
          </w:tcPr>
          <w:p>
            <w:pPr>
              <w:spacing w:after="0"/>
              <w:rPr>
                <w:sz w:val="21"/>
                <w:szCs w:val="21"/>
                <w:color w:val="auto"/>
              </w:rPr>
            </w:pPr>
          </w:p>
        </w:tc>
      </w:tr>
      <w:tr>
        <w:trPr>
          <w:trHeight w:val="230"/>
        </w:trPr>
        <w:tc>
          <w:tcPr>
            <w:tcW w:w="862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Comprehensive income</w:t>
            </w:r>
          </w:p>
        </w:tc>
        <w:tc>
          <w:tcPr>
            <w:tcW w:w="260" w:type="dxa"/>
            <w:vAlign w:val="bottom"/>
            <w:tcBorders>
              <w:bottom w:val="single" w:sz="8" w:color="0CD973"/>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1,434</w:t>
            </w:r>
          </w:p>
        </w:tc>
        <w:tc>
          <w:tcPr>
            <w:tcW w:w="260" w:type="dxa"/>
            <w:vAlign w:val="bottom"/>
            <w:tcBorders>
              <w:bottom w:val="single" w:sz="8" w:color="0CD973"/>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8,156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-4251325</wp:posOffset>
            </wp:positionV>
            <wp:extent cx="1671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4</w:t>
      </w:r>
      <w:r>
        <w:rPr>
          <w:sz w:val="20"/>
          <w:szCs w:val="20"/>
          <w:color w:val="auto"/>
        </w:rPr>
        <w:tab/>
      </w:r>
      <w:r>
        <w:rPr>
          <w:sz w:val="1"/>
          <w:szCs w:val="1"/>
          <w:color w:val="auto"/>
        </w:rPr>
        <w:drawing>
          <wp:inline distT="0" distB="0" distL="0" distR="0">
            <wp:extent cx="676910"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582930"/>
                    </a:xfrm>
                    <a:prstGeom prst="rect">
                      <a:avLst/>
                    </a:prstGeom>
                    <a:noFill/>
                  </pic:spPr>
                </pic:pic>
              </a:graphicData>
            </a:graphic>
          </wp:anchor>
        </w:drawing>
      </w:r>
    </w:p>
    <w:p>
      <w:pPr>
        <w:spacing w:after="0" w:line="4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Three months ended</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March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80" w:type="dxa"/>
            <w:vAlign w:val="bottom"/>
            <w:tcBorders>
              <w:bottom w:val="single" w:sz="8" w:color="004054"/>
            </w:tcBorders>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23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21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bl>
    <w:p>
      <w:pPr>
        <w:spacing w:after="0" w:line="13"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0"/>
        <w:spacing w:after="0"/>
        <w:rPr>
          <w:sz w:val="20"/>
          <w:szCs w:val="20"/>
          <w:color w:val="auto"/>
        </w:rPr>
      </w:pPr>
      <w:r>
        <w:rPr>
          <w:rFonts w:ascii="Arial" w:cs="Arial" w:eastAsia="Arial" w:hAnsi="Arial"/>
          <w:sz w:val="16"/>
          <w:szCs w:val="16"/>
          <w:b w:val="1"/>
          <w:bCs w:val="1"/>
          <w:color w:val="51555C"/>
        </w:rPr>
        <w:t>Cash flows from operating activities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Adjustments to reconcile net income to net cash provided by operating activities: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Provision for credit losses and sales returns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Deferred taxes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Loss on disposition of businesses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Other non-cash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Changes in operating assets and liabilities, net of acquisition and disposal of businesses: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Prepaid expenses and other assets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Accrued expenses and other liabilities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provided by operating activities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Purchase of property and equipment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Cash used in disposition of business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Cash flows from financing activities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Payments on debt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Employee taxes paid for withheld shares upon equity award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Change in due to customers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Purchase of treasury stock</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right="2940" w:firstLine="108"/>
        <w:spacing w:after="0" w:line="325" w:lineRule="auto"/>
        <w:rPr>
          <w:sz w:val="20"/>
          <w:szCs w:val="20"/>
          <w:color w:val="auto"/>
        </w:rPr>
      </w:pPr>
      <w:r>
        <w:rPr>
          <w:rFonts w:ascii="Arial" w:cs="Arial" w:eastAsia="Arial" w:hAnsi="Arial"/>
          <w:sz w:val="16"/>
          <w:szCs w:val="16"/>
          <w:color w:val="51555C"/>
        </w:rPr>
        <w:t xml:space="preserve">Effect of exchange rate on cash, cash equivalents and restricted cash </w:t>
      </w:r>
      <w:r>
        <w:rPr>
          <w:rFonts w:ascii="Arial" w:cs="Arial" w:eastAsia="Arial" w:hAnsi="Arial"/>
          <w:sz w:val="16"/>
          <w:szCs w:val="16"/>
          <w:b w:val="1"/>
          <w:bCs w:val="1"/>
          <w:color w:val="51555C"/>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right="3100"/>
        <w:spacing w:after="0" w:line="367" w:lineRule="auto"/>
        <w:rPr>
          <w:sz w:val="20"/>
          <w:szCs w:val="20"/>
          <w:color w:val="auto"/>
        </w:rPr>
      </w:pPr>
      <w:r>
        <w:rPr>
          <w:rFonts w:ascii="Arial" w:cs="Arial" w:eastAsia="Arial" w:hAnsi="Arial"/>
          <w:sz w:val="16"/>
          <w:szCs w:val="16"/>
          <w:b w:val="1"/>
          <w:bCs w:val="1"/>
          <w:color w:val="51555C"/>
        </w:rPr>
        <w:t>Cash, cash equivalents and restricted cash, beginning of period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spacing w:after="0"/>
        <w:tabs>
          <w:tab w:leader="none" w:pos="720" w:val="left"/>
          <w:tab w:leader="none" w:pos="1940" w:val="left"/>
        </w:tabs>
        <w:rPr>
          <w:sz w:val="20"/>
          <w:szCs w:val="20"/>
          <w:color w:val="auto"/>
        </w:rPr>
      </w:pPr>
      <w:r>
        <w:rPr>
          <w:rFonts w:ascii="Arial" w:cs="Arial" w:eastAsia="Arial" w:hAnsi="Arial"/>
          <w:sz w:val="16"/>
          <w:szCs w:val="16"/>
          <w:color w:val="51555C"/>
        </w:rPr>
        <w:t>$</w:t>
      </w:r>
      <w:r>
        <w:rPr>
          <w:sz w:val="20"/>
          <w:szCs w:val="20"/>
          <w:color w:val="auto"/>
        </w:rPr>
        <w:tab/>
      </w:r>
      <w:r>
        <w:rPr>
          <w:rFonts w:ascii="Arial" w:cs="Arial" w:eastAsia="Arial" w:hAnsi="Arial"/>
          <w:sz w:val="16"/>
          <w:szCs w:val="16"/>
          <w:color w:val="51555C"/>
        </w:rPr>
        <w:t>4,867 $</w:t>
      </w:r>
      <w:r>
        <w:rPr>
          <w:sz w:val="20"/>
          <w:szCs w:val="20"/>
          <w:color w:val="auto"/>
        </w:rPr>
        <w:tab/>
      </w:r>
      <w:r>
        <w:rPr>
          <w:rFonts w:ascii="Arial" w:cs="Arial" w:eastAsia="Arial" w:hAnsi="Arial"/>
          <w:sz w:val="15"/>
          <w:szCs w:val="15"/>
          <w:color w:val="51555C"/>
        </w:rPr>
        <w:t>5,246</w:t>
      </w:r>
    </w:p>
    <w:p>
      <w:pPr>
        <w:spacing w:after="0" w:line="30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6"/>
          <w:szCs w:val="16"/>
          <w:color w:val="51555C"/>
        </w:rPr>
        <w:t>21,647</w:t>
      </w:r>
      <w:r>
        <w:rPr>
          <w:sz w:val="20"/>
          <w:szCs w:val="20"/>
          <w:color w:val="auto"/>
        </w:rPr>
        <w:tab/>
      </w:r>
      <w:r>
        <w:rPr>
          <w:rFonts w:ascii="Arial" w:cs="Arial" w:eastAsia="Arial" w:hAnsi="Arial"/>
          <w:sz w:val="16"/>
          <w:szCs w:val="16"/>
          <w:color w:val="51555C"/>
        </w:rPr>
        <w:t>30,095</w:t>
      </w:r>
    </w:p>
    <w:p>
      <w:pPr>
        <w:spacing w:after="0" w:line="59" w:lineRule="exact"/>
        <w:rPr>
          <w:sz w:val="20"/>
          <w:szCs w:val="20"/>
          <w:color w:val="auto"/>
        </w:rPr>
      </w:pPr>
    </w:p>
    <w:p>
      <w:pPr>
        <w:ind w:left="2100" w:hanging="1224"/>
        <w:spacing w:after="0"/>
        <w:tabs>
          <w:tab w:leader="none" w:pos="2100" w:val="left"/>
        </w:tabs>
        <w:numPr>
          <w:ilvl w:val="0"/>
          <w:numId w:val="3"/>
        </w:numPr>
        <w:rPr>
          <w:rFonts w:ascii="Arial" w:cs="Arial" w:eastAsia="Arial" w:hAnsi="Arial"/>
          <w:sz w:val="16"/>
          <w:szCs w:val="16"/>
          <w:color w:val="51555C"/>
        </w:rPr>
      </w:pPr>
      <w:r>
        <w:rPr>
          <w:rFonts w:ascii="Arial" w:cs="Arial" w:eastAsia="Arial" w:hAnsi="Arial"/>
          <w:sz w:val="16"/>
          <w:szCs w:val="16"/>
          <w:color w:val="51555C"/>
        </w:rPr>
        <w:t>305</w:t>
      </w:r>
    </w:p>
    <w:p>
      <w:pPr>
        <w:spacing w:after="0" w:line="59" w:lineRule="exact"/>
        <w:rPr>
          <w:rFonts w:ascii="Arial" w:cs="Arial" w:eastAsia="Arial" w:hAnsi="Arial"/>
          <w:sz w:val="16"/>
          <w:szCs w:val="16"/>
          <w:color w:val="51555C"/>
        </w:rPr>
      </w:pPr>
    </w:p>
    <w:p>
      <w:pPr>
        <w:ind w:left="660"/>
        <w:spacing w:after="0"/>
        <w:rPr>
          <w:rFonts w:ascii="Arial" w:cs="Arial" w:eastAsia="Arial" w:hAnsi="Arial"/>
          <w:sz w:val="16"/>
          <w:szCs w:val="16"/>
          <w:color w:val="51555C"/>
        </w:rPr>
      </w:pPr>
      <w:r>
        <w:rPr>
          <w:rFonts w:ascii="Arial" w:cs="Arial" w:eastAsia="Arial" w:hAnsi="Arial"/>
          <w:sz w:val="16"/>
          <w:szCs w:val="16"/>
          <w:color w:val="51555C"/>
        </w:rPr>
        <w:t>22,17033,570</w:t>
      </w:r>
    </w:p>
    <w:p>
      <w:pPr>
        <w:spacing w:after="0" w:line="59" w:lineRule="exact"/>
        <w:rPr>
          <w:sz w:val="20"/>
          <w:szCs w:val="20"/>
          <w:color w:val="auto"/>
        </w:rPr>
      </w:pPr>
    </w:p>
    <w:p>
      <w:pPr>
        <w:ind w:left="1800" w:hanging="987"/>
        <w:spacing w:after="0"/>
        <w:tabs>
          <w:tab w:leader="none" w:pos="1800" w:val="left"/>
        </w:tabs>
        <w:numPr>
          <w:ilvl w:val="0"/>
          <w:numId w:val="4"/>
        </w:numPr>
        <w:rPr>
          <w:rFonts w:ascii="Arial" w:cs="Arial" w:eastAsia="Arial" w:hAnsi="Arial"/>
          <w:sz w:val="16"/>
          <w:szCs w:val="16"/>
          <w:color w:val="51555C"/>
        </w:rPr>
      </w:pPr>
      <w:r>
        <w:rPr>
          <w:rFonts w:ascii="Arial" w:cs="Arial" w:eastAsia="Arial" w:hAnsi="Arial"/>
          <w:sz w:val="16"/>
          <w:szCs w:val="16"/>
          <w:color w:val="51555C"/>
        </w:rPr>
        <w:t>(12,239)</w:t>
      </w:r>
    </w:p>
    <w:p>
      <w:pPr>
        <w:spacing w:after="0" w:line="59" w:lineRule="exact"/>
        <w:rPr>
          <w:sz w:val="20"/>
          <w:szCs w:val="20"/>
          <w:color w:val="auto"/>
        </w:rPr>
      </w:pPr>
    </w:p>
    <w:p>
      <w:pPr>
        <w:ind w:left="2100" w:hanging="1224"/>
        <w:spacing w:after="0"/>
        <w:tabs>
          <w:tab w:leader="none" w:pos="2100" w:val="left"/>
        </w:tabs>
        <w:numPr>
          <w:ilvl w:val="0"/>
          <w:numId w:val="5"/>
        </w:numPr>
        <w:rPr>
          <w:rFonts w:ascii="Arial" w:cs="Arial" w:eastAsia="Arial" w:hAnsi="Arial"/>
          <w:sz w:val="16"/>
          <w:szCs w:val="16"/>
          <w:color w:val="51555C"/>
        </w:rPr>
      </w:pPr>
      <w:r>
        <w:rPr>
          <w:rFonts w:ascii="Arial" w:cs="Arial" w:eastAsia="Arial" w:hAnsi="Arial"/>
          <w:sz w:val="16"/>
          <w:szCs w:val="16"/>
          <w:color w:val="51555C"/>
        </w:rPr>
        <w:t>349</w:t>
      </w:r>
    </w:p>
    <w:p>
      <w:pPr>
        <w:spacing w:after="0" w:line="59" w:lineRule="exact"/>
        <w:rPr>
          <w:rFonts w:ascii="Arial" w:cs="Arial" w:eastAsia="Arial" w:hAnsi="Arial"/>
          <w:sz w:val="16"/>
          <w:szCs w:val="16"/>
          <w:color w:val="51555C"/>
        </w:rPr>
      </w:pPr>
    </w:p>
    <w:p>
      <w:pPr>
        <w:ind w:left="980"/>
        <w:spacing w:after="0"/>
        <w:rPr>
          <w:rFonts w:ascii="Arial" w:cs="Arial" w:eastAsia="Arial" w:hAnsi="Arial"/>
          <w:sz w:val="16"/>
          <w:szCs w:val="16"/>
          <w:color w:val="51555C"/>
        </w:rPr>
      </w:pPr>
      <w:r>
        <w:rPr>
          <w:rFonts w:ascii="Arial" w:cs="Arial" w:eastAsia="Arial" w:hAnsi="Arial"/>
          <w:sz w:val="16"/>
          <w:szCs w:val="16"/>
          <w:color w:val="51555C"/>
        </w:rPr>
        <w:t>—</w:t>
      </w:r>
      <w:r>
        <w:rPr>
          <w:rFonts w:ascii="Arial" w:cs="Arial" w:eastAsia="Arial" w:hAnsi="Arial"/>
          <w:sz w:val="15"/>
          <w:szCs w:val="15"/>
          <w:color w:val="51555C"/>
        </w:rPr>
        <w:t>1,561</w:t>
      </w:r>
    </w:p>
    <w:p>
      <w:pPr>
        <w:spacing w:after="0" w:line="59" w:lineRule="exact"/>
        <w:rPr>
          <w:sz w:val="20"/>
          <w:szCs w:val="20"/>
          <w:color w:val="auto"/>
        </w:rPr>
      </w:pPr>
    </w:p>
    <w:p>
      <w:pPr>
        <w:ind w:left="680"/>
        <w:spacing w:after="0"/>
        <w:tabs>
          <w:tab w:leader="none" w:pos="2180" w:val="left"/>
        </w:tabs>
        <w:rPr>
          <w:sz w:val="20"/>
          <w:szCs w:val="20"/>
          <w:color w:val="auto"/>
        </w:rPr>
      </w:pPr>
      <w:r>
        <w:rPr>
          <w:rFonts w:ascii="Arial" w:cs="Arial" w:eastAsia="Arial" w:hAnsi="Arial"/>
          <w:sz w:val="16"/>
          <w:szCs w:val="16"/>
          <w:color w:val="51555C"/>
        </w:rPr>
        <w:t>(5,384)</w:t>
      </w:r>
      <w:r>
        <w:rPr>
          <w:sz w:val="20"/>
          <w:szCs w:val="20"/>
          <w:color w:val="auto"/>
        </w:rPr>
        <w:tab/>
      </w:r>
      <w:r>
        <w:rPr>
          <w:rFonts w:ascii="Arial" w:cs="Arial" w:eastAsia="Arial" w:hAnsi="Arial"/>
          <w:sz w:val="16"/>
          <w:szCs w:val="16"/>
          <w:color w:val="51555C"/>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jc w:val="right"/>
              <w:ind w:right="279"/>
              <w:spacing w:after="0"/>
              <w:rPr>
                <w:sz w:val="20"/>
                <w:szCs w:val="20"/>
                <w:color w:val="auto"/>
              </w:rPr>
            </w:pPr>
            <w:r>
              <w:rPr>
                <w:rFonts w:ascii="Arial" w:cs="Arial" w:eastAsia="Arial" w:hAnsi="Arial"/>
                <w:sz w:val="16"/>
                <w:szCs w:val="16"/>
                <w:color w:val="51555C"/>
              </w:rPr>
              <w:t>4,770</w:t>
            </w:r>
          </w:p>
        </w:tc>
        <w:tc>
          <w:tcPr>
            <w:tcW w:w="940" w:type="dxa"/>
            <w:vAlign w:val="bottom"/>
          </w:tcPr>
          <w:p>
            <w:pPr>
              <w:jc w:val="right"/>
              <w:spacing w:after="0"/>
              <w:rPr>
                <w:sz w:val="20"/>
                <w:szCs w:val="20"/>
                <w:color w:val="auto"/>
              </w:rPr>
            </w:pPr>
            <w:r>
              <w:rPr>
                <w:rFonts w:ascii="Arial" w:cs="Arial" w:eastAsia="Arial" w:hAnsi="Arial"/>
                <w:sz w:val="16"/>
                <w:szCs w:val="16"/>
                <w:color w:val="51555C"/>
              </w:rPr>
              <w:t>3,844</w:t>
            </w:r>
          </w:p>
        </w:tc>
      </w:tr>
      <w:tr>
        <w:trPr>
          <w:trHeight w:val="243"/>
        </w:trPr>
        <w:tc>
          <w:tcPr>
            <w:tcW w:w="1500" w:type="dxa"/>
            <w:vAlign w:val="bottom"/>
          </w:tcPr>
          <w:p>
            <w:pPr>
              <w:jc w:val="right"/>
              <w:ind w:right="219"/>
              <w:spacing w:after="0"/>
              <w:rPr>
                <w:sz w:val="20"/>
                <w:szCs w:val="20"/>
                <w:color w:val="auto"/>
              </w:rPr>
            </w:pPr>
            <w:r>
              <w:rPr>
                <w:rFonts w:ascii="Arial" w:cs="Arial" w:eastAsia="Arial" w:hAnsi="Arial"/>
                <w:sz w:val="16"/>
                <w:szCs w:val="16"/>
                <w:color w:val="51555C"/>
              </w:rPr>
              <w:t>(5,330)</w:t>
            </w:r>
          </w:p>
        </w:tc>
        <w:tc>
          <w:tcPr>
            <w:tcW w:w="940" w:type="dxa"/>
            <w:vAlign w:val="bottom"/>
          </w:tcPr>
          <w:p>
            <w:pPr>
              <w:jc w:val="right"/>
              <w:spacing w:after="0"/>
              <w:rPr>
                <w:sz w:val="20"/>
                <w:szCs w:val="20"/>
                <w:color w:val="auto"/>
              </w:rPr>
            </w:pPr>
            <w:r>
              <w:rPr>
                <w:rFonts w:ascii="Arial" w:cs="Arial" w:eastAsia="Arial" w:hAnsi="Arial"/>
                <w:sz w:val="16"/>
                <w:szCs w:val="16"/>
                <w:color w:val="51555C"/>
              </w:rPr>
              <w:t>(3,265)</w:t>
            </w:r>
          </w:p>
        </w:tc>
      </w:tr>
      <w:tr>
        <w:trPr>
          <w:trHeight w:val="243"/>
        </w:trPr>
        <w:tc>
          <w:tcPr>
            <w:tcW w:w="1500" w:type="dxa"/>
            <w:vAlign w:val="bottom"/>
          </w:tcPr>
          <w:p>
            <w:pPr>
              <w:jc w:val="right"/>
              <w:ind w:right="219"/>
              <w:spacing w:after="0"/>
              <w:rPr>
                <w:sz w:val="20"/>
                <w:szCs w:val="20"/>
                <w:color w:val="auto"/>
              </w:rPr>
            </w:pPr>
            <w:r>
              <w:rPr>
                <w:rFonts w:ascii="Arial" w:cs="Arial" w:eastAsia="Arial" w:hAnsi="Arial"/>
                <w:sz w:val="16"/>
                <w:szCs w:val="16"/>
                <w:color w:val="51555C"/>
              </w:rPr>
              <w:t>(4,651)</w:t>
            </w:r>
          </w:p>
        </w:tc>
        <w:tc>
          <w:tcPr>
            <w:tcW w:w="940" w:type="dxa"/>
            <w:vAlign w:val="bottom"/>
          </w:tcPr>
          <w:p>
            <w:pPr>
              <w:jc w:val="right"/>
              <w:spacing w:after="0"/>
              <w:rPr>
                <w:sz w:val="20"/>
                <w:szCs w:val="20"/>
                <w:color w:val="auto"/>
              </w:rPr>
            </w:pPr>
            <w:r>
              <w:rPr>
                <w:rFonts w:ascii="Arial" w:cs="Arial" w:eastAsia="Arial" w:hAnsi="Arial"/>
                <w:sz w:val="16"/>
                <w:szCs w:val="16"/>
                <w:color w:val="51555C"/>
              </w:rPr>
              <w:t>23,086</w:t>
            </w:r>
          </w:p>
        </w:tc>
      </w:tr>
      <w:tr>
        <w:trPr>
          <w:trHeight w:val="243"/>
        </w:trPr>
        <w:tc>
          <w:tcPr>
            <w:tcW w:w="1500" w:type="dxa"/>
            <w:vAlign w:val="bottom"/>
          </w:tcPr>
          <w:p>
            <w:pPr>
              <w:jc w:val="right"/>
              <w:ind w:right="219"/>
              <w:spacing w:after="0"/>
              <w:rPr>
                <w:sz w:val="20"/>
                <w:szCs w:val="20"/>
                <w:color w:val="auto"/>
              </w:rPr>
            </w:pPr>
            <w:r>
              <w:rPr>
                <w:rFonts w:ascii="Arial" w:cs="Arial" w:eastAsia="Arial" w:hAnsi="Arial"/>
                <w:sz w:val="16"/>
                <w:szCs w:val="16"/>
                <w:color w:val="51555C"/>
              </w:rPr>
              <w:t>(8,207)</w:t>
            </w:r>
          </w:p>
        </w:tc>
        <w:tc>
          <w:tcPr>
            <w:tcW w:w="940" w:type="dxa"/>
            <w:vAlign w:val="bottom"/>
          </w:tcPr>
          <w:p>
            <w:pPr>
              <w:jc w:val="right"/>
              <w:spacing w:after="0"/>
              <w:rPr>
                <w:sz w:val="20"/>
                <w:szCs w:val="20"/>
                <w:color w:val="auto"/>
              </w:rPr>
            </w:pPr>
            <w:r>
              <w:rPr>
                <w:rFonts w:ascii="Arial" w:cs="Arial" w:eastAsia="Arial" w:hAnsi="Arial"/>
                <w:sz w:val="16"/>
                <w:szCs w:val="16"/>
                <w:color w:val="51555C"/>
              </w:rPr>
              <w:t>7,912</w:t>
            </w:r>
          </w:p>
        </w:tc>
      </w:tr>
      <w:tr>
        <w:trPr>
          <w:trHeight w:val="252"/>
        </w:trPr>
        <w:tc>
          <w:tcPr>
            <w:tcW w:w="1500" w:type="dxa"/>
            <w:vAlign w:val="bottom"/>
            <w:tcBorders>
              <w:bottom w:val="single" w:sz="8" w:color="51555C"/>
            </w:tcBorders>
          </w:tcPr>
          <w:p>
            <w:pPr>
              <w:jc w:val="right"/>
              <w:ind w:right="219"/>
              <w:spacing w:after="0"/>
              <w:rPr>
                <w:sz w:val="20"/>
                <w:szCs w:val="20"/>
                <w:color w:val="auto"/>
              </w:rPr>
            </w:pPr>
            <w:r>
              <w:rPr>
                <w:rFonts w:ascii="Arial" w:cs="Arial" w:eastAsia="Arial" w:hAnsi="Arial"/>
                <w:sz w:val="16"/>
                <w:szCs w:val="16"/>
                <w:color w:val="51555C"/>
              </w:rPr>
              <w:t>(29,760)</w:t>
            </w: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(25,845)</w:t>
            </w:r>
          </w:p>
        </w:tc>
      </w:tr>
      <w:tr>
        <w:trPr>
          <w:trHeight w:val="228"/>
        </w:trPr>
        <w:tc>
          <w:tcPr>
            <w:tcW w:w="1500" w:type="dxa"/>
            <w:vAlign w:val="bottom"/>
          </w:tcPr>
          <w:p>
            <w:pPr>
              <w:jc w:val="right"/>
              <w:ind w:right="279"/>
              <w:spacing w:after="0"/>
              <w:rPr>
                <w:sz w:val="20"/>
                <w:szCs w:val="20"/>
                <w:color w:val="auto"/>
              </w:rPr>
            </w:pPr>
            <w:r>
              <w:rPr>
                <w:rFonts w:ascii="Arial" w:cs="Arial" w:eastAsia="Arial" w:hAnsi="Arial"/>
                <w:sz w:val="16"/>
                <w:szCs w:val="16"/>
                <w:color w:val="51555C"/>
              </w:rPr>
              <w:t>1,388</w:t>
            </w:r>
          </w:p>
        </w:tc>
        <w:tc>
          <w:tcPr>
            <w:tcW w:w="940" w:type="dxa"/>
            <w:vAlign w:val="bottom"/>
          </w:tcPr>
          <w:p>
            <w:pPr>
              <w:jc w:val="right"/>
              <w:spacing w:after="0"/>
              <w:rPr>
                <w:sz w:val="20"/>
                <w:szCs w:val="20"/>
                <w:color w:val="auto"/>
              </w:rPr>
            </w:pPr>
            <w:r>
              <w:rPr>
                <w:rFonts w:ascii="Arial" w:cs="Arial" w:eastAsia="Arial" w:hAnsi="Arial"/>
                <w:sz w:val="16"/>
                <w:szCs w:val="16"/>
                <w:color w:val="51555C"/>
              </w:rPr>
              <w:t>64,619</w:t>
            </w:r>
          </w:p>
        </w:tc>
      </w:tr>
    </w:tbl>
    <w:p>
      <w:pPr>
        <w:spacing w:after="0" w:line="271" w:lineRule="exact"/>
        <w:rPr>
          <w:sz w:val="20"/>
          <w:szCs w:val="20"/>
          <w:color w:val="auto"/>
        </w:rPr>
      </w:pPr>
    </w:p>
    <w:p>
      <w:pPr>
        <w:ind w:left="2020" w:hanging="1207"/>
        <w:spacing w:after="0"/>
        <w:tabs>
          <w:tab w:leader="none" w:pos="2020" w:val="left"/>
        </w:tabs>
        <w:numPr>
          <w:ilvl w:val="0"/>
          <w:numId w:val="6"/>
        </w:numPr>
        <w:rPr>
          <w:rFonts w:ascii="Arial" w:cs="Arial" w:eastAsia="Arial" w:hAnsi="Arial"/>
          <w:sz w:val="16"/>
          <w:szCs w:val="16"/>
          <w:color w:val="51555C"/>
        </w:rPr>
      </w:pPr>
      <w:r>
        <w:rPr>
          <w:rFonts w:ascii="Arial" w:cs="Arial" w:eastAsia="Arial" w:hAnsi="Arial"/>
          <w:sz w:val="16"/>
          <w:szCs w:val="16"/>
          <w:color w:val="51555C"/>
        </w:rPr>
        <w:t>(261)</w:t>
      </w:r>
    </w:p>
    <w:p>
      <w:pPr>
        <w:spacing w:after="0" w:line="59" w:lineRule="exact"/>
        <w:rPr>
          <w:rFonts w:ascii="Arial" w:cs="Arial" w:eastAsia="Arial" w:hAnsi="Arial"/>
          <w:sz w:val="16"/>
          <w:szCs w:val="16"/>
          <w:color w:val="51555C"/>
        </w:rPr>
      </w:pPr>
    </w:p>
    <w:p>
      <w:pPr>
        <w:ind w:left="580"/>
        <w:spacing w:after="0"/>
        <w:rPr>
          <w:rFonts w:ascii="Arial" w:cs="Arial" w:eastAsia="Arial" w:hAnsi="Arial"/>
          <w:sz w:val="16"/>
          <w:szCs w:val="16"/>
          <w:color w:val="51555C"/>
        </w:rPr>
      </w:pPr>
      <w:r>
        <w:rPr>
          <w:rFonts w:ascii="Arial" w:cs="Arial" w:eastAsia="Arial" w:hAnsi="Arial"/>
          <w:sz w:val="16"/>
          <w:szCs w:val="16"/>
          <w:color w:val="51555C"/>
        </w:rPr>
        <w:t>(12,970)(13,070)</w:t>
      </w:r>
    </w:p>
    <w:p>
      <w:pPr>
        <w:spacing w:after="0" w:line="59" w:lineRule="exact"/>
        <w:rPr>
          <w:rFonts w:ascii="Arial" w:cs="Arial" w:eastAsia="Arial" w:hAnsi="Arial"/>
          <w:sz w:val="16"/>
          <w:szCs w:val="16"/>
          <w:color w:val="51555C"/>
        </w:rPr>
      </w:pPr>
    </w:p>
    <w:p>
      <w:pPr>
        <w:ind w:left="580"/>
        <w:spacing w:after="0"/>
        <w:rPr>
          <w:rFonts w:ascii="Arial" w:cs="Arial" w:eastAsia="Arial" w:hAnsi="Arial"/>
          <w:sz w:val="16"/>
          <w:szCs w:val="16"/>
          <w:color w:val="51555C"/>
        </w:rPr>
      </w:pPr>
      <w:r>
        <w:rPr>
          <w:rFonts w:ascii="Arial" w:cs="Arial" w:eastAsia="Arial" w:hAnsi="Arial"/>
          <w:sz w:val="16"/>
          <w:szCs w:val="16"/>
          <w:color w:val="51555C"/>
        </w:rPr>
        <w:t>(12,235)</w:t>
      </w:r>
      <w:r>
        <w:rPr>
          <w:rFonts w:ascii="Arial" w:cs="Arial" w:eastAsia="Arial" w:hAnsi="Arial"/>
          <w:sz w:val="15"/>
          <w:szCs w:val="15"/>
          <w:color w:val="51555C"/>
        </w:rPr>
        <w:t>(1,179)</w:t>
      </w:r>
    </w:p>
    <w:p>
      <w:pPr>
        <w:spacing w:after="0" w:line="72" w:lineRule="exact"/>
        <w:rPr>
          <w:rFonts w:ascii="Arial" w:cs="Arial" w:eastAsia="Arial" w:hAnsi="Arial"/>
          <w:sz w:val="16"/>
          <w:szCs w:val="16"/>
          <w:color w:val="51555C"/>
        </w:rPr>
      </w:pPr>
    </w:p>
    <w:p>
      <w:pPr>
        <w:ind w:left="580"/>
        <w:spacing w:after="0"/>
        <w:rPr>
          <w:rFonts w:ascii="Arial" w:cs="Arial" w:eastAsia="Arial" w:hAnsi="Arial"/>
          <w:sz w:val="16"/>
          <w:szCs w:val="16"/>
          <w:color w:val="51555C"/>
        </w:rPr>
      </w:pPr>
      <w:r>
        <w:rPr>
          <w:rFonts w:ascii="Arial" w:cs="Arial" w:eastAsia="Arial" w:hAnsi="Arial"/>
          <w:sz w:val="16"/>
          <w:szCs w:val="16"/>
          <w:color w:val="51555C"/>
        </w:rPr>
        <w:t>(25,893)(14,510)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1543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216,200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339,800</w:t>
            </w:r>
          </w:p>
        </w:tc>
      </w:tr>
      <w:tr>
        <w:trPr>
          <w:trHeight w:val="243"/>
        </w:trPr>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(85,523)</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(79,343)</w:t>
            </w:r>
          </w:p>
        </w:tc>
      </w:tr>
      <w:tr>
        <w:trPr>
          <w:trHeight w:val="243"/>
        </w:trPr>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(37,948)</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(52,723)</w:t>
            </w:r>
          </w:p>
        </w:tc>
      </w:tr>
      <w:tr>
        <w:trPr>
          <w:trHeight w:val="243"/>
        </w:trPr>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(320,248)</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(336,578)</w:t>
            </w:r>
          </w:p>
        </w:tc>
      </w:tr>
      <w:tr>
        <w:trPr>
          <w:trHeight w:val="243"/>
        </w:trPr>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(2,483)</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(3,197)</w:t>
            </w:r>
          </w:p>
        </w:tc>
      </w:tr>
      <w:tr>
        <w:trPr>
          <w:trHeight w:val="252"/>
        </w:trPr>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(100,030)</w:t>
            </w:r>
          </w:p>
        </w:tc>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(262,596)</w:t>
            </w:r>
          </w:p>
        </w:tc>
      </w:tr>
      <w:tr>
        <w:trPr>
          <w:trHeight w:val="228"/>
        </w:trPr>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(330,032)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(394,637)</w:t>
            </w:r>
          </w:p>
        </w:tc>
      </w:tr>
      <w:tr>
        <w:trPr>
          <w:trHeight w:val="252"/>
        </w:trPr>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1,668</w:t>
            </w:r>
          </w:p>
        </w:tc>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(860)</w:t>
            </w:r>
          </w:p>
        </w:tc>
      </w:tr>
      <w:tr>
        <w:trPr>
          <w:trHeight w:val="228"/>
        </w:trPr>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(352,869)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(345,388)</w:t>
            </w:r>
          </w:p>
        </w:tc>
      </w:tr>
      <w:tr>
        <w:trPr>
          <w:trHeight w:val="252"/>
        </w:trPr>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809,512</w:t>
            </w:r>
          </w:p>
        </w:tc>
        <w:tc>
          <w:tcPr>
            <w:tcW w:w="300" w:type="dxa"/>
            <w:vAlign w:val="bottom"/>
            <w:tcBorders>
              <w:bottom w:val="single" w:sz="8" w:color="51555C"/>
            </w:tcBorders>
          </w:tcPr>
          <w:p>
            <w:pPr>
              <w:spacing w:after="0"/>
              <w:rPr>
                <w:sz w:val="21"/>
                <w:szCs w:val="21"/>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728,257</w:t>
            </w:r>
          </w:p>
        </w:tc>
      </w:tr>
      <w:tr>
        <w:trPr>
          <w:trHeight w:val="228"/>
        </w:trPr>
        <w:tc>
          <w:tcPr>
            <w:tcW w:w="300" w:type="dxa"/>
            <w:vAlign w:val="bottom"/>
          </w:tcPr>
          <w:p>
            <w:pPr>
              <w:jc w:val="right"/>
              <w:ind w:right="99"/>
              <w:spacing w:after="0"/>
              <w:rPr>
                <w:sz w:val="20"/>
                <w:szCs w:val="20"/>
                <w:color w:val="auto"/>
              </w:rPr>
            </w:pPr>
            <w:r>
              <w:rPr>
                <w:rFonts w:ascii="Arial" w:cs="Arial" w:eastAsia="Arial" w:hAnsi="Arial"/>
                <w:sz w:val="16"/>
                <w:szCs w:val="16"/>
                <w:color w:val="51555C"/>
              </w:rPr>
              <w:t>$</w:t>
            </w:r>
          </w:p>
        </w:tc>
        <w:tc>
          <w:tcPr>
            <w:tcW w:w="920" w:type="dxa"/>
            <w:vAlign w:val="bottom"/>
          </w:tcPr>
          <w:p>
            <w:pPr>
              <w:jc w:val="right"/>
              <w:spacing w:after="0"/>
              <w:rPr>
                <w:sz w:val="20"/>
                <w:szCs w:val="20"/>
                <w:color w:val="auto"/>
              </w:rPr>
            </w:pPr>
            <w:r>
              <w:rPr>
                <w:rFonts w:ascii="Arial" w:cs="Arial" w:eastAsia="Arial" w:hAnsi="Arial"/>
                <w:sz w:val="16"/>
                <w:szCs w:val="16"/>
                <w:color w:val="51555C"/>
              </w:rPr>
              <w:t>456,643</w:t>
            </w:r>
          </w:p>
        </w:tc>
        <w:tc>
          <w:tcPr>
            <w:tcW w:w="300" w:type="dxa"/>
            <w:vAlign w:val="bottom"/>
          </w:tcPr>
          <w:p>
            <w:pPr>
              <w:jc w:val="right"/>
              <w:ind w:right="119"/>
              <w:spacing w:after="0"/>
              <w:rPr>
                <w:sz w:val="20"/>
                <w:szCs w:val="20"/>
                <w:color w:val="auto"/>
              </w:rPr>
            </w:pPr>
            <w:r>
              <w:rPr>
                <w:rFonts w:ascii="Arial" w:cs="Arial" w:eastAsia="Arial" w:hAnsi="Arial"/>
                <w:sz w:val="16"/>
                <w:szCs w:val="16"/>
                <w:color w:val="51555C"/>
                <w:w w:val="89"/>
              </w:rPr>
              <w:t>$</w:t>
            </w:r>
          </w:p>
        </w:tc>
        <w:tc>
          <w:tcPr>
            <w:tcW w:w="920" w:type="dxa"/>
            <w:vAlign w:val="bottom"/>
          </w:tcPr>
          <w:p>
            <w:pPr>
              <w:jc w:val="right"/>
              <w:spacing w:after="0"/>
              <w:rPr>
                <w:sz w:val="20"/>
                <w:szCs w:val="20"/>
                <w:color w:val="auto"/>
              </w:rPr>
            </w:pPr>
            <w:r>
              <w:rPr>
                <w:rFonts w:ascii="Arial" w:cs="Arial" w:eastAsia="Arial" w:hAnsi="Arial"/>
                <w:sz w:val="16"/>
                <w:szCs w:val="16"/>
                <w:color w:val="51555C"/>
              </w:rPr>
              <w:t>382,869</w:t>
            </w:r>
          </w:p>
        </w:tc>
      </w:tr>
    </w:tbl>
    <w:p>
      <w:pPr>
        <w:spacing w:after="0" w:line="217" w:lineRule="exact"/>
        <w:rPr>
          <w:sz w:val="20"/>
          <w:szCs w:val="20"/>
          <w:color w:val="auto"/>
        </w:rPr>
      </w:pPr>
    </w:p>
    <w:p>
      <w:pPr>
        <w:sectPr>
          <w:pgSz w:w="11900" w:h="16838" w:orient="portrait"/>
          <w:cols w:equalWidth="0" w:num="2">
            <w:col w:w="8060" w:space="720"/>
            <w:col w:w="2480"/>
          </w:cols>
          <w:pgMar w:left="320" w:top="1440" w:right="319" w:bottom="1440" w:gutter="0" w:footer="0" w:header="0"/>
          <w:type w:val="continuous"/>
        </w:sectPr>
      </w:pPr>
    </w:p>
    <w:p>
      <w:pPr>
        <w:ind w:right="20"/>
        <w:spacing w:after="0" w:line="286" w:lineRule="auto"/>
        <w:rPr>
          <w:sz w:val="20"/>
          <w:szCs w:val="20"/>
          <w:color w:val="auto"/>
        </w:rPr>
      </w:pPr>
      <w:r>
        <w:rPr>
          <w:rFonts w:ascii="Arial" w:cs="Arial" w:eastAsia="Arial" w:hAnsi="Arial"/>
          <w:sz w:val="16"/>
          <w:szCs w:val="16"/>
          <w:color w:val="51555C"/>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80" w:type="dxa"/>
            <w:vAlign w:val="bottom"/>
            <w:shd w:val="clear" w:color="auto" w:fill="004054"/>
          </w:tcPr>
          <w:p>
            <w:pPr>
              <w:spacing w:after="0"/>
              <w:rPr>
                <w:sz w:val="17"/>
                <w:szCs w:val="17"/>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8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004054"/>
            </w:tcBorders>
            <w:shd w:val="clear" w:color="auto" w:fill="004054"/>
          </w:tcPr>
          <w:p>
            <w:pPr>
              <w:spacing w:after="0"/>
              <w:rPr>
                <w:sz w:val="17"/>
                <w:szCs w:val="17"/>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80" w:type="dxa"/>
            <w:vAlign w:val="bottom"/>
            <w:tcBorders>
              <w:bottom w:val="single" w:sz="8" w:color="004054"/>
            </w:tcBorders>
            <w:shd w:val="clear" w:color="auto" w:fill="004054"/>
          </w:tcPr>
          <w:p>
            <w:pPr>
              <w:spacing w:after="0"/>
              <w:rPr>
                <w:sz w:val="17"/>
                <w:szCs w:val="17"/>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43"/>
        </w:trPr>
        <w:tc>
          <w:tcPr>
            <w:tcW w:w="880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Cash and cash equivalents</w:t>
            </w:r>
          </w:p>
        </w:tc>
        <w:tc>
          <w:tcPr>
            <w:tcW w:w="340" w:type="dxa"/>
            <w:vAlign w:val="bottom"/>
            <w:shd w:val="clear" w:color="auto" w:fill="EBFBFF"/>
          </w:tcPr>
          <w:p>
            <w:pPr>
              <w:jc w:val="right"/>
              <w:ind w:right="139"/>
              <w:spacing w:after="0"/>
              <w:rPr>
                <w:sz w:val="20"/>
                <w:szCs w:val="20"/>
                <w:color w:val="auto"/>
              </w:rPr>
            </w:pPr>
            <w:r>
              <w:rPr>
                <w:rFonts w:ascii="Arial" w:cs="Arial" w:eastAsia="Arial" w:hAnsi="Arial"/>
                <w:sz w:val="16"/>
                <w:szCs w:val="16"/>
                <w:color w:val="51555C"/>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37,243</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67,628</w:t>
            </w:r>
          </w:p>
        </w:tc>
        <w:tc>
          <w:tcPr>
            <w:tcW w:w="20" w:type="dxa"/>
            <w:vAlign w:val="bottom"/>
          </w:tcPr>
          <w:p>
            <w:pPr>
              <w:spacing w:after="0"/>
              <w:rPr>
                <w:sz w:val="21"/>
                <w:szCs w:val="21"/>
                <w:color w:val="auto"/>
              </w:rPr>
            </w:pPr>
          </w:p>
        </w:tc>
      </w:tr>
      <w:tr>
        <w:trPr>
          <w:trHeight w:val="236"/>
        </w:trPr>
        <w:tc>
          <w:tcPr>
            <w:tcW w:w="8800" w:type="dxa"/>
            <w:vAlign w:val="bottom"/>
            <w:tcBorders>
              <w:bottom w:val="single" w:sz="8" w:color="EBFBFF"/>
            </w:tcBorders>
          </w:tcPr>
          <w:p>
            <w:pPr>
              <w:ind w:left="20"/>
              <w:spacing w:after="0"/>
              <w:rPr>
                <w:sz w:val="20"/>
                <w:szCs w:val="20"/>
                <w:color w:val="auto"/>
              </w:rPr>
            </w:pPr>
            <w:r>
              <w:rPr>
                <w:rFonts w:ascii="Arial" w:cs="Arial" w:eastAsia="Arial" w:hAnsi="Arial"/>
                <w:sz w:val="16"/>
                <w:szCs w:val="16"/>
                <w:color w:val="51555C"/>
              </w:rPr>
              <w:t>Restricted cash</w:t>
            </w:r>
          </w:p>
        </w:tc>
        <w:tc>
          <w:tcPr>
            <w:tcW w:w="340" w:type="dxa"/>
            <w:vAlign w:val="bottom"/>
            <w:tcBorders>
              <w:bottom w:val="single" w:sz="8" w:color="51555C"/>
            </w:tcBorders>
          </w:tcPr>
          <w:p>
            <w:pPr>
              <w:spacing w:after="0"/>
              <w:rPr>
                <w:sz w:val="20"/>
                <w:szCs w:val="20"/>
                <w:color w:val="auto"/>
              </w:rPr>
            </w:pP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419,400</w:t>
            </w:r>
          </w:p>
        </w:tc>
        <w:tc>
          <w:tcPr>
            <w:tcW w:w="1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741,884</w:t>
            </w:r>
          </w:p>
        </w:tc>
        <w:tc>
          <w:tcPr>
            <w:tcW w:w="20" w:type="dxa"/>
            <w:vAlign w:val="bottom"/>
          </w:tcPr>
          <w:p>
            <w:pPr>
              <w:spacing w:after="0"/>
              <w:rPr>
                <w:sz w:val="20"/>
                <w:szCs w:val="20"/>
                <w:color w:val="auto"/>
              </w:rPr>
            </w:pPr>
          </w:p>
        </w:tc>
      </w:tr>
      <w:tr>
        <w:trPr>
          <w:trHeight w:val="236"/>
        </w:trPr>
        <w:tc>
          <w:tcPr>
            <w:tcW w:w="880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6"/>
                <w:szCs w:val="16"/>
                <w:color w:val="51555C"/>
              </w:rPr>
              <w:t>Total cash, cash equivalents and restricted cash in the statement of cash flows</w:t>
            </w:r>
          </w:p>
        </w:tc>
        <w:tc>
          <w:tcPr>
            <w:tcW w:w="340" w:type="dxa"/>
            <w:vAlign w:val="bottom"/>
            <w:tcBorders>
              <w:bottom w:val="single" w:sz="8" w:color="0CD973"/>
            </w:tcBorders>
            <w:shd w:val="clear" w:color="auto" w:fill="EBFBFF"/>
          </w:tcPr>
          <w:p>
            <w:pPr>
              <w:jc w:val="right"/>
              <w:ind w:right="139"/>
              <w:spacing w:after="0"/>
              <w:rPr>
                <w:sz w:val="20"/>
                <w:szCs w:val="20"/>
                <w:color w:val="auto"/>
              </w:rPr>
            </w:pPr>
            <w:r>
              <w:rPr>
                <w:rFonts w:ascii="Arial" w:cs="Arial" w:eastAsia="Arial" w:hAnsi="Arial"/>
                <w:sz w:val="16"/>
                <w:szCs w:val="16"/>
                <w:color w:val="51555C"/>
              </w:rPr>
              <w:t>$</w:t>
            </w:r>
          </w:p>
        </w:tc>
        <w:tc>
          <w:tcPr>
            <w:tcW w:w="8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456,643</w:t>
            </w:r>
          </w:p>
        </w:tc>
        <w:tc>
          <w:tcPr>
            <w:tcW w:w="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809,512</w:t>
            </w:r>
          </w:p>
        </w:tc>
        <w:tc>
          <w:tcPr>
            <w:tcW w:w="20" w:type="dxa"/>
            <w:vAlign w:val="bottom"/>
          </w:tcPr>
          <w:p>
            <w:pPr>
              <w:spacing w:after="0"/>
              <w:rPr>
                <w:sz w:val="20"/>
                <w:szCs w:val="20"/>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569595</wp:posOffset>
            </wp:positionV>
            <wp:extent cx="67691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5</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Condensed Consolidated Statements of Stockholders' Equity</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shd w:val="clear" w:color="auto" w:fill="004054"/>
          </w:tcPr>
          <w:p>
            <w:pPr>
              <w:spacing w:after="0"/>
              <w:rPr>
                <w:sz w:val="19"/>
                <w:szCs w:val="19"/>
                <w:color w:val="auto"/>
              </w:rPr>
            </w:pPr>
          </w:p>
        </w:tc>
        <w:tc>
          <w:tcPr>
            <w:tcW w:w="280" w:type="dxa"/>
            <w:vAlign w:val="bottom"/>
            <w:shd w:val="clear" w:color="auto" w:fill="004054"/>
          </w:tcPr>
          <w:p>
            <w:pPr>
              <w:spacing w:after="0"/>
              <w:rPr>
                <w:sz w:val="19"/>
                <w:szCs w:val="19"/>
                <w:color w:val="auto"/>
              </w:rPr>
            </w:pPr>
          </w:p>
        </w:tc>
        <w:tc>
          <w:tcPr>
            <w:tcW w:w="620" w:type="dxa"/>
            <w:vAlign w:val="bottom"/>
            <w:shd w:val="clear" w:color="auto" w:fill="004054"/>
          </w:tcPr>
          <w:p>
            <w:pPr>
              <w:spacing w:after="0"/>
              <w:rPr>
                <w:sz w:val="19"/>
                <w:szCs w:val="19"/>
                <w:color w:val="auto"/>
              </w:rPr>
            </w:pPr>
          </w:p>
        </w:tc>
        <w:tc>
          <w:tcPr>
            <w:tcW w:w="260" w:type="dxa"/>
            <w:vAlign w:val="bottom"/>
            <w:shd w:val="clear" w:color="auto" w:fill="004054"/>
          </w:tcPr>
          <w:p>
            <w:pPr>
              <w:spacing w:after="0"/>
              <w:rPr>
                <w:sz w:val="19"/>
                <w:szCs w:val="19"/>
                <w:color w:val="auto"/>
              </w:rPr>
            </w:pPr>
          </w:p>
        </w:tc>
        <w:tc>
          <w:tcPr>
            <w:tcW w:w="400" w:type="dxa"/>
            <w:vAlign w:val="bottom"/>
            <w:shd w:val="clear" w:color="auto" w:fill="004054"/>
          </w:tcPr>
          <w:p>
            <w:pPr>
              <w:spacing w:after="0"/>
              <w:rPr>
                <w:sz w:val="19"/>
                <w:szCs w:val="19"/>
                <w:color w:val="auto"/>
              </w:rPr>
            </w:pPr>
          </w:p>
        </w:tc>
        <w:tc>
          <w:tcPr>
            <w:tcW w:w="28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660" w:type="dxa"/>
            <w:vAlign w:val="bottom"/>
            <w:shd w:val="clear" w:color="auto" w:fill="004054"/>
          </w:tcPr>
          <w:p>
            <w:pPr>
              <w:spacing w:after="0"/>
              <w:rPr>
                <w:sz w:val="19"/>
                <w:szCs w:val="19"/>
                <w:color w:val="auto"/>
              </w:rPr>
            </w:pPr>
          </w:p>
        </w:tc>
        <w:tc>
          <w:tcPr>
            <w:tcW w:w="260" w:type="dxa"/>
            <w:vAlign w:val="bottom"/>
            <w:shd w:val="clear" w:color="auto" w:fill="004054"/>
          </w:tcPr>
          <w:p>
            <w:pPr>
              <w:spacing w:after="0"/>
              <w:rPr>
                <w:sz w:val="19"/>
                <w:szCs w:val="19"/>
                <w:color w:val="auto"/>
              </w:rPr>
            </w:pPr>
          </w:p>
        </w:tc>
        <w:tc>
          <w:tcPr>
            <w:tcW w:w="730" w:type="dxa"/>
            <w:vAlign w:val="bottom"/>
            <w:shd w:val="clear" w:color="auto" w:fill="004054"/>
          </w:tcPr>
          <w:p>
            <w:pPr>
              <w:spacing w:after="0"/>
              <w:rPr>
                <w:sz w:val="19"/>
                <w:szCs w:val="19"/>
                <w:color w:val="auto"/>
              </w:rPr>
            </w:pPr>
          </w:p>
        </w:tc>
        <w:tc>
          <w:tcPr>
            <w:tcW w:w="11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76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9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160" w:type="dxa"/>
            <w:vAlign w:val="bottom"/>
            <w:shd w:val="clear" w:color="auto" w:fill="004054"/>
          </w:tcPr>
          <w:p>
            <w:pPr>
              <w:spacing w:after="0"/>
              <w:rPr>
                <w:sz w:val="19"/>
                <w:szCs w:val="19"/>
                <w:color w:val="auto"/>
              </w:rPr>
            </w:pPr>
          </w:p>
        </w:tc>
        <w:tc>
          <w:tcPr>
            <w:tcW w:w="80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8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28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28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65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 stock</w:t>
            </w:r>
          </w:p>
        </w:tc>
        <w:tc>
          <w:tcPr>
            <w:tcW w:w="110" w:type="dxa"/>
            <w:vAlign w:val="bottom"/>
            <w:shd w:val="clear" w:color="auto" w:fill="004054"/>
          </w:tcPr>
          <w:p>
            <w:pPr>
              <w:spacing w:after="0"/>
              <w:rPr>
                <w:sz w:val="15"/>
                <w:szCs w:val="15"/>
                <w:color w:val="auto"/>
              </w:rPr>
            </w:pPr>
          </w:p>
        </w:tc>
        <w:tc>
          <w:tcPr>
            <w:tcW w:w="4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7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4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8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96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15"/>
        </w:trPr>
        <w:tc>
          <w:tcPr>
            <w:tcW w:w="3180" w:type="dxa"/>
            <w:vAlign w:val="bottom"/>
            <w:shd w:val="clear" w:color="auto" w:fill="004054"/>
          </w:tcPr>
          <w:p>
            <w:pPr>
              <w:spacing w:after="0"/>
              <w:rPr>
                <w:sz w:val="10"/>
                <w:szCs w:val="10"/>
                <w:color w:val="auto"/>
              </w:rPr>
            </w:pPr>
          </w:p>
        </w:tc>
        <w:tc>
          <w:tcPr>
            <w:tcW w:w="280" w:type="dxa"/>
            <w:vAlign w:val="bottom"/>
            <w:shd w:val="clear" w:color="auto" w:fill="004054"/>
          </w:tcPr>
          <w:p>
            <w:pPr>
              <w:spacing w:after="0"/>
              <w:rPr>
                <w:sz w:val="10"/>
                <w:szCs w:val="10"/>
                <w:color w:val="auto"/>
              </w:rPr>
            </w:pPr>
          </w:p>
        </w:tc>
        <w:tc>
          <w:tcPr>
            <w:tcW w:w="1280" w:type="dxa"/>
            <w:vAlign w:val="bottom"/>
            <w:gridSpan w:val="3"/>
            <w:vMerge w:val="continue"/>
            <w:shd w:val="clear" w:color="auto" w:fill="004054"/>
          </w:tcPr>
          <w:p>
            <w:pPr>
              <w:spacing w:after="0"/>
              <w:rPr>
                <w:sz w:val="10"/>
                <w:szCs w:val="10"/>
                <w:color w:val="auto"/>
              </w:rPr>
            </w:pPr>
          </w:p>
        </w:tc>
        <w:tc>
          <w:tcPr>
            <w:tcW w:w="280" w:type="dxa"/>
            <w:vAlign w:val="bottom"/>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1650" w:type="dxa"/>
            <w:vAlign w:val="bottom"/>
            <w:gridSpan w:val="3"/>
            <w:vMerge w:val="continue"/>
            <w:shd w:val="clear" w:color="auto" w:fill="004054"/>
          </w:tcPr>
          <w:p>
            <w:pPr>
              <w:spacing w:after="0"/>
              <w:rPr>
                <w:sz w:val="10"/>
                <w:szCs w:val="10"/>
                <w:color w:val="auto"/>
              </w:rPr>
            </w:pPr>
          </w:p>
        </w:tc>
        <w:tc>
          <w:tcPr>
            <w:tcW w:w="110" w:type="dxa"/>
            <w:vAlign w:val="bottom"/>
            <w:shd w:val="clear" w:color="auto" w:fill="004054"/>
          </w:tcPr>
          <w:p>
            <w:pPr>
              <w:spacing w:after="0"/>
              <w:rPr>
                <w:sz w:val="10"/>
                <w:szCs w:val="10"/>
                <w:color w:val="auto"/>
              </w:rPr>
            </w:pPr>
          </w:p>
        </w:tc>
        <w:tc>
          <w:tcPr>
            <w:tcW w:w="40" w:type="dxa"/>
            <w:vAlign w:val="bottom"/>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7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12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960" w:type="dxa"/>
            <w:vAlign w:val="bottom"/>
            <w:gridSpan w:val="2"/>
            <w:vMerge w:val="continue"/>
            <w:shd w:val="clear" w:color="auto" w:fill="004054"/>
          </w:tcPr>
          <w:p>
            <w:pPr>
              <w:spacing w:after="0"/>
              <w:rPr>
                <w:sz w:val="10"/>
                <w:szCs w:val="10"/>
                <w:color w:val="auto"/>
              </w:rPr>
            </w:pPr>
          </w:p>
        </w:tc>
        <w:tc>
          <w:tcPr>
            <w:tcW w:w="102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47"/>
        </w:trPr>
        <w:tc>
          <w:tcPr>
            <w:tcW w:w="3180" w:type="dxa"/>
            <w:vAlign w:val="bottom"/>
            <w:shd w:val="clear" w:color="auto" w:fill="004054"/>
          </w:tcPr>
          <w:p>
            <w:pPr>
              <w:spacing w:after="0"/>
              <w:rPr>
                <w:sz w:val="4"/>
                <w:szCs w:val="4"/>
                <w:color w:val="auto"/>
              </w:rPr>
            </w:pPr>
          </w:p>
        </w:tc>
        <w:tc>
          <w:tcPr>
            <w:tcW w:w="280" w:type="dxa"/>
            <w:vAlign w:val="bottom"/>
            <w:shd w:val="clear" w:color="auto" w:fill="004054"/>
          </w:tcPr>
          <w:p>
            <w:pPr>
              <w:spacing w:after="0"/>
              <w:rPr>
                <w:sz w:val="4"/>
                <w:szCs w:val="4"/>
                <w:color w:val="auto"/>
              </w:rPr>
            </w:pPr>
          </w:p>
        </w:tc>
        <w:tc>
          <w:tcPr>
            <w:tcW w:w="620" w:type="dxa"/>
            <w:vAlign w:val="bottom"/>
            <w:shd w:val="clear" w:color="auto" w:fill="004054"/>
          </w:tcPr>
          <w:p>
            <w:pPr>
              <w:spacing w:after="0"/>
              <w:rPr>
                <w:sz w:val="4"/>
                <w:szCs w:val="4"/>
                <w:color w:val="auto"/>
              </w:rPr>
            </w:pPr>
          </w:p>
        </w:tc>
        <w:tc>
          <w:tcPr>
            <w:tcW w:w="260" w:type="dxa"/>
            <w:vAlign w:val="bottom"/>
            <w:shd w:val="clear" w:color="auto" w:fill="004054"/>
          </w:tcPr>
          <w:p>
            <w:pPr>
              <w:spacing w:after="0"/>
              <w:rPr>
                <w:sz w:val="4"/>
                <w:szCs w:val="4"/>
                <w:color w:val="auto"/>
              </w:rPr>
            </w:pPr>
          </w:p>
        </w:tc>
        <w:tc>
          <w:tcPr>
            <w:tcW w:w="400" w:type="dxa"/>
            <w:vAlign w:val="bottom"/>
            <w:shd w:val="clear" w:color="auto" w:fill="004054"/>
          </w:tcPr>
          <w:p>
            <w:pPr>
              <w:spacing w:after="0"/>
              <w:rPr>
                <w:sz w:val="4"/>
                <w:szCs w:val="4"/>
                <w:color w:val="auto"/>
              </w:rPr>
            </w:pPr>
          </w:p>
        </w:tc>
        <w:tc>
          <w:tcPr>
            <w:tcW w:w="28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660" w:type="dxa"/>
            <w:vAlign w:val="bottom"/>
            <w:shd w:val="clear" w:color="auto" w:fill="004054"/>
          </w:tcPr>
          <w:p>
            <w:pPr>
              <w:spacing w:after="0"/>
              <w:rPr>
                <w:sz w:val="4"/>
                <w:szCs w:val="4"/>
                <w:color w:val="auto"/>
              </w:rPr>
            </w:pPr>
          </w:p>
        </w:tc>
        <w:tc>
          <w:tcPr>
            <w:tcW w:w="260" w:type="dxa"/>
            <w:vAlign w:val="bottom"/>
            <w:shd w:val="clear" w:color="auto" w:fill="004054"/>
          </w:tcPr>
          <w:p>
            <w:pPr>
              <w:spacing w:after="0"/>
              <w:rPr>
                <w:sz w:val="4"/>
                <w:szCs w:val="4"/>
                <w:color w:val="auto"/>
              </w:rPr>
            </w:pPr>
          </w:p>
        </w:tc>
        <w:tc>
          <w:tcPr>
            <w:tcW w:w="730" w:type="dxa"/>
            <w:vAlign w:val="bottom"/>
            <w:shd w:val="clear" w:color="auto" w:fill="004054"/>
          </w:tcPr>
          <w:p>
            <w:pPr>
              <w:spacing w:after="0"/>
              <w:rPr>
                <w:sz w:val="4"/>
                <w:szCs w:val="4"/>
                <w:color w:val="auto"/>
              </w:rPr>
            </w:pPr>
          </w:p>
        </w:tc>
        <w:tc>
          <w:tcPr>
            <w:tcW w:w="110" w:type="dxa"/>
            <w:vAlign w:val="bottom"/>
            <w:shd w:val="clear" w:color="auto" w:fill="004054"/>
          </w:tcPr>
          <w:p>
            <w:pPr>
              <w:spacing w:after="0"/>
              <w:rPr>
                <w:sz w:val="4"/>
                <w:szCs w:val="4"/>
                <w:color w:val="auto"/>
              </w:rPr>
            </w:pPr>
          </w:p>
        </w:tc>
        <w:tc>
          <w:tcPr>
            <w:tcW w:w="4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760" w:type="dxa"/>
            <w:vAlign w:val="bottom"/>
            <w:vMerge w:val="continue"/>
            <w:shd w:val="clear" w:color="auto" w:fill="004054"/>
          </w:tcPr>
          <w:p>
            <w:pPr>
              <w:spacing w:after="0"/>
              <w:rPr>
                <w:sz w:val="4"/>
                <w:szCs w:val="4"/>
                <w:color w:val="auto"/>
              </w:rPr>
            </w:pPr>
          </w:p>
        </w:tc>
        <w:tc>
          <w:tcPr>
            <w:tcW w:w="1120" w:type="dxa"/>
            <w:vAlign w:val="bottom"/>
            <w:gridSpan w:val="3"/>
            <w:vMerge w:val="continue"/>
            <w:shd w:val="clear" w:color="auto" w:fill="004054"/>
          </w:tcPr>
          <w:p>
            <w:pPr>
              <w:spacing w:after="0"/>
              <w:rPr>
                <w:sz w:val="4"/>
                <w:szCs w:val="4"/>
                <w:color w:val="auto"/>
              </w:rPr>
            </w:pPr>
          </w:p>
        </w:tc>
        <w:tc>
          <w:tcPr>
            <w:tcW w:w="960" w:type="dxa"/>
            <w:vAlign w:val="bottom"/>
            <w:gridSpan w:val="2"/>
            <w:vMerge w:val="continue"/>
            <w:shd w:val="clear" w:color="auto" w:fill="004054"/>
          </w:tcPr>
          <w:p>
            <w:pPr>
              <w:spacing w:after="0"/>
              <w:rPr>
                <w:sz w:val="4"/>
                <w:szCs w:val="4"/>
                <w:color w:val="auto"/>
              </w:rPr>
            </w:pPr>
          </w:p>
        </w:tc>
        <w:tc>
          <w:tcPr>
            <w:tcW w:w="1020" w:type="dxa"/>
            <w:vAlign w:val="bottom"/>
            <w:gridSpan w:val="2"/>
            <w:vMerge w:val="continue"/>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shd w:val="clear" w:color="auto" w:fill="004054"/>
          </w:tcPr>
          <w:p>
            <w:pPr>
              <w:spacing w:after="0"/>
              <w:rPr>
                <w:sz w:val="19"/>
                <w:szCs w:val="19"/>
                <w:color w:val="auto"/>
              </w:rPr>
            </w:pPr>
          </w:p>
        </w:tc>
        <w:tc>
          <w:tcPr>
            <w:tcW w:w="6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6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28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260" w:type="dxa"/>
            <w:vAlign w:val="bottom"/>
            <w:shd w:val="clear" w:color="auto" w:fill="004054"/>
          </w:tcPr>
          <w:p>
            <w:pPr>
              <w:spacing w:after="0"/>
              <w:rPr>
                <w:sz w:val="19"/>
                <w:szCs w:val="19"/>
                <w:color w:val="auto"/>
              </w:rPr>
            </w:pPr>
          </w:p>
        </w:tc>
        <w:tc>
          <w:tcPr>
            <w:tcW w:w="73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1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7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4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8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loss</w:t>
            </w:r>
          </w:p>
        </w:tc>
        <w:tc>
          <w:tcPr>
            <w:tcW w:w="160" w:type="dxa"/>
            <w:vAlign w:val="bottom"/>
            <w:shd w:val="clear" w:color="auto" w:fill="004054"/>
          </w:tcPr>
          <w:p>
            <w:pPr>
              <w:spacing w:after="0"/>
              <w:rPr>
                <w:sz w:val="19"/>
                <w:szCs w:val="19"/>
                <w:color w:val="auto"/>
              </w:rPr>
            </w:pPr>
          </w:p>
        </w:tc>
        <w:tc>
          <w:tcPr>
            <w:tcW w:w="8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deficit</w:t>
            </w:r>
          </w:p>
        </w:tc>
        <w:tc>
          <w:tcPr>
            <w:tcW w:w="200" w:type="dxa"/>
            <w:vAlign w:val="bottom"/>
            <w:shd w:val="clear" w:color="auto" w:fill="004054"/>
          </w:tcPr>
          <w:p>
            <w:pPr>
              <w:spacing w:after="0"/>
              <w:rPr>
                <w:sz w:val="19"/>
                <w:szCs w:val="19"/>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43"/>
        </w:trPr>
        <w:tc>
          <w:tcPr>
            <w:tcW w:w="31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2024</w:t>
            </w:r>
          </w:p>
        </w:tc>
        <w:tc>
          <w:tcPr>
            <w:tcW w:w="900" w:type="dxa"/>
            <w:vAlign w:val="bottom"/>
            <w:gridSpan w:val="2"/>
            <w:shd w:val="clear" w:color="auto" w:fill="EBFBFF"/>
          </w:tcPr>
          <w:p>
            <w:pPr>
              <w:jc w:val="right"/>
              <w:ind w:right="3"/>
              <w:spacing w:after="0"/>
              <w:rPr>
                <w:sz w:val="20"/>
                <w:szCs w:val="20"/>
                <w:color w:val="auto"/>
              </w:rPr>
            </w:pPr>
            <w:r>
              <w:rPr>
                <w:rFonts w:ascii="Arial" w:cs="Arial" w:eastAsia="Arial" w:hAnsi="Arial"/>
                <w:sz w:val="16"/>
                <w:szCs w:val="16"/>
                <w:color w:val="51555C"/>
                <w:w w:val="99"/>
              </w:rPr>
              <w:t>70,943,373</w:t>
            </w:r>
          </w:p>
        </w:tc>
        <w:tc>
          <w:tcPr>
            <w:tcW w:w="260" w:type="dxa"/>
            <w:vAlign w:val="bottom"/>
            <w:shd w:val="clear" w:color="auto" w:fill="EBFBFF"/>
          </w:tcPr>
          <w:p>
            <w:pPr>
              <w:jc w:val="right"/>
              <w:ind w:right="80"/>
              <w:spacing w:after="0"/>
              <w:rPr>
                <w:sz w:val="20"/>
                <w:szCs w:val="20"/>
                <w:color w:val="auto"/>
              </w:rPr>
            </w:pPr>
            <w:r>
              <w:rPr>
                <w:rFonts w:ascii="Arial" w:cs="Arial" w:eastAsia="Arial" w:hAnsi="Arial"/>
                <w:sz w:val="16"/>
                <w:szCs w:val="16"/>
                <w:color w:val="51555C"/>
                <w:w w:val="89"/>
              </w:rPr>
              <w:t>$</w:t>
            </w:r>
          </w:p>
        </w:tc>
        <w:tc>
          <w:tcPr>
            <w:tcW w:w="4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71</w:t>
            </w:r>
          </w:p>
        </w:tc>
        <w:tc>
          <w:tcPr>
            <w:tcW w:w="106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(21,697,785)</w:t>
            </w:r>
          </w:p>
        </w:tc>
        <w:tc>
          <w:tcPr>
            <w:tcW w:w="99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w w:val="98"/>
              </w:rPr>
              <w:t>$ (1,060,348)</w:t>
            </w:r>
          </w:p>
        </w:tc>
        <w:tc>
          <w:tcPr>
            <w:tcW w:w="110" w:type="dxa"/>
            <w:vAlign w:val="bottom"/>
            <w:shd w:val="clear" w:color="auto" w:fill="EBFBFF"/>
          </w:tcPr>
          <w:p>
            <w:pPr>
              <w:spacing w:after="0"/>
              <w:rPr>
                <w:sz w:val="21"/>
                <w:szCs w:val="21"/>
                <w:color w:val="auto"/>
              </w:rPr>
            </w:pPr>
          </w:p>
        </w:tc>
        <w:tc>
          <w:tcPr>
            <w:tcW w:w="920" w:type="dxa"/>
            <w:vAlign w:val="bottom"/>
            <w:gridSpan w:val="3"/>
            <w:shd w:val="clear" w:color="auto" w:fill="EBFBFF"/>
          </w:tcPr>
          <w:p>
            <w:pPr>
              <w:jc w:val="right"/>
              <w:ind w:right="2"/>
              <w:spacing w:after="0"/>
              <w:rPr>
                <w:sz w:val="20"/>
                <w:szCs w:val="20"/>
                <w:color w:val="auto"/>
              </w:rPr>
            </w:pPr>
            <w:r>
              <w:rPr>
                <w:rFonts w:ascii="Arial" w:cs="Arial" w:eastAsia="Arial" w:hAnsi="Arial"/>
                <w:sz w:val="16"/>
                <w:szCs w:val="16"/>
                <w:color w:val="51555C"/>
              </w:rPr>
              <w:t>$1,291,442</w:t>
            </w:r>
          </w:p>
        </w:tc>
        <w:tc>
          <w:tcPr>
            <w:tcW w:w="14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40" w:type="dxa"/>
            <w:vAlign w:val="bottom"/>
            <w:shd w:val="clear" w:color="auto" w:fill="EBFBFF"/>
          </w:tcPr>
          <w:p>
            <w:pPr>
              <w:spacing w:after="0"/>
              <w:rPr>
                <w:sz w:val="21"/>
                <w:szCs w:val="21"/>
                <w:color w:val="auto"/>
              </w:rPr>
            </w:pPr>
          </w:p>
        </w:tc>
        <w:tc>
          <w:tcPr>
            <w:tcW w:w="8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(4,869)</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(84,303)</w:t>
            </w:r>
          </w:p>
        </w:tc>
        <w:tc>
          <w:tcPr>
            <w:tcW w:w="20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82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141,993</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28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4,867</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4,867</w:t>
            </w:r>
          </w:p>
        </w:tc>
        <w:tc>
          <w:tcPr>
            <w:tcW w:w="0" w:type="dxa"/>
            <w:vAlign w:val="bottom"/>
          </w:tcPr>
          <w:p>
            <w:pPr>
              <w:spacing w:after="0"/>
              <w:rPr>
                <w:sz w:val="1"/>
                <w:szCs w:val="1"/>
                <w:color w:val="auto"/>
              </w:rPr>
            </w:pPr>
          </w:p>
        </w:tc>
      </w:tr>
      <w:tr>
        <w:trPr>
          <w:trHeight w:val="210"/>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treasury shares under stock</w:t>
            </w:r>
          </w:p>
        </w:tc>
        <w:tc>
          <w:tcPr>
            <w:tcW w:w="280" w:type="dxa"/>
            <w:vAlign w:val="bottom"/>
            <w:shd w:val="clear" w:color="auto" w:fill="EBFBFF"/>
          </w:tcPr>
          <w:p>
            <w:pPr>
              <w:spacing w:after="0"/>
              <w:rPr>
                <w:sz w:val="18"/>
                <w:szCs w:val="18"/>
                <w:color w:val="auto"/>
              </w:rPr>
            </w:pPr>
          </w:p>
        </w:tc>
        <w:tc>
          <w:tcPr>
            <w:tcW w:w="62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0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66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730" w:type="dxa"/>
            <w:vAlign w:val="bottom"/>
            <w:shd w:val="clear" w:color="auto" w:fill="EBFBFF"/>
          </w:tcPr>
          <w:p>
            <w:pPr>
              <w:spacing w:after="0"/>
              <w:rPr>
                <w:sz w:val="18"/>
                <w:szCs w:val="18"/>
                <w:color w:val="auto"/>
              </w:rPr>
            </w:pPr>
          </w:p>
        </w:tc>
        <w:tc>
          <w:tcPr>
            <w:tcW w:w="110" w:type="dxa"/>
            <w:vAlign w:val="bottom"/>
            <w:shd w:val="clear" w:color="auto" w:fill="EBFBFF"/>
          </w:tcPr>
          <w:p>
            <w:pPr>
              <w:spacing w:after="0"/>
              <w:rPr>
                <w:sz w:val="18"/>
                <w:szCs w:val="18"/>
                <w:color w:val="auto"/>
              </w:rPr>
            </w:pPr>
          </w:p>
        </w:tc>
        <w:tc>
          <w:tcPr>
            <w:tcW w:w="4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76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84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80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repurchase program, inclusive of excise</w:t>
            </w:r>
          </w:p>
        </w:tc>
        <w:tc>
          <w:tcPr>
            <w:tcW w:w="280" w:type="dxa"/>
            <w:vAlign w:val="bottom"/>
            <w:shd w:val="clear" w:color="auto" w:fill="EBFBFF"/>
          </w:tcPr>
          <w:p>
            <w:pPr>
              <w:spacing w:after="0"/>
              <w:rPr>
                <w:sz w:val="17"/>
                <w:szCs w:val="17"/>
                <w:color w:val="auto"/>
              </w:rPr>
            </w:pPr>
          </w:p>
        </w:tc>
        <w:tc>
          <w:tcPr>
            <w:tcW w:w="62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66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730" w:type="dxa"/>
            <w:vAlign w:val="bottom"/>
            <w:shd w:val="clear" w:color="auto" w:fill="EBFBFF"/>
          </w:tcPr>
          <w:p>
            <w:pPr>
              <w:spacing w:after="0"/>
              <w:rPr>
                <w:sz w:val="17"/>
                <w:szCs w:val="17"/>
                <w:color w:val="auto"/>
              </w:rPr>
            </w:pPr>
          </w:p>
        </w:tc>
        <w:tc>
          <w:tcPr>
            <w:tcW w:w="110" w:type="dxa"/>
            <w:vAlign w:val="bottom"/>
            <w:shd w:val="clear" w:color="auto" w:fill="EBFBFF"/>
          </w:tcPr>
          <w:p>
            <w:pPr>
              <w:spacing w:after="0"/>
              <w:rPr>
                <w:sz w:val="17"/>
                <w:szCs w:val="17"/>
                <w:color w:val="auto"/>
              </w:rPr>
            </w:pPr>
          </w:p>
        </w:tc>
        <w:tc>
          <w:tcPr>
            <w:tcW w:w="4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7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84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80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820" w:type="dxa"/>
            <w:vAlign w:val="bottom"/>
            <w:shd w:val="clear" w:color="auto" w:fill="EBFB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tax</w:t>
            </w:r>
          </w:p>
        </w:tc>
        <w:tc>
          <w:tcPr>
            <w:tcW w:w="280" w:type="dxa"/>
            <w:vAlign w:val="bottom"/>
            <w:shd w:val="clear" w:color="auto" w:fill="EBFBFF"/>
          </w:tcPr>
          <w:p>
            <w:pPr>
              <w:spacing w:after="0"/>
              <w:rPr>
                <w:sz w:val="20"/>
                <w:szCs w:val="20"/>
                <w:color w:val="auto"/>
              </w:rPr>
            </w:pPr>
          </w:p>
        </w:tc>
        <w:tc>
          <w:tcPr>
            <w:tcW w:w="62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0"/>
                <w:szCs w:val="20"/>
                <w:color w:val="auto"/>
              </w:rPr>
            </w:pPr>
          </w:p>
        </w:tc>
        <w:tc>
          <w:tcPr>
            <w:tcW w:w="4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(1,513,022)</w:t>
            </w:r>
          </w:p>
        </w:tc>
        <w:tc>
          <w:tcPr>
            <w:tcW w:w="260" w:type="dxa"/>
            <w:vAlign w:val="bottom"/>
            <w:shd w:val="clear" w:color="auto" w:fill="EBFBFF"/>
          </w:tcPr>
          <w:p>
            <w:pPr>
              <w:spacing w:after="0"/>
              <w:rPr>
                <w:sz w:val="20"/>
                <w:szCs w:val="20"/>
                <w:color w:val="auto"/>
              </w:rPr>
            </w:pPr>
          </w:p>
        </w:tc>
        <w:tc>
          <w:tcPr>
            <w:tcW w:w="73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(100,425)</w:t>
            </w:r>
          </w:p>
        </w:tc>
        <w:tc>
          <w:tcPr>
            <w:tcW w:w="110" w:type="dxa"/>
            <w:vAlign w:val="bottom"/>
            <w:shd w:val="clear" w:color="auto" w:fill="EBFBFF"/>
          </w:tcPr>
          <w:p>
            <w:pPr>
              <w:spacing w:after="0"/>
              <w:rPr>
                <w:sz w:val="20"/>
                <w:szCs w:val="20"/>
                <w:color w:val="auto"/>
              </w:rPr>
            </w:pPr>
          </w:p>
        </w:tc>
        <w:tc>
          <w:tcPr>
            <w:tcW w:w="40" w:type="dxa"/>
            <w:vAlign w:val="bottom"/>
            <w:shd w:val="clear" w:color="auto" w:fill="EBFBFF"/>
          </w:tcPr>
          <w:p>
            <w:pPr>
              <w:spacing w:after="0"/>
              <w:rPr>
                <w:sz w:val="20"/>
                <w:szCs w:val="20"/>
                <w:color w:val="auto"/>
              </w:rPr>
            </w:pPr>
          </w:p>
        </w:tc>
        <w:tc>
          <w:tcPr>
            <w:tcW w:w="120" w:type="dxa"/>
            <w:vAlign w:val="bottom"/>
            <w:shd w:val="clear" w:color="auto" w:fill="EBFBFF"/>
          </w:tcPr>
          <w:p>
            <w:pPr>
              <w:spacing w:after="0"/>
              <w:rPr>
                <w:sz w:val="20"/>
                <w:szCs w:val="20"/>
                <w:color w:val="auto"/>
              </w:rPr>
            </w:pPr>
          </w:p>
        </w:tc>
        <w:tc>
          <w:tcPr>
            <w:tcW w:w="7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0"/>
                <w:szCs w:val="20"/>
                <w:color w:val="auto"/>
              </w:rPr>
            </w:pPr>
          </w:p>
        </w:tc>
        <w:tc>
          <w:tcPr>
            <w:tcW w:w="140" w:type="dxa"/>
            <w:vAlign w:val="bottom"/>
            <w:shd w:val="clear" w:color="auto" w:fill="EBFBFF"/>
          </w:tcPr>
          <w:p>
            <w:pPr>
              <w:spacing w:after="0"/>
              <w:rPr>
                <w:sz w:val="20"/>
                <w:szCs w:val="20"/>
                <w:color w:val="auto"/>
              </w:rPr>
            </w:pPr>
          </w:p>
        </w:tc>
        <w:tc>
          <w:tcPr>
            <w:tcW w:w="840" w:type="dxa"/>
            <w:vAlign w:val="bottom"/>
            <w:shd w:val="clear" w:color="auto" w:fill="EBFBFF"/>
          </w:tcPr>
          <w:p>
            <w:pPr>
              <w:ind w:left="620"/>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0"/>
                <w:szCs w:val="20"/>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0"/>
                <w:szCs w:val="20"/>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(100,425)</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900" w:type="dxa"/>
            <w:vAlign w:val="bottom"/>
            <w:gridSpan w:val="2"/>
          </w:tcPr>
          <w:p>
            <w:pPr>
              <w:jc w:val="right"/>
              <w:ind w:right="3"/>
              <w:spacing w:after="0"/>
              <w:rPr>
                <w:sz w:val="20"/>
                <w:szCs w:val="20"/>
                <w:color w:val="auto"/>
              </w:rPr>
            </w:pPr>
            <w:r>
              <w:rPr>
                <w:rFonts w:ascii="Arial" w:cs="Arial" w:eastAsia="Arial" w:hAnsi="Arial"/>
                <w:sz w:val="16"/>
                <w:szCs w:val="16"/>
                <w:color w:val="51555C"/>
              </w:rPr>
              <w:t>1,023,958</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0"/>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Shares withheld to satisfy tax</w:t>
            </w:r>
          </w:p>
        </w:tc>
        <w:tc>
          <w:tcPr>
            <w:tcW w:w="280" w:type="dxa"/>
            <w:vAlign w:val="bottom"/>
            <w:shd w:val="clear" w:color="auto" w:fill="EBFBFF"/>
          </w:tcPr>
          <w:p>
            <w:pPr>
              <w:spacing w:after="0"/>
              <w:rPr>
                <w:sz w:val="18"/>
                <w:szCs w:val="18"/>
                <w:color w:val="auto"/>
              </w:rPr>
            </w:pPr>
          </w:p>
        </w:tc>
        <w:tc>
          <w:tcPr>
            <w:tcW w:w="62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0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66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730" w:type="dxa"/>
            <w:vAlign w:val="bottom"/>
            <w:shd w:val="clear" w:color="auto" w:fill="EBFBFF"/>
          </w:tcPr>
          <w:p>
            <w:pPr>
              <w:spacing w:after="0"/>
              <w:rPr>
                <w:sz w:val="18"/>
                <w:szCs w:val="18"/>
                <w:color w:val="auto"/>
              </w:rPr>
            </w:pPr>
          </w:p>
        </w:tc>
        <w:tc>
          <w:tcPr>
            <w:tcW w:w="110" w:type="dxa"/>
            <w:vAlign w:val="bottom"/>
            <w:shd w:val="clear" w:color="auto" w:fill="EBFBFF"/>
          </w:tcPr>
          <w:p>
            <w:pPr>
              <w:spacing w:after="0"/>
              <w:rPr>
                <w:sz w:val="18"/>
                <w:szCs w:val="18"/>
                <w:color w:val="auto"/>
              </w:rPr>
            </w:pPr>
          </w:p>
        </w:tc>
        <w:tc>
          <w:tcPr>
            <w:tcW w:w="4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76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84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80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withholdings</w:t>
            </w:r>
          </w:p>
        </w:tc>
        <w:tc>
          <w:tcPr>
            <w:tcW w:w="280" w:type="dxa"/>
            <w:vAlign w:val="bottom"/>
            <w:shd w:val="clear" w:color="auto" w:fill="EBFBFF"/>
          </w:tcPr>
          <w:p>
            <w:pPr>
              <w:spacing w:after="0"/>
              <w:rPr>
                <w:sz w:val="21"/>
                <w:szCs w:val="21"/>
                <w:color w:val="auto"/>
              </w:rPr>
            </w:pPr>
          </w:p>
        </w:tc>
        <w:tc>
          <w:tcPr>
            <w:tcW w:w="62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4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80" w:type="dxa"/>
            <w:vAlign w:val="bottom"/>
            <w:shd w:val="clear" w:color="auto" w:fill="EBFBFF"/>
          </w:tcPr>
          <w:p>
            <w:pPr>
              <w:spacing w:after="0"/>
              <w:rPr>
                <w:sz w:val="21"/>
                <w:szCs w:val="21"/>
                <w:color w:val="auto"/>
              </w:rPr>
            </w:pPr>
          </w:p>
        </w:tc>
        <w:tc>
          <w:tcPr>
            <w:tcW w:w="7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(532,179)</w:t>
            </w:r>
          </w:p>
        </w:tc>
        <w:tc>
          <w:tcPr>
            <w:tcW w:w="260" w:type="dxa"/>
            <w:vAlign w:val="bottom"/>
            <w:shd w:val="clear" w:color="auto" w:fill="EBFBFF"/>
          </w:tcPr>
          <w:p>
            <w:pPr>
              <w:spacing w:after="0"/>
              <w:rPr>
                <w:sz w:val="21"/>
                <w:szCs w:val="21"/>
                <w:color w:val="auto"/>
              </w:rPr>
            </w:pPr>
          </w:p>
        </w:tc>
        <w:tc>
          <w:tcPr>
            <w:tcW w:w="73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(37,948)</w:t>
            </w:r>
          </w:p>
        </w:tc>
        <w:tc>
          <w:tcPr>
            <w:tcW w:w="110" w:type="dxa"/>
            <w:vAlign w:val="bottom"/>
            <w:shd w:val="clear" w:color="auto" w:fill="EBFBFF"/>
          </w:tcPr>
          <w:p>
            <w:pPr>
              <w:spacing w:after="0"/>
              <w:rPr>
                <w:sz w:val="21"/>
                <w:szCs w:val="21"/>
                <w:color w:val="auto"/>
              </w:rPr>
            </w:pPr>
          </w:p>
        </w:tc>
        <w:tc>
          <w:tcPr>
            <w:tcW w:w="40" w:type="dxa"/>
            <w:vAlign w:val="bottom"/>
            <w:shd w:val="clear" w:color="auto" w:fill="EBFBFF"/>
          </w:tcPr>
          <w:p>
            <w:pPr>
              <w:spacing w:after="0"/>
              <w:rPr>
                <w:sz w:val="21"/>
                <w:szCs w:val="21"/>
                <w:color w:val="auto"/>
              </w:rPr>
            </w:pPr>
          </w:p>
        </w:tc>
        <w:tc>
          <w:tcPr>
            <w:tcW w:w="120" w:type="dxa"/>
            <w:vAlign w:val="bottom"/>
            <w:shd w:val="clear" w:color="auto" w:fill="EBFBFF"/>
          </w:tcPr>
          <w:p>
            <w:pPr>
              <w:spacing w:after="0"/>
              <w:rPr>
                <w:sz w:val="21"/>
                <w:szCs w:val="21"/>
                <w:color w:val="auto"/>
              </w:rPr>
            </w:pPr>
          </w:p>
        </w:tc>
        <w:tc>
          <w:tcPr>
            <w:tcW w:w="7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40" w:type="dxa"/>
            <w:vAlign w:val="bottom"/>
            <w:shd w:val="clear" w:color="auto" w:fill="EBFBFF"/>
          </w:tcPr>
          <w:p>
            <w:pPr>
              <w:spacing w:after="0"/>
              <w:rPr>
                <w:sz w:val="21"/>
                <w:szCs w:val="21"/>
                <w:color w:val="auto"/>
              </w:rPr>
            </w:pPr>
          </w:p>
        </w:tc>
        <w:tc>
          <w:tcPr>
            <w:tcW w:w="840" w:type="dxa"/>
            <w:vAlign w:val="bottom"/>
            <w:shd w:val="clear" w:color="auto" w:fill="EBFBFF"/>
          </w:tcPr>
          <w:p>
            <w:pPr>
              <w:ind w:left="620"/>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(37,948)</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28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6"/>
                <w:szCs w:val="16"/>
                <w:color w:val="51555C"/>
              </w:rPr>
              <w:t>28,120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28,120</w:t>
            </w:r>
          </w:p>
        </w:tc>
        <w:tc>
          <w:tcPr>
            <w:tcW w:w="0" w:type="dxa"/>
            <w:vAlign w:val="bottom"/>
          </w:tcPr>
          <w:p>
            <w:pPr>
              <w:spacing w:after="0"/>
              <w:rPr>
                <w:sz w:val="1"/>
                <w:szCs w:val="1"/>
                <w:color w:val="auto"/>
              </w:rPr>
            </w:pPr>
          </w:p>
        </w:tc>
      </w:tr>
      <w:tr>
        <w:trPr>
          <w:trHeight w:val="251"/>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900" w:type="dxa"/>
            <w:vAlign w:val="bottom"/>
            <w:gridSpan w:val="2"/>
            <w:shd w:val="clear" w:color="auto" w:fill="EBFBFF"/>
          </w:tcPr>
          <w:p>
            <w:pPr>
              <w:jc w:val="right"/>
              <w:ind w:right="3"/>
              <w:spacing w:after="0"/>
              <w:rPr>
                <w:sz w:val="20"/>
                <w:szCs w:val="20"/>
                <w:color w:val="auto"/>
              </w:rPr>
            </w:pPr>
            <w:r>
              <w:rPr>
                <w:rFonts w:ascii="Arial" w:cs="Arial" w:eastAsia="Arial" w:hAnsi="Arial"/>
                <w:sz w:val="16"/>
                <w:szCs w:val="16"/>
                <w:color w:val="51555C"/>
              </w:rPr>
              <w:t>299,136</w:t>
            </w:r>
          </w:p>
        </w:tc>
        <w:tc>
          <w:tcPr>
            <w:tcW w:w="260" w:type="dxa"/>
            <w:vAlign w:val="bottom"/>
            <w:shd w:val="clear" w:color="auto" w:fill="EBFBFF"/>
          </w:tcPr>
          <w:p>
            <w:pPr>
              <w:spacing w:after="0"/>
              <w:rPr>
                <w:sz w:val="21"/>
                <w:szCs w:val="21"/>
                <w:color w:val="auto"/>
              </w:rPr>
            </w:pPr>
          </w:p>
        </w:tc>
        <w:tc>
          <w:tcPr>
            <w:tcW w:w="4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w:t>
            </w:r>
          </w:p>
        </w:tc>
        <w:tc>
          <w:tcPr>
            <w:tcW w:w="280" w:type="dxa"/>
            <w:vAlign w:val="bottom"/>
            <w:shd w:val="clear" w:color="auto" w:fill="EBFBFF"/>
          </w:tcPr>
          <w:p>
            <w:pPr>
              <w:spacing w:after="0"/>
              <w:rPr>
                <w:sz w:val="21"/>
                <w:szCs w:val="21"/>
                <w:color w:val="auto"/>
              </w:rPr>
            </w:pPr>
          </w:p>
        </w:tc>
        <w:tc>
          <w:tcPr>
            <w:tcW w:w="120" w:type="dxa"/>
            <w:vAlign w:val="bottom"/>
            <w:shd w:val="clear" w:color="auto" w:fill="EBFBFF"/>
          </w:tcPr>
          <w:p>
            <w:pPr>
              <w:spacing w:after="0"/>
              <w:rPr>
                <w:sz w:val="21"/>
                <w:szCs w:val="21"/>
                <w:color w:val="auto"/>
              </w:rPr>
            </w:pPr>
          </w:p>
        </w:tc>
        <w:tc>
          <w:tcPr>
            <w:tcW w:w="6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40" w:type="dxa"/>
            <w:vAlign w:val="bottom"/>
            <w:gridSpan w:val="2"/>
            <w:shd w:val="clear" w:color="auto" w:fill="EBFBFF"/>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shd w:val="clear" w:color="auto" w:fill="EBFBFF"/>
          </w:tcPr>
          <w:p>
            <w:pPr>
              <w:spacing w:after="0"/>
              <w:rPr>
                <w:sz w:val="21"/>
                <w:szCs w:val="21"/>
                <w:color w:val="auto"/>
              </w:rPr>
            </w:pPr>
          </w:p>
        </w:tc>
        <w:tc>
          <w:tcPr>
            <w:tcW w:w="120" w:type="dxa"/>
            <w:vAlign w:val="bottom"/>
            <w:shd w:val="clear" w:color="auto" w:fill="EBFBFF"/>
          </w:tcPr>
          <w:p>
            <w:pPr>
              <w:spacing w:after="0"/>
              <w:rPr>
                <w:sz w:val="21"/>
                <w:szCs w:val="21"/>
                <w:color w:val="auto"/>
              </w:rPr>
            </w:pPr>
          </w:p>
        </w:tc>
        <w:tc>
          <w:tcPr>
            <w:tcW w:w="76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40" w:type="dxa"/>
            <w:vAlign w:val="bottom"/>
            <w:shd w:val="clear" w:color="auto" w:fill="EBFBFF"/>
          </w:tcPr>
          <w:p>
            <w:pPr>
              <w:spacing w:after="0"/>
              <w:rPr>
                <w:sz w:val="21"/>
                <w:szCs w:val="21"/>
                <w:color w:val="auto"/>
              </w:rPr>
            </w:pPr>
          </w:p>
        </w:tc>
        <w:tc>
          <w:tcPr>
            <w:tcW w:w="840" w:type="dxa"/>
            <w:vAlign w:val="bottom"/>
            <w:shd w:val="clear" w:color="auto" w:fill="EBFBFF"/>
          </w:tcPr>
          <w:p>
            <w:pPr>
              <w:ind w:left="620"/>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1</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900" w:type="dxa"/>
            <w:vAlign w:val="bottom"/>
            <w:gridSpan w:val="2"/>
          </w:tcPr>
          <w:p>
            <w:pPr>
              <w:jc w:val="right"/>
              <w:spacing w:after="0"/>
              <w:rPr>
                <w:sz w:val="20"/>
                <w:szCs w:val="20"/>
                <w:color w:val="auto"/>
              </w:rPr>
            </w:pPr>
            <w:r>
              <w:rPr>
                <w:rFonts w:ascii="Arial" w:cs="Arial" w:eastAsia="Arial" w:hAnsi="Arial"/>
                <w:sz w:val="16"/>
                <w:szCs w:val="16"/>
                <w:color w:val="51555C"/>
              </w:rPr>
              <w:t>(8,166)</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loss</w:t>
            </w:r>
          </w:p>
        </w:tc>
        <w:tc>
          <w:tcPr>
            <w:tcW w:w="280" w:type="dxa"/>
            <w:vAlign w:val="bottom"/>
            <w:tcBorders>
              <w:bottom w:val="single" w:sz="8" w:color="51555C"/>
            </w:tcBorders>
            <w:shd w:val="clear" w:color="auto" w:fill="EBFBFF"/>
          </w:tcPr>
          <w:p>
            <w:pPr>
              <w:spacing w:after="0"/>
              <w:rPr>
                <w:sz w:val="21"/>
                <w:szCs w:val="21"/>
                <w:color w:val="auto"/>
              </w:rPr>
            </w:pPr>
          </w:p>
        </w:tc>
        <w:tc>
          <w:tcPr>
            <w:tcW w:w="620" w:type="dxa"/>
            <w:vAlign w:val="bottom"/>
            <w:tcBorders>
              <w:bottom w:val="single" w:sz="8" w:color="51555C"/>
            </w:tcBorders>
            <w:shd w:val="clear" w:color="auto" w:fill="EBFBFF"/>
          </w:tcPr>
          <w:p>
            <w:pPr>
              <w:jc w:val="right"/>
              <w:ind w:right="3"/>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4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shd w:val="clear" w:color="auto" w:fill="EBFBFF"/>
          </w:tcPr>
          <w:p>
            <w:pPr>
              <w:spacing w:after="0"/>
              <w:rPr>
                <w:sz w:val="21"/>
                <w:szCs w:val="21"/>
                <w:color w:val="auto"/>
              </w:rPr>
            </w:pPr>
          </w:p>
        </w:tc>
        <w:tc>
          <w:tcPr>
            <w:tcW w:w="120" w:type="dxa"/>
            <w:vAlign w:val="bottom"/>
            <w:tcBorders>
              <w:bottom w:val="single" w:sz="8" w:color="51555C"/>
            </w:tcBorders>
            <w:shd w:val="clear" w:color="auto" w:fill="EBFBFF"/>
          </w:tcPr>
          <w:p>
            <w:pPr>
              <w:spacing w:after="0"/>
              <w:rPr>
                <w:sz w:val="21"/>
                <w:szCs w:val="21"/>
                <w:color w:val="auto"/>
              </w:rPr>
            </w:pPr>
          </w:p>
        </w:tc>
        <w:tc>
          <w:tcPr>
            <w:tcW w:w="660" w:type="dxa"/>
            <w:vAlign w:val="bottom"/>
            <w:tcBorders>
              <w:bottom w:val="single" w:sz="8" w:color="51555C"/>
            </w:tcBorders>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840" w:type="dxa"/>
            <w:vAlign w:val="bottom"/>
            <w:tcBorders>
              <w:bottom w:val="single" w:sz="8" w:color="51555C"/>
            </w:tcBorders>
            <w:gridSpan w:val="2"/>
            <w:shd w:val="clear" w:color="auto" w:fill="EBFBFF"/>
          </w:tcPr>
          <w:p>
            <w:pPr>
              <w:jc w:val="right"/>
              <w:ind w:right="180"/>
              <w:spacing w:after="0"/>
              <w:rPr>
                <w:sz w:val="20"/>
                <w:szCs w:val="20"/>
                <w:color w:val="auto"/>
              </w:rPr>
            </w:pPr>
            <w:r>
              <w:rPr>
                <w:rFonts w:ascii="Arial" w:cs="Arial" w:eastAsia="Arial" w:hAnsi="Arial"/>
                <w:sz w:val="16"/>
                <w:szCs w:val="16"/>
                <w:color w:val="51555C"/>
              </w:rPr>
              <w:t>—</w:t>
            </w:r>
          </w:p>
        </w:tc>
        <w:tc>
          <w:tcPr>
            <w:tcW w:w="40" w:type="dxa"/>
            <w:vAlign w:val="bottom"/>
            <w:tcBorders>
              <w:bottom w:val="single" w:sz="8" w:color="51555C"/>
            </w:tcBorders>
            <w:shd w:val="clear" w:color="auto" w:fill="EBFBFF"/>
          </w:tcPr>
          <w:p>
            <w:pPr>
              <w:spacing w:after="0"/>
              <w:rPr>
                <w:sz w:val="21"/>
                <w:szCs w:val="21"/>
                <w:color w:val="auto"/>
              </w:rPr>
            </w:pPr>
          </w:p>
        </w:tc>
        <w:tc>
          <w:tcPr>
            <w:tcW w:w="120" w:type="dxa"/>
            <w:vAlign w:val="bottom"/>
            <w:tcBorders>
              <w:bottom w:val="single" w:sz="8" w:color="51555C"/>
            </w:tcBorders>
            <w:shd w:val="clear" w:color="auto" w:fill="EBFBFF"/>
          </w:tcPr>
          <w:p>
            <w:pPr>
              <w:spacing w:after="0"/>
              <w:rPr>
                <w:sz w:val="21"/>
                <w:szCs w:val="21"/>
                <w:color w:val="auto"/>
              </w:rPr>
            </w:pPr>
          </w:p>
        </w:tc>
        <w:tc>
          <w:tcPr>
            <w:tcW w:w="760" w:type="dxa"/>
            <w:vAlign w:val="bottom"/>
            <w:tcBorders>
              <w:bottom w:val="single" w:sz="8" w:color="51555C"/>
            </w:tcBorders>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shd w:val="clear" w:color="auto" w:fill="EBFBFF"/>
          </w:tcPr>
          <w:p>
            <w:pPr>
              <w:spacing w:after="0"/>
              <w:rPr>
                <w:sz w:val="21"/>
                <w:szCs w:val="21"/>
                <w:color w:val="auto"/>
              </w:rPr>
            </w:pPr>
          </w:p>
        </w:tc>
        <w:tc>
          <w:tcPr>
            <w:tcW w:w="140" w:type="dxa"/>
            <w:vAlign w:val="bottom"/>
            <w:tcBorders>
              <w:bottom w:val="single" w:sz="8" w:color="51555C"/>
            </w:tcBorders>
            <w:shd w:val="clear" w:color="auto" w:fill="EBFBFF"/>
          </w:tcPr>
          <w:p>
            <w:pPr>
              <w:spacing w:after="0"/>
              <w:rPr>
                <w:sz w:val="21"/>
                <w:szCs w:val="21"/>
                <w:color w:val="auto"/>
              </w:rPr>
            </w:pPr>
          </w:p>
        </w:tc>
        <w:tc>
          <w:tcPr>
            <w:tcW w:w="8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(3,433)</w:t>
            </w:r>
          </w:p>
        </w:tc>
        <w:tc>
          <w:tcPr>
            <w:tcW w:w="160" w:type="dxa"/>
            <w:vAlign w:val="bottom"/>
            <w:tcBorders>
              <w:bottom w:val="single" w:sz="8" w:color="51555C"/>
            </w:tcBorders>
            <w:shd w:val="clear" w:color="auto" w:fill="EBFBFF"/>
          </w:tcPr>
          <w:p>
            <w:pPr>
              <w:spacing w:after="0"/>
              <w:rPr>
                <w:sz w:val="21"/>
                <w:szCs w:val="21"/>
                <w:color w:val="auto"/>
              </w:rPr>
            </w:pPr>
          </w:p>
        </w:tc>
        <w:tc>
          <w:tcPr>
            <w:tcW w:w="8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51555C"/>
            </w:tcBorders>
            <w:shd w:val="clear" w:color="auto" w:fill="EBFBFF"/>
          </w:tcPr>
          <w:p>
            <w:pPr>
              <w:spacing w:after="0"/>
              <w:rPr>
                <w:sz w:val="21"/>
                <w:szCs w:val="21"/>
                <w:color w:val="auto"/>
              </w:rPr>
            </w:pPr>
          </w:p>
        </w:tc>
        <w:tc>
          <w:tcPr>
            <w:tcW w:w="8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(3,433)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Balance at March 31, 2025</w:t>
            </w:r>
          </w:p>
        </w:tc>
        <w:tc>
          <w:tcPr>
            <w:tcW w:w="900" w:type="dxa"/>
            <w:vAlign w:val="bottom"/>
            <w:tcBorders>
              <w:bottom w:val="single" w:sz="8" w:color="0CD973"/>
            </w:tcBorders>
            <w:gridSpan w:val="2"/>
          </w:tcPr>
          <w:p>
            <w:pPr>
              <w:jc w:val="right"/>
              <w:ind w:right="3"/>
              <w:spacing w:after="0"/>
              <w:rPr>
                <w:sz w:val="20"/>
                <w:szCs w:val="20"/>
                <w:color w:val="auto"/>
              </w:rPr>
            </w:pPr>
            <w:r>
              <w:rPr>
                <w:rFonts w:ascii="Arial" w:cs="Arial" w:eastAsia="Arial" w:hAnsi="Arial"/>
                <w:sz w:val="16"/>
                <w:szCs w:val="16"/>
                <w:color w:val="51555C"/>
                <w:w w:val="99"/>
              </w:rPr>
              <w:t>72,258,301</w:t>
            </w:r>
          </w:p>
        </w:tc>
        <w:tc>
          <w:tcPr>
            <w:tcW w:w="260" w:type="dxa"/>
            <w:vAlign w:val="bottom"/>
            <w:tcBorders>
              <w:bottom w:val="single" w:sz="8" w:color="0CD973"/>
            </w:tcBorders>
          </w:tcPr>
          <w:p>
            <w:pPr>
              <w:jc w:val="right"/>
              <w:ind w:right="80"/>
              <w:spacing w:after="0"/>
              <w:rPr>
                <w:sz w:val="20"/>
                <w:szCs w:val="20"/>
                <w:color w:val="auto"/>
              </w:rPr>
            </w:pPr>
            <w:r>
              <w:rPr>
                <w:rFonts w:ascii="Arial" w:cs="Arial" w:eastAsia="Arial" w:hAnsi="Arial"/>
                <w:sz w:val="16"/>
                <w:szCs w:val="16"/>
                <w:color w:val="51555C"/>
                <w:w w:val="89"/>
              </w:rPr>
              <w:t>$</w:t>
            </w:r>
          </w:p>
        </w:tc>
        <w:tc>
          <w:tcPr>
            <w:tcW w:w="4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72</w:t>
            </w:r>
          </w:p>
        </w:tc>
        <w:tc>
          <w:tcPr>
            <w:tcW w:w="1060" w:type="dxa"/>
            <w:vAlign w:val="bottom"/>
            <w:tcBorders>
              <w:bottom w:val="single" w:sz="8" w:color="0CD973"/>
            </w:tcBorders>
            <w:gridSpan w:val="3"/>
          </w:tcPr>
          <w:p>
            <w:pPr>
              <w:jc w:val="right"/>
              <w:spacing w:after="0"/>
              <w:rPr>
                <w:sz w:val="20"/>
                <w:szCs w:val="20"/>
                <w:color w:val="auto"/>
              </w:rPr>
            </w:pPr>
            <w:r>
              <w:rPr>
                <w:rFonts w:ascii="Arial" w:cs="Arial" w:eastAsia="Arial" w:hAnsi="Arial"/>
                <w:sz w:val="16"/>
                <w:szCs w:val="16"/>
                <w:color w:val="51555C"/>
              </w:rPr>
              <w:t>(23,742,986)</w:t>
            </w:r>
          </w:p>
        </w:tc>
        <w:tc>
          <w:tcPr>
            <w:tcW w:w="990" w:type="dxa"/>
            <w:vAlign w:val="bottom"/>
            <w:tcBorders>
              <w:bottom w:val="single" w:sz="8" w:color="0CD973"/>
            </w:tcBorders>
            <w:gridSpan w:val="2"/>
          </w:tcPr>
          <w:p>
            <w:pPr>
              <w:jc w:val="right"/>
              <w:spacing w:after="0"/>
              <w:rPr>
                <w:sz w:val="20"/>
                <w:szCs w:val="20"/>
                <w:color w:val="auto"/>
              </w:rPr>
            </w:pPr>
            <w:r>
              <w:rPr>
                <w:rFonts w:ascii="Arial" w:cs="Arial" w:eastAsia="Arial" w:hAnsi="Arial"/>
                <w:sz w:val="16"/>
                <w:szCs w:val="16"/>
                <w:color w:val="51555C"/>
                <w:w w:val="98"/>
              </w:rPr>
              <w:t>$ (1,198,721)</w:t>
            </w:r>
          </w:p>
        </w:tc>
        <w:tc>
          <w:tcPr>
            <w:tcW w:w="110" w:type="dxa"/>
            <w:vAlign w:val="bottom"/>
            <w:tcBorders>
              <w:bottom w:val="single" w:sz="8" w:color="0CD973"/>
            </w:tcBorders>
          </w:tcPr>
          <w:p>
            <w:pPr>
              <w:spacing w:after="0"/>
              <w:rPr>
                <w:sz w:val="20"/>
                <w:szCs w:val="20"/>
                <w:color w:val="auto"/>
              </w:rPr>
            </w:pPr>
          </w:p>
        </w:tc>
        <w:tc>
          <w:tcPr>
            <w:tcW w:w="920" w:type="dxa"/>
            <w:vAlign w:val="bottom"/>
            <w:tcBorders>
              <w:bottom w:val="single" w:sz="8" w:color="0CD973"/>
            </w:tcBorders>
            <w:gridSpan w:val="3"/>
          </w:tcPr>
          <w:p>
            <w:pPr>
              <w:jc w:val="right"/>
              <w:ind w:right="2"/>
              <w:spacing w:after="0"/>
              <w:rPr>
                <w:sz w:val="20"/>
                <w:szCs w:val="20"/>
                <w:color w:val="auto"/>
              </w:rPr>
            </w:pPr>
            <w:r>
              <w:rPr>
                <w:rFonts w:ascii="Arial" w:cs="Arial" w:eastAsia="Arial" w:hAnsi="Arial"/>
                <w:sz w:val="16"/>
                <w:szCs w:val="16"/>
                <w:color w:val="51555C"/>
              </w:rPr>
              <w:t>$1,319,562</w:t>
            </w:r>
          </w:p>
        </w:tc>
        <w:tc>
          <w:tcPr>
            <w:tcW w:w="1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89"/>
              </w:rPr>
              <w:t>$</w:t>
            </w:r>
          </w:p>
        </w:tc>
        <w:tc>
          <w:tcPr>
            <w:tcW w:w="140" w:type="dxa"/>
            <w:vAlign w:val="bottom"/>
            <w:tcBorders>
              <w:bottom w:val="single" w:sz="8" w:color="0CD973"/>
            </w:tcBorders>
          </w:tcPr>
          <w:p>
            <w:pPr>
              <w:spacing w:after="0"/>
              <w:rPr>
                <w:sz w:val="20"/>
                <w:szCs w:val="20"/>
                <w:color w:val="auto"/>
              </w:rPr>
            </w:pPr>
          </w:p>
        </w:tc>
        <w:tc>
          <w:tcPr>
            <w:tcW w:w="8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(8,302)</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w:t>
            </w:r>
          </w:p>
        </w:tc>
        <w:tc>
          <w:tcPr>
            <w:tcW w:w="8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(79,436)</w:t>
            </w:r>
          </w:p>
        </w:tc>
        <w:tc>
          <w:tcPr>
            <w:tcW w:w="200" w:type="dxa"/>
            <w:vAlign w:val="bottom"/>
            <w:tcBorders>
              <w:bottom w:val="single" w:sz="8" w:color="0CD973"/>
            </w:tcBorders>
          </w:tcPr>
          <w:p>
            <w:pPr>
              <w:jc w:val="right"/>
              <w:ind w:right="2"/>
              <w:spacing w:after="0"/>
              <w:rPr>
                <w:sz w:val="20"/>
                <w:szCs w:val="20"/>
                <w:color w:val="auto"/>
              </w:rPr>
            </w:pPr>
            <w:r>
              <w:rPr>
                <w:rFonts w:ascii="Arial" w:cs="Arial" w:eastAsia="Arial" w:hAnsi="Arial"/>
                <w:sz w:val="16"/>
                <w:szCs w:val="16"/>
                <w:color w:val="51555C"/>
              </w:rPr>
              <w:t>$</w:t>
            </w:r>
          </w:p>
        </w:tc>
        <w:tc>
          <w:tcPr>
            <w:tcW w:w="820" w:type="dxa"/>
            <w:vAlign w:val="bottom"/>
            <w:tcBorders>
              <w:bottom w:val="single" w:sz="8" w:color="0CD973"/>
            </w:tcBorders>
          </w:tcPr>
          <w:p>
            <w:pPr>
              <w:jc w:val="right"/>
              <w:ind w:right="1"/>
              <w:spacing w:after="0"/>
              <w:rPr>
                <w:sz w:val="20"/>
                <w:szCs w:val="20"/>
                <w:color w:val="auto"/>
              </w:rPr>
            </w:pPr>
            <w:r>
              <w:rPr>
                <w:rFonts w:ascii="Arial" w:cs="Arial" w:eastAsia="Arial" w:hAnsi="Arial"/>
                <w:sz w:val="16"/>
                <w:szCs w:val="16"/>
                <w:color w:val="51555C"/>
              </w:rPr>
              <w:t>33,175</w:t>
            </w:r>
          </w:p>
        </w:tc>
        <w:tc>
          <w:tcPr>
            <w:tcW w:w="0" w:type="dxa"/>
            <w:vAlign w:val="bottom"/>
          </w:tcPr>
          <w:p>
            <w:pPr>
              <w:spacing w:after="0"/>
              <w:rPr>
                <w:sz w:val="1"/>
                <w:szCs w:val="1"/>
                <w:color w:val="auto"/>
              </w:rPr>
            </w:pPr>
          </w:p>
        </w:tc>
      </w:tr>
      <w:tr>
        <w:trPr>
          <w:trHeight w:val="567"/>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62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66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730" w:type="dxa"/>
            <w:vAlign w:val="bottom"/>
            <w:shd w:val="clear" w:color="auto" w:fill="004054"/>
          </w:tcPr>
          <w:p>
            <w:pPr>
              <w:spacing w:after="0"/>
              <w:rPr>
                <w:sz w:val="17"/>
                <w:szCs w:val="17"/>
                <w:color w:val="auto"/>
              </w:rPr>
            </w:pPr>
          </w:p>
        </w:tc>
        <w:tc>
          <w:tcPr>
            <w:tcW w:w="110" w:type="dxa"/>
            <w:vAlign w:val="bottom"/>
            <w:shd w:val="clear" w:color="auto" w:fill="004054"/>
          </w:tcPr>
          <w:p>
            <w:pPr>
              <w:spacing w:after="0"/>
              <w:rPr>
                <w:sz w:val="17"/>
                <w:szCs w:val="17"/>
                <w:color w:val="auto"/>
              </w:rPr>
            </w:pPr>
          </w:p>
        </w:tc>
        <w:tc>
          <w:tcPr>
            <w:tcW w:w="4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76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0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80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8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560" w:type="dxa"/>
            <w:vAlign w:val="bottom"/>
            <w:gridSpan w:val="4"/>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660" w:type="dxa"/>
            <w:vAlign w:val="bottom"/>
            <w:shd w:val="clear" w:color="auto" w:fill="004054"/>
          </w:tcPr>
          <w:p>
            <w:pPr>
              <w:spacing w:after="0"/>
              <w:rPr>
                <w:sz w:val="15"/>
                <w:szCs w:val="15"/>
                <w:color w:val="auto"/>
              </w:rPr>
            </w:pPr>
          </w:p>
        </w:tc>
        <w:tc>
          <w:tcPr>
            <w:tcW w:w="1140" w:type="dxa"/>
            <w:vAlign w:val="bottom"/>
            <w:gridSpan w:val="4"/>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 stock</w:t>
            </w:r>
          </w:p>
        </w:tc>
        <w:tc>
          <w:tcPr>
            <w:tcW w:w="120" w:type="dxa"/>
            <w:vAlign w:val="bottom"/>
            <w:shd w:val="clear" w:color="auto" w:fill="004054"/>
          </w:tcPr>
          <w:p>
            <w:pPr>
              <w:spacing w:after="0"/>
              <w:rPr>
                <w:sz w:val="15"/>
                <w:szCs w:val="15"/>
                <w:color w:val="auto"/>
              </w:rPr>
            </w:pPr>
          </w:p>
        </w:tc>
        <w:tc>
          <w:tcPr>
            <w:tcW w:w="9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40" w:type="dxa"/>
            <w:vAlign w:val="bottom"/>
            <w:shd w:val="clear" w:color="auto" w:fill="004054"/>
          </w:tcPr>
          <w:p>
            <w:pPr>
              <w:spacing w:after="0"/>
              <w:rPr>
                <w:sz w:val="15"/>
                <w:szCs w:val="15"/>
                <w:color w:val="auto"/>
              </w:rPr>
            </w:pPr>
          </w:p>
        </w:tc>
        <w:tc>
          <w:tcPr>
            <w:tcW w:w="1000" w:type="dxa"/>
            <w:vAlign w:val="bottom"/>
            <w:gridSpan w:val="2"/>
            <w:shd w:val="clear" w:color="auto" w:fill="004054"/>
          </w:tcPr>
          <w:p>
            <w:pPr>
              <w:ind w:left="620"/>
              <w:spacing w:after="0"/>
              <w:rPr>
                <w:sz w:val="20"/>
                <w:szCs w:val="20"/>
                <w:color w:val="auto"/>
              </w:rPr>
            </w:pPr>
            <w:r>
              <w:rPr>
                <w:rFonts w:ascii="Arial" w:cs="Arial" w:eastAsia="Arial" w:hAnsi="Arial"/>
                <w:sz w:val="14"/>
                <w:szCs w:val="14"/>
                <w:b w:val="1"/>
                <w:bCs w:val="1"/>
                <w:color w:val="FFFFFF"/>
              </w:rPr>
              <w:t>other</w:t>
            </w:r>
          </w:p>
        </w:tc>
        <w:tc>
          <w:tcPr>
            <w:tcW w:w="8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29"/>
        </w:trPr>
        <w:tc>
          <w:tcPr>
            <w:tcW w:w="3180" w:type="dxa"/>
            <w:vAlign w:val="bottom"/>
            <w:shd w:val="clear" w:color="auto" w:fill="004054"/>
          </w:tcPr>
          <w:p>
            <w:pPr>
              <w:spacing w:after="0"/>
              <w:rPr>
                <w:sz w:val="11"/>
                <w:szCs w:val="11"/>
                <w:color w:val="auto"/>
              </w:rPr>
            </w:pPr>
          </w:p>
        </w:tc>
        <w:tc>
          <w:tcPr>
            <w:tcW w:w="280" w:type="dxa"/>
            <w:vAlign w:val="bottom"/>
            <w:shd w:val="clear" w:color="auto" w:fill="004054"/>
          </w:tcPr>
          <w:p>
            <w:pPr>
              <w:spacing w:after="0"/>
              <w:rPr>
                <w:sz w:val="11"/>
                <w:szCs w:val="11"/>
                <w:color w:val="auto"/>
              </w:rPr>
            </w:pPr>
          </w:p>
        </w:tc>
        <w:tc>
          <w:tcPr>
            <w:tcW w:w="1560" w:type="dxa"/>
            <w:vAlign w:val="bottom"/>
            <w:gridSpan w:val="4"/>
            <w:vMerge w:val="continue"/>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660" w:type="dxa"/>
            <w:vAlign w:val="bottom"/>
            <w:shd w:val="clear" w:color="auto" w:fill="004054"/>
          </w:tcPr>
          <w:p>
            <w:pPr>
              <w:spacing w:after="0"/>
              <w:rPr>
                <w:sz w:val="11"/>
                <w:szCs w:val="11"/>
                <w:color w:val="auto"/>
              </w:rPr>
            </w:pPr>
          </w:p>
        </w:tc>
        <w:tc>
          <w:tcPr>
            <w:tcW w:w="1140" w:type="dxa"/>
            <w:vAlign w:val="bottom"/>
            <w:gridSpan w:val="4"/>
            <w:vMerge w:val="continue"/>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900" w:type="dxa"/>
            <w:vAlign w:val="bottom"/>
            <w:gridSpan w:val="2"/>
            <w:vMerge w:val="restart"/>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paid-in</w:t>
            </w:r>
          </w:p>
        </w:tc>
        <w:tc>
          <w:tcPr>
            <w:tcW w:w="1140" w:type="dxa"/>
            <w:vAlign w:val="bottom"/>
            <w:gridSpan w:val="3"/>
            <w:vMerge w:val="restart"/>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comprehensive</w:t>
            </w:r>
          </w:p>
        </w:tc>
        <w:tc>
          <w:tcPr>
            <w:tcW w:w="800" w:type="dxa"/>
            <w:vAlign w:val="bottom"/>
            <w:vMerge w:val="restart"/>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Retained</w:t>
            </w:r>
          </w:p>
        </w:tc>
        <w:tc>
          <w:tcPr>
            <w:tcW w:w="1020" w:type="dxa"/>
            <w:vAlign w:val="bottom"/>
            <w:gridSpan w:val="2"/>
            <w:vMerge w:val="restart"/>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29"/>
        </w:trPr>
        <w:tc>
          <w:tcPr>
            <w:tcW w:w="3180" w:type="dxa"/>
            <w:vAlign w:val="bottom"/>
            <w:shd w:val="clear" w:color="auto" w:fill="004054"/>
          </w:tcPr>
          <w:p>
            <w:pPr>
              <w:spacing w:after="0"/>
              <w:rPr>
                <w:sz w:val="2"/>
                <w:szCs w:val="2"/>
                <w:color w:val="auto"/>
              </w:rPr>
            </w:pPr>
          </w:p>
        </w:tc>
        <w:tc>
          <w:tcPr>
            <w:tcW w:w="280" w:type="dxa"/>
            <w:vAlign w:val="bottom"/>
            <w:shd w:val="clear" w:color="auto" w:fill="004054"/>
          </w:tcPr>
          <w:p>
            <w:pPr>
              <w:spacing w:after="0"/>
              <w:rPr>
                <w:sz w:val="2"/>
                <w:szCs w:val="2"/>
                <w:color w:val="auto"/>
              </w:rPr>
            </w:pPr>
          </w:p>
        </w:tc>
        <w:tc>
          <w:tcPr>
            <w:tcW w:w="620" w:type="dxa"/>
            <w:vAlign w:val="bottom"/>
            <w:shd w:val="clear" w:color="auto" w:fill="004054"/>
          </w:tcPr>
          <w:p>
            <w:pPr>
              <w:spacing w:after="0"/>
              <w:rPr>
                <w:sz w:val="2"/>
                <w:szCs w:val="2"/>
                <w:color w:val="auto"/>
              </w:rPr>
            </w:pPr>
          </w:p>
        </w:tc>
        <w:tc>
          <w:tcPr>
            <w:tcW w:w="260" w:type="dxa"/>
            <w:vAlign w:val="bottom"/>
            <w:shd w:val="clear" w:color="auto" w:fill="004054"/>
          </w:tcPr>
          <w:p>
            <w:pPr>
              <w:spacing w:after="0"/>
              <w:rPr>
                <w:sz w:val="2"/>
                <w:szCs w:val="2"/>
                <w:color w:val="auto"/>
              </w:rPr>
            </w:pPr>
          </w:p>
        </w:tc>
        <w:tc>
          <w:tcPr>
            <w:tcW w:w="400" w:type="dxa"/>
            <w:vAlign w:val="bottom"/>
            <w:shd w:val="clear" w:color="auto" w:fill="004054"/>
          </w:tcPr>
          <w:p>
            <w:pPr>
              <w:spacing w:after="0"/>
              <w:rPr>
                <w:sz w:val="2"/>
                <w:szCs w:val="2"/>
                <w:color w:val="auto"/>
              </w:rPr>
            </w:pPr>
          </w:p>
        </w:tc>
        <w:tc>
          <w:tcPr>
            <w:tcW w:w="280" w:type="dxa"/>
            <w:vAlign w:val="bottom"/>
            <w:shd w:val="clear" w:color="auto" w:fill="004054"/>
          </w:tcPr>
          <w:p>
            <w:pPr>
              <w:spacing w:after="0"/>
              <w:rPr>
                <w:sz w:val="2"/>
                <w:szCs w:val="2"/>
                <w:color w:val="auto"/>
              </w:rPr>
            </w:pPr>
          </w:p>
        </w:tc>
        <w:tc>
          <w:tcPr>
            <w:tcW w:w="12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260" w:type="dxa"/>
            <w:vAlign w:val="bottom"/>
            <w:shd w:val="clear" w:color="auto" w:fill="004054"/>
          </w:tcPr>
          <w:p>
            <w:pPr>
              <w:spacing w:after="0"/>
              <w:rPr>
                <w:sz w:val="2"/>
                <w:szCs w:val="2"/>
                <w:color w:val="auto"/>
              </w:rPr>
            </w:pPr>
          </w:p>
        </w:tc>
        <w:tc>
          <w:tcPr>
            <w:tcW w:w="730" w:type="dxa"/>
            <w:vAlign w:val="bottom"/>
            <w:shd w:val="clear" w:color="auto" w:fill="004054"/>
          </w:tcPr>
          <w:p>
            <w:pPr>
              <w:spacing w:after="0"/>
              <w:rPr>
                <w:sz w:val="2"/>
                <w:szCs w:val="2"/>
                <w:color w:val="auto"/>
              </w:rPr>
            </w:pPr>
          </w:p>
        </w:tc>
        <w:tc>
          <w:tcPr>
            <w:tcW w:w="110" w:type="dxa"/>
            <w:vAlign w:val="bottom"/>
            <w:shd w:val="clear" w:color="auto" w:fill="004054"/>
          </w:tcPr>
          <w:p>
            <w:pPr>
              <w:spacing w:after="0"/>
              <w:rPr>
                <w:sz w:val="2"/>
                <w:szCs w:val="2"/>
                <w:color w:val="auto"/>
              </w:rPr>
            </w:pPr>
          </w:p>
        </w:tc>
        <w:tc>
          <w:tcPr>
            <w:tcW w:w="40" w:type="dxa"/>
            <w:vAlign w:val="bottom"/>
            <w:shd w:val="clear" w:color="auto" w:fill="004054"/>
          </w:tcPr>
          <w:p>
            <w:pPr>
              <w:spacing w:after="0"/>
              <w:rPr>
                <w:sz w:val="2"/>
                <w:szCs w:val="2"/>
                <w:color w:val="auto"/>
              </w:rPr>
            </w:pPr>
          </w:p>
        </w:tc>
        <w:tc>
          <w:tcPr>
            <w:tcW w:w="120" w:type="dxa"/>
            <w:vAlign w:val="bottom"/>
            <w:shd w:val="clear" w:color="auto" w:fill="004054"/>
          </w:tcPr>
          <w:p>
            <w:pPr>
              <w:spacing w:after="0"/>
              <w:rPr>
                <w:sz w:val="2"/>
                <w:szCs w:val="2"/>
                <w:color w:val="auto"/>
              </w:rPr>
            </w:pPr>
          </w:p>
        </w:tc>
        <w:tc>
          <w:tcPr>
            <w:tcW w:w="900" w:type="dxa"/>
            <w:vAlign w:val="bottom"/>
            <w:gridSpan w:val="2"/>
            <w:vMerge w:val="continue"/>
            <w:shd w:val="clear" w:color="auto" w:fill="004054"/>
          </w:tcPr>
          <w:p>
            <w:pPr>
              <w:spacing w:after="0"/>
              <w:rPr>
                <w:sz w:val="2"/>
                <w:szCs w:val="2"/>
                <w:color w:val="auto"/>
              </w:rPr>
            </w:pPr>
          </w:p>
        </w:tc>
        <w:tc>
          <w:tcPr>
            <w:tcW w:w="1140" w:type="dxa"/>
            <w:vAlign w:val="bottom"/>
            <w:gridSpan w:val="3"/>
            <w:vMerge w:val="continue"/>
            <w:shd w:val="clear" w:color="auto" w:fill="004054"/>
          </w:tcPr>
          <w:p>
            <w:pPr>
              <w:spacing w:after="0"/>
              <w:rPr>
                <w:sz w:val="2"/>
                <w:szCs w:val="2"/>
                <w:color w:val="auto"/>
              </w:rPr>
            </w:pPr>
          </w:p>
        </w:tc>
        <w:tc>
          <w:tcPr>
            <w:tcW w:w="800" w:type="dxa"/>
            <w:vAlign w:val="bottom"/>
            <w:vMerge w:val="continue"/>
            <w:shd w:val="clear" w:color="auto" w:fill="004054"/>
          </w:tcPr>
          <w:p>
            <w:pPr>
              <w:spacing w:after="0"/>
              <w:rPr>
                <w:sz w:val="2"/>
                <w:szCs w:val="2"/>
                <w:color w:val="auto"/>
              </w:rPr>
            </w:pPr>
          </w:p>
        </w:tc>
        <w:tc>
          <w:tcPr>
            <w:tcW w:w="1020" w:type="dxa"/>
            <w:vAlign w:val="bottom"/>
            <w:gridSpan w:val="2"/>
            <w:vMerge w:val="continue"/>
            <w:shd w:val="clear" w:color="auto" w:fill="0040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tcBorders>
              <w:bottom w:val="single" w:sz="8" w:color="004054"/>
            </w:tcBorders>
            <w:shd w:val="clear" w:color="auto" w:fill="004054"/>
          </w:tcPr>
          <w:p>
            <w:pPr>
              <w:spacing w:after="0"/>
              <w:rPr>
                <w:sz w:val="19"/>
                <w:szCs w:val="19"/>
                <w:color w:val="auto"/>
              </w:rPr>
            </w:pPr>
          </w:p>
        </w:tc>
        <w:tc>
          <w:tcPr>
            <w:tcW w:w="88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68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tcBorders>
              <w:bottom w:val="single" w:sz="8" w:color="004054"/>
            </w:tcBorders>
            <w:shd w:val="clear" w:color="auto" w:fill="004054"/>
          </w:tcPr>
          <w:p>
            <w:pPr>
              <w:spacing w:after="0"/>
              <w:rPr>
                <w:sz w:val="19"/>
                <w:szCs w:val="19"/>
                <w:color w:val="auto"/>
              </w:rPr>
            </w:pPr>
          </w:p>
        </w:tc>
        <w:tc>
          <w:tcPr>
            <w:tcW w:w="92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880" w:type="dxa"/>
            <w:vAlign w:val="bottom"/>
            <w:tcBorders>
              <w:bottom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40" w:type="dxa"/>
            <w:vAlign w:val="bottom"/>
            <w:tcBorders>
              <w:bottom w:val="single" w:sz="8" w:color="004054"/>
            </w:tcBorders>
            <w:shd w:val="clear" w:color="auto" w:fill="004054"/>
          </w:tcPr>
          <w:p>
            <w:pPr>
              <w:spacing w:after="0"/>
              <w:rPr>
                <w:sz w:val="19"/>
                <w:szCs w:val="19"/>
                <w:color w:val="auto"/>
              </w:rPr>
            </w:pPr>
          </w:p>
        </w:tc>
        <w:tc>
          <w:tcPr>
            <w:tcW w:w="100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(loss) income</w:t>
            </w: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200" w:type="dxa"/>
            <w:vAlign w:val="bottom"/>
            <w:tcBorders>
              <w:bottom w:val="single" w:sz="8" w:color="004054"/>
            </w:tcBorders>
            <w:shd w:val="clear" w:color="auto" w:fill="004054"/>
          </w:tcPr>
          <w:p>
            <w:pPr>
              <w:spacing w:after="0"/>
              <w:rPr>
                <w:sz w:val="19"/>
                <w:szCs w:val="19"/>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43"/>
        </w:trPr>
        <w:tc>
          <w:tcPr>
            <w:tcW w:w="31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2023</w:t>
            </w:r>
          </w:p>
        </w:tc>
        <w:tc>
          <w:tcPr>
            <w:tcW w:w="116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69,188,304</w:t>
            </w:r>
          </w:p>
        </w:tc>
        <w:tc>
          <w:tcPr>
            <w:tcW w:w="400" w:type="dxa"/>
            <w:vAlign w:val="bottom"/>
            <w:shd w:val="clear" w:color="auto" w:fill="EBFBFF"/>
          </w:tcPr>
          <w:p>
            <w:pPr>
              <w:jc w:val="right"/>
              <w:ind w:right="220"/>
              <w:spacing w:after="0"/>
              <w:rPr>
                <w:sz w:val="20"/>
                <w:szCs w:val="20"/>
                <w:color w:val="auto"/>
              </w:rPr>
            </w:pPr>
            <w:r>
              <w:rPr>
                <w:rFonts w:ascii="Arial" w:cs="Arial" w:eastAsia="Arial" w:hAnsi="Arial"/>
                <w:sz w:val="16"/>
                <w:szCs w:val="16"/>
                <w:color w:val="51555C"/>
                <w:w w:val="89"/>
              </w:rPr>
              <w:t>$</w:t>
            </w:r>
          </w:p>
        </w:tc>
        <w:tc>
          <w:tcPr>
            <w:tcW w:w="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69</w:t>
            </w:r>
          </w:p>
        </w:tc>
        <w:tc>
          <w:tcPr>
            <w:tcW w:w="104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(15,562,864)</w:t>
            </w:r>
          </w:p>
        </w:tc>
        <w:tc>
          <w:tcPr>
            <w:tcW w:w="8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 (591,557)</w:t>
            </w:r>
          </w:p>
        </w:tc>
        <w:tc>
          <w:tcPr>
            <w:tcW w:w="40" w:type="dxa"/>
            <w:vAlign w:val="bottom"/>
            <w:shd w:val="clear" w:color="auto" w:fill="EBFBFF"/>
          </w:tcPr>
          <w:p>
            <w:pPr>
              <w:spacing w:after="0"/>
              <w:rPr>
                <w:sz w:val="21"/>
                <w:szCs w:val="21"/>
                <w:color w:val="auto"/>
              </w:rPr>
            </w:pPr>
          </w:p>
        </w:tc>
        <w:tc>
          <w:tcPr>
            <w:tcW w:w="1020" w:type="dxa"/>
            <w:vAlign w:val="bottom"/>
            <w:gridSpan w:val="3"/>
            <w:shd w:val="clear" w:color="auto" w:fill="EBFBFF"/>
          </w:tcPr>
          <w:p>
            <w:pPr>
              <w:jc w:val="right"/>
              <w:ind w:right="2"/>
              <w:spacing w:after="0"/>
              <w:rPr>
                <w:sz w:val="20"/>
                <w:szCs w:val="20"/>
                <w:color w:val="auto"/>
              </w:rPr>
            </w:pPr>
            <w:r>
              <w:rPr>
                <w:rFonts w:ascii="Arial" w:cs="Arial" w:eastAsia="Arial" w:hAnsi="Arial"/>
                <w:sz w:val="16"/>
                <w:szCs w:val="16"/>
                <w:color w:val="51555C"/>
              </w:rPr>
              <w:t>$1,203,012</w:t>
            </w:r>
          </w:p>
        </w:tc>
        <w:tc>
          <w:tcPr>
            <w:tcW w:w="14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(1,688)</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$ 198,869</w:t>
            </w:r>
          </w:p>
        </w:tc>
        <w:tc>
          <w:tcPr>
            <w:tcW w:w="200" w:type="dxa"/>
            <w:vAlign w:val="bottom"/>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82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808,705</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w w:val="99"/>
              </w:rPr>
              <w:t>—</w:t>
            </w: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5,246</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5,246</w:t>
            </w:r>
          </w:p>
        </w:tc>
        <w:tc>
          <w:tcPr>
            <w:tcW w:w="0" w:type="dxa"/>
            <w:vAlign w:val="bottom"/>
          </w:tcPr>
          <w:p>
            <w:pPr>
              <w:spacing w:after="0"/>
              <w:rPr>
                <w:sz w:val="1"/>
                <w:szCs w:val="1"/>
                <w:color w:val="auto"/>
              </w:rPr>
            </w:pPr>
          </w:p>
        </w:tc>
      </w:tr>
      <w:tr>
        <w:trPr>
          <w:trHeight w:val="210"/>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treasury shares under stock</w:t>
            </w:r>
          </w:p>
        </w:tc>
        <w:tc>
          <w:tcPr>
            <w:tcW w:w="280" w:type="dxa"/>
            <w:vAlign w:val="bottom"/>
            <w:shd w:val="clear" w:color="auto" w:fill="EBFBFF"/>
          </w:tcPr>
          <w:p>
            <w:pPr>
              <w:spacing w:after="0"/>
              <w:rPr>
                <w:sz w:val="18"/>
                <w:szCs w:val="18"/>
                <w:color w:val="auto"/>
              </w:rPr>
            </w:pPr>
          </w:p>
        </w:tc>
        <w:tc>
          <w:tcPr>
            <w:tcW w:w="62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0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66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730" w:type="dxa"/>
            <w:vAlign w:val="bottom"/>
            <w:shd w:val="clear" w:color="auto" w:fill="EBFBFF"/>
          </w:tcPr>
          <w:p>
            <w:pPr>
              <w:spacing w:after="0"/>
              <w:rPr>
                <w:sz w:val="18"/>
                <w:szCs w:val="18"/>
                <w:color w:val="auto"/>
              </w:rPr>
            </w:pPr>
          </w:p>
        </w:tc>
        <w:tc>
          <w:tcPr>
            <w:tcW w:w="110" w:type="dxa"/>
            <w:vAlign w:val="bottom"/>
            <w:shd w:val="clear" w:color="auto" w:fill="EBFBFF"/>
          </w:tcPr>
          <w:p>
            <w:pPr>
              <w:spacing w:after="0"/>
              <w:rPr>
                <w:sz w:val="18"/>
                <w:szCs w:val="18"/>
                <w:color w:val="auto"/>
              </w:rPr>
            </w:pPr>
          </w:p>
        </w:tc>
        <w:tc>
          <w:tcPr>
            <w:tcW w:w="4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76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84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80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repurchase program</w:t>
            </w:r>
          </w:p>
        </w:tc>
        <w:tc>
          <w:tcPr>
            <w:tcW w:w="280" w:type="dxa"/>
            <w:vAlign w:val="bottom"/>
            <w:shd w:val="clear" w:color="auto" w:fill="EBFBFF"/>
          </w:tcPr>
          <w:p>
            <w:pPr>
              <w:spacing w:after="0"/>
              <w:rPr>
                <w:sz w:val="21"/>
                <w:szCs w:val="21"/>
                <w:color w:val="auto"/>
              </w:rPr>
            </w:pPr>
          </w:p>
        </w:tc>
        <w:tc>
          <w:tcPr>
            <w:tcW w:w="620" w:type="dxa"/>
            <w:vAlign w:val="bottom"/>
            <w:shd w:val="clear" w:color="auto" w:fill="EBFBFF"/>
          </w:tcPr>
          <w:p>
            <w:pPr>
              <w:spacing w:after="0"/>
              <w:rPr>
                <w:sz w:val="21"/>
                <w:szCs w:val="21"/>
                <w:color w:val="auto"/>
              </w:rPr>
            </w:pPr>
          </w:p>
        </w:tc>
        <w:tc>
          <w:tcPr>
            <w:tcW w:w="2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w:t>
            </w:r>
          </w:p>
        </w:tc>
        <w:tc>
          <w:tcPr>
            <w:tcW w:w="400" w:type="dxa"/>
            <w:vAlign w:val="bottom"/>
            <w:shd w:val="clear" w:color="auto" w:fill="EBFBFF"/>
          </w:tcPr>
          <w:p>
            <w:pPr>
              <w:spacing w:after="0"/>
              <w:rPr>
                <w:sz w:val="21"/>
                <w:szCs w:val="21"/>
                <w:color w:val="auto"/>
              </w:rPr>
            </w:pPr>
          </w:p>
        </w:tc>
        <w:tc>
          <w:tcPr>
            <w:tcW w:w="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(2,954,211)</w:t>
            </w:r>
          </w:p>
        </w:tc>
        <w:tc>
          <w:tcPr>
            <w:tcW w:w="8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(211,412)</w:t>
            </w:r>
          </w:p>
        </w:tc>
        <w:tc>
          <w:tcPr>
            <w:tcW w:w="40" w:type="dxa"/>
            <w:vAlign w:val="bottom"/>
            <w:shd w:val="clear" w:color="auto" w:fill="EBFBFF"/>
          </w:tcPr>
          <w:p>
            <w:pPr>
              <w:spacing w:after="0"/>
              <w:rPr>
                <w:sz w:val="21"/>
                <w:szCs w:val="21"/>
                <w:color w:val="auto"/>
              </w:rPr>
            </w:pPr>
          </w:p>
        </w:tc>
        <w:tc>
          <w:tcPr>
            <w:tcW w:w="102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(52,244)</w:t>
            </w:r>
          </w:p>
        </w:tc>
        <w:tc>
          <w:tcPr>
            <w:tcW w:w="14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(263,656)</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1160" w:type="dxa"/>
            <w:vAlign w:val="bottom"/>
            <w:gridSpan w:val="3"/>
          </w:tcPr>
          <w:p>
            <w:pPr>
              <w:jc w:val="right"/>
              <w:spacing w:after="0"/>
              <w:rPr>
                <w:sz w:val="20"/>
                <w:szCs w:val="20"/>
                <w:color w:val="auto"/>
              </w:rPr>
            </w:pPr>
            <w:r>
              <w:rPr>
                <w:rFonts w:ascii="Arial" w:cs="Arial" w:eastAsia="Arial" w:hAnsi="Arial"/>
                <w:sz w:val="16"/>
                <w:szCs w:val="16"/>
                <w:color w:val="51555C"/>
              </w:rPr>
              <w:t>1,357,125</w:t>
            </w: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Shares withheld to satisfy tax withholdings</w:t>
            </w:r>
          </w:p>
        </w:tc>
        <w:tc>
          <w:tcPr>
            <w:tcW w:w="280" w:type="dxa"/>
            <w:vAlign w:val="bottom"/>
            <w:shd w:val="clear" w:color="auto" w:fill="EBFBFF"/>
          </w:tcPr>
          <w:p>
            <w:pPr>
              <w:spacing w:after="0"/>
              <w:rPr>
                <w:sz w:val="21"/>
                <w:szCs w:val="21"/>
                <w:color w:val="auto"/>
              </w:rPr>
            </w:pPr>
          </w:p>
        </w:tc>
        <w:tc>
          <w:tcPr>
            <w:tcW w:w="620" w:type="dxa"/>
            <w:vAlign w:val="bottom"/>
            <w:shd w:val="clear" w:color="auto" w:fill="EBFBFF"/>
          </w:tcPr>
          <w:p>
            <w:pPr>
              <w:spacing w:after="0"/>
              <w:rPr>
                <w:sz w:val="21"/>
                <w:szCs w:val="21"/>
                <w:color w:val="auto"/>
              </w:rPr>
            </w:pPr>
          </w:p>
        </w:tc>
        <w:tc>
          <w:tcPr>
            <w:tcW w:w="2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w:t>
            </w:r>
          </w:p>
        </w:tc>
        <w:tc>
          <w:tcPr>
            <w:tcW w:w="400" w:type="dxa"/>
            <w:vAlign w:val="bottom"/>
            <w:shd w:val="clear" w:color="auto" w:fill="EBFBFF"/>
          </w:tcPr>
          <w:p>
            <w:pPr>
              <w:spacing w:after="0"/>
              <w:rPr>
                <w:sz w:val="21"/>
                <w:szCs w:val="21"/>
                <w:color w:val="auto"/>
              </w:rPr>
            </w:pPr>
          </w:p>
        </w:tc>
        <w:tc>
          <w:tcPr>
            <w:tcW w:w="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(720,189)</w:t>
            </w:r>
          </w:p>
        </w:tc>
        <w:tc>
          <w:tcPr>
            <w:tcW w:w="8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(52,723)</w:t>
            </w:r>
          </w:p>
        </w:tc>
        <w:tc>
          <w:tcPr>
            <w:tcW w:w="40" w:type="dxa"/>
            <w:vAlign w:val="bottom"/>
            <w:shd w:val="clear" w:color="auto" w:fill="EBFBFF"/>
          </w:tcPr>
          <w:p>
            <w:pPr>
              <w:spacing w:after="0"/>
              <w:rPr>
                <w:sz w:val="21"/>
                <w:szCs w:val="21"/>
                <w:color w:val="auto"/>
              </w:rPr>
            </w:pPr>
          </w:p>
        </w:tc>
        <w:tc>
          <w:tcPr>
            <w:tcW w:w="120" w:type="dxa"/>
            <w:vAlign w:val="bottom"/>
            <w:shd w:val="clear" w:color="auto" w:fill="EBFBFF"/>
          </w:tcPr>
          <w:p>
            <w:pPr>
              <w:spacing w:after="0"/>
              <w:rPr>
                <w:sz w:val="21"/>
                <w:szCs w:val="21"/>
                <w:color w:val="auto"/>
              </w:rPr>
            </w:pPr>
          </w:p>
        </w:tc>
        <w:tc>
          <w:tcPr>
            <w:tcW w:w="900" w:type="dxa"/>
            <w:vAlign w:val="bottom"/>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(52,723)</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w w:val="99"/>
              </w:rPr>
              <w:t>—</w:t>
            </w: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020" w:type="dxa"/>
            <w:vAlign w:val="bottom"/>
            <w:gridSpan w:val="3"/>
          </w:tcPr>
          <w:p>
            <w:pPr>
              <w:jc w:val="right"/>
              <w:ind w:right="2"/>
              <w:spacing w:after="0"/>
              <w:rPr>
                <w:sz w:val="20"/>
                <w:szCs w:val="20"/>
                <w:color w:val="auto"/>
              </w:rPr>
            </w:pPr>
            <w:r>
              <w:rPr>
                <w:rFonts w:ascii="Arial" w:cs="Arial" w:eastAsia="Arial" w:hAnsi="Arial"/>
                <w:sz w:val="16"/>
                <w:szCs w:val="16"/>
                <w:color w:val="51555C"/>
              </w:rPr>
              <w:t>33,570</w:t>
            </w:r>
          </w:p>
        </w:tc>
        <w:tc>
          <w:tcPr>
            <w:tcW w:w="140" w:type="dxa"/>
            <w:vAlign w:val="bottom"/>
          </w:tcPr>
          <w:p>
            <w:pPr>
              <w:spacing w:after="0"/>
              <w:rPr>
                <w:sz w:val="20"/>
                <w:szCs w:val="20"/>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33,570</w:t>
            </w:r>
          </w:p>
        </w:tc>
        <w:tc>
          <w:tcPr>
            <w:tcW w:w="0" w:type="dxa"/>
            <w:vAlign w:val="bottom"/>
          </w:tcPr>
          <w:p>
            <w:pPr>
              <w:spacing w:after="0"/>
              <w:rPr>
                <w:sz w:val="1"/>
                <w:szCs w:val="1"/>
                <w:color w:val="auto"/>
              </w:rPr>
            </w:pPr>
          </w:p>
        </w:tc>
      </w:tr>
      <w:tr>
        <w:trPr>
          <w:trHeight w:val="251"/>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1160" w:type="dxa"/>
            <w:vAlign w:val="bottom"/>
            <w:gridSpan w:val="3"/>
            <w:shd w:val="clear" w:color="auto" w:fill="EBFBFF"/>
          </w:tcPr>
          <w:p>
            <w:pPr>
              <w:jc w:val="right"/>
              <w:spacing w:after="0"/>
              <w:rPr>
                <w:sz w:val="20"/>
                <w:szCs w:val="20"/>
                <w:color w:val="auto"/>
              </w:rPr>
            </w:pPr>
            <w:r>
              <w:rPr>
                <w:rFonts w:ascii="Arial" w:cs="Arial" w:eastAsia="Arial" w:hAnsi="Arial"/>
                <w:sz w:val="16"/>
                <w:szCs w:val="16"/>
                <w:color w:val="51555C"/>
              </w:rPr>
              <w:t>335,237</w:t>
            </w:r>
          </w:p>
        </w:tc>
        <w:tc>
          <w:tcPr>
            <w:tcW w:w="400" w:type="dxa"/>
            <w:vAlign w:val="bottom"/>
            <w:shd w:val="clear" w:color="auto" w:fill="EBFBFF"/>
          </w:tcPr>
          <w:p>
            <w:pPr>
              <w:spacing w:after="0"/>
              <w:rPr>
                <w:sz w:val="21"/>
                <w:szCs w:val="21"/>
                <w:color w:val="auto"/>
              </w:rPr>
            </w:pPr>
          </w:p>
        </w:tc>
        <w:tc>
          <w:tcPr>
            <w:tcW w:w="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w:t>
            </w:r>
          </w:p>
        </w:tc>
        <w:tc>
          <w:tcPr>
            <w:tcW w:w="120" w:type="dxa"/>
            <w:vAlign w:val="bottom"/>
            <w:shd w:val="clear" w:color="auto" w:fill="EBFBFF"/>
          </w:tcPr>
          <w:p>
            <w:pPr>
              <w:spacing w:after="0"/>
              <w:rPr>
                <w:sz w:val="21"/>
                <w:szCs w:val="21"/>
                <w:color w:val="auto"/>
              </w:rPr>
            </w:pPr>
          </w:p>
        </w:tc>
        <w:tc>
          <w:tcPr>
            <w:tcW w:w="660" w:type="dxa"/>
            <w:vAlign w:val="bottom"/>
            <w:shd w:val="clear" w:color="auto" w:fill="EBFBFF"/>
          </w:tcPr>
          <w:p>
            <w:pPr>
              <w:spacing w:after="0"/>
              <w:rPr>
                <w:sz w:val="21"/>
                <w:szCs w:val="21"/>
                <w:color w:val="auto"/>
              </w:rPr>
            </w:pPr>
          </w:p>
        </w:tc>
        <w:tc>
          <w:tcPr>
            <w:tcW w:w="2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40" w:type="dxa"/>
            <w:vAlign w:val="bottom"/>
            <w:gridSpan w:val="2"/>
            <w:shd w:val="clear" w:color="auto" w:fill="EBFBFF"/>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shd w:val="clear" w:color="auto" w:fill="EBFBFF"/>
          </w:tcPr>
          <w:p>
            <w:pPr>
              <w:spacing w:after="0"/>
              <w:rPr>
                <w:sz w:val="21"/>
                <w:szCs w:val="21"/>
                <w:color w:val="auto"/>
              </w:rPr>
            </w:pPr>
          </w:p>
        </w:tc>
        <w:tc>
          <w:tcPr>
            <w:tcW w:w="120" w:type="dxa"/>
            <w:vAlign w:val="bottom"/>
            <w:shd w:val="clear" w:color="auto" w:fill="EBFBFF"/>
          </w:tcPr>
          <w:p>
            <w:pPr>
              <w:spacing w:after="0"/>
              <w:rPr>
                <w:sz w:val="21"/>
                <w:szCs w:val="21"/>
                <w:color w:val="auto"/>
              </w:rPr>
            </w:pPr>
          </w:p>
        </w:tc>
        <w:tc>
          <w:tcPr>
            <w:tcW w:w="900" w:type="dxa"/>
            <w:vAlign w:val="bottom"/>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2</w:t>
            </w:r>
          </w:p>
        </w:tc>
        <w:tc>
          <w:tcPr>
            <w:tcW w:w="0" w:type="dxa"/>
            <w:vAlign w:val="bottom"/>
          </w:tcPr>
          <w:p>
            <w:pPr>
              <w:spacing w:after="0"/>
              <w:rPr>
                <w:sz w:val="1"/>
                <w:szCs w:val="1"/>
                <w:color w:val="auto"/>
              </w:rPr>
            </w:pPr>
          </w:p>
        </w:tc>
      </w:tr>
      <w:tr>
        <w:trPr>
          <w:trHeight w:val="235"/>
        </w:trPr>
        <w:tc>
          <w:tcPr>
            <w:tcW w:w="318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1160" w:type="dxa"/>
            <w:vAlign w:val="bottom"/>
            <w:gridSpan w:val="3"/>
          </w:tcPr>
          <w:p>
            <w:pPr>
              <w:jc w:val="right"/>
              <w:spacing w:after="0"/>
              <w:rPr>
                <w:sz w:val="20"/>
                <w:szCs w:val="20"/>
                <w:color w:val="auto"/>
              </w:rPr>
            </w:pPr>
            <w:r>
              <w:rPr>
                <w:rFonts w:ascii="Arial" w:cs="Arial" w:eastAsia="Arial" w:hAnsi="Arial"/>
                <w:sz w:val="16"/>
                <w:szCs w:val="16"/>
                <w:color w:val="51555C"/>
              </w:rPr>
              <w:t>(19,159)</w:t>
            </w: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1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income</w:t>
            </w:r>
          </w:p>
        </w:tc>
        <w:tc>
          <w:tcPr>
            <w:tcW w:w="280" w:type="dxa"/>
            <w:vAlign w:val="bottom"/>
            <w:shd w:val="clear" w:color="auto" w:fill="EBFBFF"/>
          </w:tcPr>
          <w:p>
            <w:pPr>
              <w:spacing w:after="0"/>
              <w:rPr>
                <w:sz w:val="21"/>
                <w:szCs w:val="21"/>
                <w:color w:val="auto"/>
              </w:rPr>
            </w:pPr>
          </w:p>
        </w:tc>
        <w:tc>
          <w:tcPr>
            <w:tcW w:w="620" w:type="dxa"/>
            <w:vAlign w:val="bottom"/>
            <w:tcBorders>
              <w:bottom w:val="single" w:sz="8" w:color="51555C"/>
            </w:tcBorders>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w w:val="99"/>
              </w:rPr>
              <w:t>—</w:t>
            </w:r>
          </w:p>
        </w:tc>
        <w:tc>
          <w:tcPr>
            <w:tcW w:w="400" w:type="dxa"/>
            <w:vAlign w:val="bottom"/>
            <w:tcBorders>
              <w:bottom w:val="single" w:sz="8" w:color="51555C"/>
            </w:tcBorders>
            <w:shd w:val="clear" w:color="auto" w:fill="EBFBFF"/>
          </w:tcPr>
          <w:p>
            <w:pPr>
              <w:spacing w:after="0"/>
              <w:rPr>
                <w:sz w:val="21"/>
                <w:szCs w:val="21"/>
                <w:color w:val="auto"/>
              </w:rPr>
            </w:pPr>
          </w:p>
        </w:tc>
        <w:tc>
          <w:tcPr>
            <w:tcW w:w="2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660" w:type="dxa"/>
            <w:vAlign w:val="bottom"/>
            <w:tcBorders>
              <w:bottom w:val="single" w:sz="8" w:color="51555C"/>
            </w:tcBorders>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40" w:type="dxa"/>
            <w:vAlign w:val="bottom"/>
            <w:tcBorders>
              <w:bottom w:val="single" w:sz="8" w:color="51555C"/>
            </w:tcBorders>
            <w:gridSpan w:val="2"/>
            <w:shd w:val="clear" w:color="auto" w:fill="EBFBFF"/>
          </w:tcPr>
          <w:p>
            <w:pPr>
              <w:jc w:val="right"/>
              <w:ind w:right="40"/>
              <w:spacing w:after="0"/>
              <w:rPr>
                <w:sz w:val="20"/>
                <w:szCs w:val="20"/>
                <w:color w:val="auto"/>
              </w:rPr>
            </w:pPr>
            <w:r>
              <w:rPr>
                <w:rFonts w:ascii="Arial" w:cs="Arial" w:eastAsia="Arial" w:hAnsi="Arial"/>
                <w:sz w:val="16"/>
                <w:szCs w:val="16"/>
                <w:color w:val="51555C"/>
              </w:rPr>
              <w:t>—</w:t>
            </w:r>
          </w:p>
        </w:tc>
        <w:tc>
          <w:tcPr>
            <w:tcW w:w="40" w:type="dxa"/>
            <w:vAlign w:val="bottom"/>
            <w:tcBorders>
              <w:bottom w:val="single" w:sz="8" w:color="51555C"/>
            </w:tcBorders>
            <w:shd w:val="clear" w:color="auto" w:fill="EBFBFF"/>
          </w:tcPr>
          <w:p>
            <w:pPr>
              <w:spacing w:after="0"/>
              <w:rPr>
                <w:sz w:val="21"/>
                <w:szCs w:val="21"/>
                <w:color w:val="auto"/>
              </w:rPr>
            </w:pPr>
          </w:p>
        </w:tc>
        <w:tc>
          <w:tcPr>
            <w:tcW w:w="120" w:type="dxa"/>
            <w:vAlign w:val="bottom"/>
            <w:tcBorders>
              <w:bottom w:val="single" w:sz="8" w:color="51555C"/>
            </w:tcBorders>
            <w:shd w:val="clear" w:color="auto" w:fill="EBFBFF"/>
          </w:tcPr>
          <w:p>
            <w:pPr>
              <w:spacing w:after="0"/>
              <w:rPr>
                <w:sz w:val="21"/>
                <w:szCs w:val="21"/>
                <w:color w:val="auto"/>
              </w:rPr>
            </w:pPr>
          </w:p>
        </w:tc>
        <w:tc>
          <w:tcPr>
            <w:tcW w:w="900" w:type="dxa"/>
            <w:vAlign w:val="bottom"/>
            <w:tcBorders>
              <w:bottom w:val="single" w:sz="8" w:color="51555C"/>
            </w:tcBorders>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shd w:val="clear" w:color="auto" w:fill="EBFBFF"/>
          </w:tcPr>
          <w:p>
            <w:pPr>
              <w:spacing w:after="0"/>
              <w:rPr>
                <w:sz w:val="21"/>
                <w:szCs w:val="21"/>
                <w:color w:val="auto"/>
              </w:rPr>
            </w:pPr>
          </w:p>
        </w:tc>
        <w:tc>
          <w:tcPr>
            <w:tcW w:w="1000" w:type="dxa"/>
            <w:vAlign w:val="bottom"/>
            <w:tcBorders>
              <w:bottom w:val="single" w:sz="8" w:color="51555C"/>
            </w:tcBorders>
            <w:gridSpan w:val="2"/>
            <w:shd w:val="clear" w:color="auto" w:fill="EBFBFF"/>
          </w:tcPr>
          <w:p>
            <w:pPr>
              <w:jc w:val="right"/>
              <w:ind w:right="2"/>
              <w:spacing w:after="0"/>
              <w:rPr>
                <w:sz w:val="20"/>
                <w:szCs w:val="20"/>
                <w:color w:val="auto"/>
              </w:rPr>
            </w:pPr>
            <w:r>
              <w:rPr>
                <w:rFonts w:ascii="Arial" w:cs="Arial" w:eastAsia="Arial" w:hAnsi="Arial"/>
                <w:sz w:val="16"/>
                <w:szCs w:val="16"/>
                <w:color w:val="51555C"/>
              </w:rPr>
              <w:t>2,910</w:t>
            </w:r>
          </w:p>
        </w:tc>
        <w:tc>
          <w:tcPr>
            <w:tcW w:w="8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51555C"/>
            </w:tcBorders>
            <w:shd w:val="clear" w:color="auto" w:fill="EBFBFF"/>
          </w:tcPr>
          <w:p>
            <w:pPr>
              <w:spacing w:after="0"/>
              <w:rPr>
                <w:sz w:val="21"/>
                <w:szCs w:val="21"/>
                <w:color w:val="auto"/>
              </w:rPr>
            </w:pPr>
          </w:p>
        </w:tc>
        <w:tc>
          <w:tcPr>
            <w:tcW w:w="820" w:type="dxa"/>
            <w:vAlign w:val="bottom"/>
            <w:tcBorders>
              <w:bottom w:val="single" w:sz="8" w:color="51555C"/>
            </w:tcBorders>
            <w:shd w:val="clear" w:color="auto" w:fill="EBFBFF"/>
          </w:tcPr>
          <w:p>
            <w:pPr>
              <w:jc w:val="right"/>
              <w:ind w:right="1"/>
              <w:spacing w:after="0"/>
              <w:rPr>
                <w:sz w:val="20"/>
                <w:szCs w:val="20"/>
                <w:color w:val="auto"/>
              </w:rPr>
            </w:pPr>
            <w:r>
              <w:rPr>
                <w:rFonts w:ascii="Arial" w:cs="Arial" w:eastAsia="Arial" w:hAnsi="Arial"/>
                <w:sz w:val="16"/>
                <w:szCs w:val="16"/>
                <w:color w:val="51555C"/>
              </w:rPr>
              <w:t>2,910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Balance at March 31, 2024</w:t>
            </w:r>
          </w:p>
        </w:tc>
        <w:tc>
          <w:tcPr>
            <w:tcW w:w="1160" w:type="dxa"/>
            <w:vAlign w:val="bottom"/>
            <w:tcBorders>
              <w:bottom w:val="single" w:sz="8" w:color="0CD973"/>
            </w:tcBorders>
            <w:gridSpan w:val="3"/>
          </w:tcPr>
          <w:p>
            <w:pPr>
              <w:jc w:val="right"/>
              <w:spacing w:after="0"/>
              <w:rPr>
                <w:sz w:val="20"/>
                <w:szCs w:val="20"/>
                <w:color w:val="auto"/>
              </w:rPr>
            </w:pPr>
            <w:r>
              <w:rPr>
                <w:rFonts w:ascii="Arial" w:cs="Arial" w:eastAsia="Arial" w:hAnsi="Arial"/>
                <w:sz w:val="16"/>
                <w:szCs w:val="16"/>
                <w:color w:val="51555C"/>
              </w:rPr>
              <w:t>70,861,507</w:t>
            </w:r>
          </w:p>
        </w:tc>
        <w:tc>
          <w:tcPr>
            <w:tcW w:w="400" w:type="dxa"/>
            <w:vAlign w:val="bottom"/>
            <w:tcBorders>
              <w:bottom w:val="single" w:sz="8" w:color="0CD973"/>
            </w:tcBorders>
          </w:tcPr>
          <w:p>
            <w:pPr>
              <w:jc w:val="right"/>
              <w:ind w:right="220"/>
              <w:spacing w:after="0"/>
              <w:rPr>
                <w:sz w:val="20"/>
                <w:szCs w:val="20"/>
                <w:color w:val="auto"/>
              </w:rPr>
            </w:pPr>
            <w:r>
              <w:rPr>
                <w:rFonts w:ascii="Arial" w:cs="Arial" w:eastAsia="Arial" w:hAnsi="Arial"/>
                <w:sz w:val="16"/>
                <w:szCs w:val="16"/>
                <w:color w:val="51555C"/>
                <w:w w:val="89"/>
              </w:rPr>
              <w:t>$</w:t>
            </w:r>
          </w:p>
        </w:tc>
        <w:tc>
          <w:tcPr>
            <w:tcW w:w="2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71</w:t>
            </w:r>
          </w:p>
        </w:tc>
        <w:tc>
          <w:tcPr>
            <w:tcW w:w="1040" w:type="dxa"/>
            <w:vAlign w:val="bottom"/>
            <w:tcBorders>
              <w:bottom w:val="single" w:sz="8" w:color="0CD973"/>
            </w:tcBorders>
            <w:gridSpan w:val="3"/>
          </w:tcPr>
          <w:p>
            <w:pPr>
              <w:jc w:val="right"/>
              <w:spacing w:after="0"/>
              <w:rPr>
                <w:sz w:val="20"/>
                <w:szCs w:val="20"/>
                <w:color w:val="auto"/>
              </w:rPr>
            </w:pPr>
            <w:r>
              <w:rPr>
                <w:rFonts w:ascii="Arial" w:cs="Arial" w:eastAsia="Arial" w:hAnsi="Arial"/>
                <w:sz w:val="16"/>
                <w:szCs w:val="16"/>
                <w:color w:val="51555C"/>
              </w:rPr>
              <w:t>(19,237,264)</w:t>
            </w:r>
          </w:p>
        </w:tc>
        <w:tc>
          <w:tcPr>
            <w:tcW w:w="840" w:type="dxa"/>
            <w:vAlign w:val="bottom"/>
            <w:tcBorders>
              <w:bottom w:val="single" w:sz="8" w:color="0CD973"/>
            </w:tcBorders>
            <w:gridSpan w:val="2"/>
          </w:tcPr>
          <w:p>
            <w:pPr>
              <w:jc w:val="right"/>
              <w:spacing w:after="0"/>
              <w:rPr>
                <w:sz w:val="20"/>
                <w:szCs w:val="20"/>
                <w:color w:val="auto"/>
              </w:rPr>
            </w:pPr>
            <w:r>
              <w:rPr>
                <w:rFonts w:ascii="Arial" w:cs="Arial" w:eastAsia="Arial" w:hAnsi="Arial"/>
                <w:sz w:val="16"/>
                <w:szCs w:val="16"/>
                <w:color w:val="51555C"/>
              </w:rPr>
              <w:t>$ (855,692)</w:t>
            </w:r>
          </w:p>
        </w:tc>
        <w:tc>
          <w:tcPr>
            <w:tcW w:w="40" w:type="dxa"/>
            <w:vAlign w:val="bottom"/>
            <w:tcBorders>
              <w:bottom w:val="single" w:sz="8" w:color="0CD973"/>
            </w:tcBorders>
          </w:tcPr>
          <w:p>
            <w:pPr>
              <w:spacing w:after="0"/>
              <w:rPr>
                <w:sz w:val="20"/>
                <w:szCs w:val="20"/>
                <w:color w:val="auto"/>
              </w:rPr>
            </w:pPr>
          </w:p>
        </w:tc>
        <w:tc>
          <w:tcPr>
            <w:tcW w:w="1020" w:type="dxa"/>
            <w:vAlign w:val="bottom"/>
            <w:tcBorders>
              <w:bottom w:val="single" w:sz="8" w:color="0CD973"/>
            </w:tcBorders>
            <w:gridSpan w:val="3"/>
          </w:tcPr>
          <w:p>
            <w:pPr>
              <w:jc w:val="right"/>
              <w:ind w:right="2"/>
              <w:spacing w:after="0"/>
              <w:rPr>
                <w:sz w:val="20"/>
                <w:szCs w:val="20"/>
                <w:color w:val="auto"/>
              </w:rPr>
            </w:pPr>
            <w:r>
              <w:rPr>
                <w:rFonts w:ascii="Arial" w:cs="Arial" w:eastAsia="Arial" w:hAnsi="Arial"/>
                <w:sz w:val="16"/>
                <w:szCs w:val="16"/>
                <w:color w:val="51555C"/>
              </w:rPr>
              <w:t>$1,184,338</w:t>
            </w:r>
          </w:p>
        </w:tc>
        <w:tc>
          <w:tcPr>
            <w:tcW w:w="1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tcBorders>
              <w:bottom w:val="single" w:sz="8" w:color="0CD973"/>
            </w:tcBorders>
            <w:gridSpan w:val="2"/>
          </w:tcPr>
          <w:p>
            <w:pPr>
              <w:jc w:val="right"/>
              <w:ind w:right="2"/>
              <w:spacing w:after="0"/>
              <w:rPr>
                <w:sz w:val="20"/>
                <w:szCs w:val="20"/>
                <w:color w:val="auto"/>
              </w:rPr>
            </w:pPr>
            <w:r>
              <w:rPr>
                <w:rFonts w:ascii="Arial" w:cs="Arial" w:eastAsia="Arial" w:hAnsi="Arial"/>
                <w:sz w:val="16"/>
                <w:szCs w:val="16"/>
                <w:color w:val="51555C"/>
              </w:rPr>
              <w:t>1,222</w:t>
            </w:r>
          </w:p>
        </w:tc>
        <w:tc>
          <w:tcPr>
            <w:tcW w:w="8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$ 204,115</w:t>
            </w:r>
          </w:p>
        </w:tc>
        <w:tc>
          <w:tcPr>
            <w:tcW w:w="200" w:type="dxa"/>
            <w:vAlign w:val="bottom"/>
            <w:tcBorders>
              <w:bottom w:val="single" w:sz="8" w:color="0CD973"/>
            </w:tcBorders>
          </w:tcPr>
          <w:p>
            <w:pPr>
              <w:jc w:val="right"/>
              <w:ind w:right="2"/>
              <w:spacing w:after="0"/>
              <w:rPr>
                <w:sz w:val="20"/>
                <w:szCs w:val="20"/>
                <w:color w:val="auto"/>
              </w:rPr>
            </w:pPr>
            <w:r>
              <w:rPr>
                <w:rFonts w:ascii="Arial" w:cs="Arial" w:eastAsia="Arial" w:hAnsi="Arial"/>
                <w:sz w:val="16"/>
                <w:szCs w:val="16"/>
                <w:color w:val="51555C"/>
              </w:rPr>
              <w:t>$</w:t>
            </w:r>
          </w:p>
        </w:tc>
        <w:tc>
          <w:tcPr>
            <w:tcW w:w="820" w:type="dxa"/>
            <w:vAlign w:val="bottom"/>
            <w:tcBorders>
              <w:bottom w:val="single" w:sz="8" w:color="0CD973"/>
            </w:tcBorders>
          </w:tcPr>
          <w:p>
            <w:pPr>
              <w:jc w:val="right"/>
              <w:ind w:right="1"/>
              <w:spacing w:after="0"/>
              <w:rPr>
                <w:sz w:val="20"/>
                <w:szCs w:val="20"/>
                <w:color w:val="auto"/>
              </w:rPr>
            </w:pPr>
            <w:r>
              <w:rPr>
                <w:rFonts w:ascii="Arial" w:cs="Arial" w:eastAsia="Arial" w:hAnsi="Arial"/>
                <w:sz w:val="16"/>
                <w:szCs w:val="16"/>
                <w:color w:val="51555C"/>
              </w:rPr>
              <w:t>534,054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-4645660</wp:posOffset>
            </wp:positionV>
            <wp:extent cx="22974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-1851025</wp:posOffset>
            </wp:positionV>
            <wp:extent cx="2219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0" w:lineRule="exact"/>
        <w:rPr>
          <w:sz w:val="20"/>
          <w:szCs w:val="20"/>
          <w:color w:val="auto"/>
        </w:rPr>
      </w:pPr>
    </w:p>
    <w:p>
      <w:pPr>
        <w:spacing w:after="0" w:line="262" w:lineRule="exact"/>
        <w:rPr>
          <w:sz w:val="20"/>
          <w:szCs w:val="20"/>
          <w:color w:val="auto"/>
        </w:rPr>
      </w:pPr>
    </w:p>
    <w:p>
      <w:pPr>
        <w:ind w:left="340" w:hanging="314"/>
        <w:spacing w:after="0"/>
        <w:tabs>
          <w:tab w:leader="none" w:pos="340" w:val="left"/>
        </w:tabs>
        <w:numPr>
          <w:ilvl w:val="0"/>
          <w:numId w:val="7"/>
        </w:numPr>
        <w:rPr>
          <w:rFonts w:ascii="Arial" w:cs="Arial" w:eastAsia="Arial" w:hAnsi="Arial"/>
          <w:sz w:val="14"/>
          <w:szCs w:val="14"/>
          <w:color w:val="51555C"/>
        </w:rPr>
      </w:pPr>
      <w:r>
        <w:rPr>
          <w:rFonts w:ascii="Arial" w:cs="Arial" w:eastAsia="Arial" w:hAnsi="Arial"/>
          <w:sz w:val="1"/>
          <w:szCs w:val="1"/>
          <w:color w:val="51555C"/>
        </w:rPr>
        <w:drawing>
          <wp:inline distT="0" distB="0" distL="0" distR="0">
            <wp:extent cx="651510" cy="1714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Unaudited condensed consolidated interim financial statements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2024 has been derived from the audited consolidated financial statements at that date. Operating results and cash flows for the three months ended March 31, 2025 are not necessarily indicative of the results that may be expected for the fiscal year ending December 31, 2025,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2024, and other forms filed with the SEC from time to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Reclassifications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consolidation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unaudited, condensed consolidated financial statements include the accounts of Blackbaud, Inc. and its wholly owned subsidiaries. All intercompany balances and transactions have been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Use of estimates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7</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issued accounting pronouncements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There are no recently issued accounting pronouncements that we expect to have a material impact on our consolidated financial statements when adopted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significant accounting policies</w:t>
      </w:r>
    </w:p>
    <w:p>
      <w:pPr>
        <w:spacing w:after="0" w:line="1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There have been no material changes to our significant accounting policies described in our Annual Report on Form 10-K for the year ended December 31, 2024, filed with the SEC on February 21, 2025.</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computation of basic and diluted earnings per share: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30" w:type="dxa"/>
            <w:vAlign w:val="bottom"/>
            <w:shd w:val="clear" w:color="auto" w:fill="004054"/>
          </w:tcPr>
          <w:p>
            <w:pPr>
              <w:spacing w:after="0"/>
              <w:rPr>
                <w:sz w:val="17"/>
                <w:szCs w:val="17"/>
                <w:color w:val="auto"/>
              </w:rPr>
            </w:pPr>
          </w:p>
        </w:tc>
        <w:tc>
          <w:tcPr>
            <w:tcW w:w="263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96"/>
        </w:trPr>
        <w:tc>
          <w:tcPr>
            <w:tcW w:w="8630" w:type="dxa"/>
            <w:vAlign w:val="bottom"/>
            <w:shd w:val="clear" w:color="auto" w:fill="004054"/>
          </w:tcPr>
          <w:p>
            <w:pPr>
              <w:spacing w:after="0"/>
              <w:rPr>
                <w:sz w:val="17"/>
                <w:szCs w:val="17"/>
                <w:color w:val="auto"/>
              </w:rPr>
            </w:pPr>
          </w:p>
        </w:tc>
        <w:tc>
          <w:tcPr>
            <w:tcW w:w="1310" w:type="dxa"/>
            <w:vAlign w:val="bottom"/>
            <w:shd w:val="clear" w:color="auto" w:fill="004054"/>
          </w:tcPr>
          <w:p>
            <w:pPr>
              <w:spacing w:after="0"/>
              <w:rPr>
                <w:sz w:val="17"/>
                <w:szCs w:val="17"/>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43"/>
        </w:trPr>
        <w:tc>
          <w:tcPr>
            <w:tcW w:w="863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9"/>
        </w:trPr>
        <w:tc>
          <w:tcPr>
            <w:tcW w:w="8630" w:type="dxa"/>
            <w:vAlign w:val="bottom"/>
            <w:shd w:val="clear" w:color="auto" w:fill="004054"/>
          </w:tcPr>
          <w:p>
            <w:pPr>
              <w:spacing w:after="0"/>
              <w:rPr>
                <w:sz w:val="2"/>
                <w:szCs w:val="2"/>
                <w:color w:val="auto"/>
              </w:rPr>
            </w:pPr>
          </w:p>
        </w:tc>
        <w:tc>
          <w:tcPr>
            <w:tcW w:w="1310" w:type="dxa"/>
            <w:vAlign w:val="bottom"/>
            <w:shd w:val="clear" w:color="auto" w:fill="004054"/>
          </w:tcPr>
          <w:p>
            <w:pPr>
              <w:spacing w:after="0"/>
              <w:rPr>
                <w:sz w:val="2"/>
                <w:szCs w:val="2"/>
                <w:color w:val="auto"/>
              </w:rPr>
            </w:pPr>
          </w:p>
        </w:tc>
        <w:tc>
          <w:tcPr>
            <w:tcW w:w="1320" w:type="dxa"/>
            <w:vAlign w:val="bottom"/>
            <w:shd w:val="clear" w:color="auto" w:fill="00405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-161925</wp:posOffset>
            </wp:positionV>
            <wp:extent cx="1671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51555C"/>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51555C"/>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4,867</w:t>
            </w:r>
          </w:p>
        </w:tc>
        <w:tc>
          <w:tcPr>
            <w:tcW w:w="260" w:type="dxa"/>
            <w:vAlign w:val="bottom"/>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5,246</w:t>
            </w:r>
          </w:p>
        </w:tc>
      </w:tr>
      <w:tr>
        <w:trPr>
          <w:trHeight w:val="23"/>
        </w:trPr>
        <w:tc>
          <w:tcPr>
            <w:tcW w:w="8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2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color w:val="51555C"/>
              </w:rPr>
              <w:t>Denominator:</w:t>
            </w:r>
          </w:p>
        </w:tc>
        <w:tc>
          <w:tcPr>
            <w:tcW w:w="22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r>
      <w:tr>
        <w:trPr>
          <w:trHeight w:val="247"/>
        </w:trPr>
        <w:tc>
          <w:tcPr>
            <w:tcW w:w="12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51555C"/>
              </w:rPr>
              <w:t>Weighted average common shares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48,429,061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52,052,370</w:t>
            </w:r>
          </w:p>
        </w:tc>
      </w:tr>
      <w:tr>
        <w:trPr>
          <w:trHeight w:val="23"/>
        </w:trPr>
        <w:tc>
          <w:tcPr>
            <w:tcW w:w="1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0" w:type="dxa"/>
            <w:vAlign w:val="bottom"/>
            <w:tcBorders>
              <w:bottom w:val="single" w:sz="8" w:color="EBFBFF"/>
            </w:tcBorders>
            <w:shd w:val="clear" w:color="auto" w:fill="EBFBFF"/>
          </w:tcPr>
          <w:p>
            <w:pPr>
              <w:spacing w:after="0"/>
              <w:rPr>
                <w:sz w:val="21"/>
                <w:szCs w:val="21"/>
                <w:color w:val="auto"/>
              </w:rPr>
            </w:pPr>
          </w:p>
        </w:tc>
        <w:tc>
          <w:tcPr>
            <w:tcW w:w="85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Add effect of dilutive securities:</w:t>
            </w:r>
          </w:p>
        </w:tc>
        <w:tc>
          <w:tcPr>
            <w:tcW w:w="22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r>
      <w:tr>
        <w:trPr>
          <w:trHeight w:val="247"/>
        </w:trPr>
        <w:tc>
          <w:tcPr>
            <w:tcW w:w="120" w:type="dxa"/>
            <w:vAlign w:val="bottom"/>
          </w:tcPr>
          <w:p>
            <w:pPr>
              <w:spacing w:after="0"/>
              <w:rPr>
                <w:sz w:val="21"/>
                <w:szCs w:val="21"/>
                <w:color w:val="auto"/>
              </w:rPr>
            </w:pPr>
          </w:p>
        </w:tc>
        <w:tc>
          <w:tcPr>
            <w:tcW w:w="8500" w:type="dxa"/>
            <w:vAlign w:val="bottom"/>
          </w:tcPr>
          <w:p>
            <w:pPr>
              <w:ind w:left="240"/>
              <w:spacing w:after="0"/>
              <w:rPr>
                <w:sz w:val="20"/>
                <w:szCs w:val="20"/>
                <w:color w:val="auto"/>
              </w:rPr>
            </w:pPr>
            <w:r>
              <w:rPr>
                <w:rFonts w:ascii="Arial" w:cs="Arial" w:eastAsia="Arial" w:hAnsi="Arial"/>
                <w:sz w:val="18"/>
                <w:szCs w:val="18"/>
                <w:color w:val="51555C"/>
              </w:rPr>
              <w:t>Restricted stock and units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1,016,018</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1,362,125</w:t>
            </w:r>
          </w:p>
        </w:tc>
      </w:tr>
      <w:tr>
        <w:trPr>
          <w:trHeight w:val="23"/>
        </w:trPr>
        <w:tc>
          <w:tcPr>
            <w:tcW w:w="120" w:type="dxa"/>
            <w:vAlign w:val="bottom"/>
            <w:tcBorders>
              <w:bottom w:val="single" w:sz="8" w:color="EBFBFF"/>
            </w:tcBorders>
          </w:tcPr>
          <w:p>
            <w:pPr>
              <w:spacing w:after="0"/>
              <w:rPr>
                <w:sz w:val="2"/>
                <w:szCs w:val="2"/>
                <w:color w:val="auto"/>
              </w:rPr>
            </w:pPr>
          </w:p>
        </w:tc>
        <w:tc>
          <w:tcPr>
            <w:tcW w:w="850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r>
      <w:tr>
        <w:trPr>
          <w:trHeight w:val="264"/>
        </w:trPr>
        <w:tc>
          <w:tcPr>
            <w:tcW w:w="120" w:type="dxa"/>
            <w:vAlign w:val="bottom"/>
            <w:tcBorders>
              <w:bottom w:val="single" w:sz="8" w:color="EBFBFF"/>
            </w:tcBorders>
            <w:shd w:val="clear" w:color="auto" w:fill="EBFBFF"/>
          </w:tcPr>
          <w:p>
            <w:pPr>
              <w:spacing w:after="0"/>
              <w:rPr>
                <w:sz w:val="22"/>
                <w:szCs w:val="22"/>
                <w:color w:val="auto"/>
              </w:rPr>
            </w:pPr>
          </w:p>
        </w:tc>
        <w:tc>
          <w:tcPr>
            <w:tcW w:w="85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Weighted average common shares assuming dilution</w:t>
            </w:r>
          </w:p>
        </w:tc>
        <w:tc>
          <w:tcPr>
            <w:tcW w:w="220" w:type="dxa"/>
            <w:vAlign w:val="bottom"/>
            <w:tcBorders>
              <w:bottom w:val="single" w:sz="8" w:color="EBFBFF"/>
            </w:tcBorders>
            <w:shd w:val="clear" w:color="auto" w:fill="EBFBFF"/>
          </w:tcPr>
          <w:p>
            <w:pPr>
              <w:spacing w:after="0"/>
              <w:rPr>
                <w:sz w:val="22"/>
                <w:szCs w:val="22"/>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49,445,079</w:t>
            </w:r>
          </w:p>
        </w:tc>
        <w:tc>
          <w:tcPr>
            <w:tcW w:w="26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53,414,495</w:t>
            </w:r>
          </w:p>
        </w:tc>
      </w:tr>
      <w:tr>
        <w:trPr>
          <w:trHeight w:val="227"/>
        </w:trPr>
        <w:tc>
          <w:tcPr>
            <w:tcW w:w="8620" w:type="dxa"/>
            <w:vAlign w:val="bottom"/>
            <w:gridSpan w:val="2"/>
          </w:tcPr>
          <w:p>
            <w:pPr>
              <w:ind w:left="20"/>
              <w:spacing w:after="0"/>
              <w:rPr>
                <w:sz w:val="20"/>
                <w:szCs w:val="20"/>
                <w:color w:val="auto"/>
              </w:rPr>
            </w:pPr>
            <w:r>
              <w:rPr>
                <w:rFonts w:ascii="Arial" w:cs="Arial" w:eastAsia="Arial" w:hAnsi="Arial"/>
                <w:sz w:val="18"/>
                <w:szCs w:val="18"/>
                <w:color w:val="51555C"/>
              </w:rPr>
              <w:t>Earnings per share</w:t>
            </w:r>
          </w:p>
        </w:tc>
        <w:tc>
          <w:tcPr>
            <w:tcW w:w="22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c>
          <w:tcPr>
            <w:tcW w:w="26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r>
      <w:tr>
        <w:trPr>
          <w:trHeight w:val="23"/>
        </w:trPr>
        <w:tc>
          <w:tcPr>
            <w:tcW w:w="1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0" w:type="dxa"/>
            <w:vAlign w:val="bottom"/>
            <w:tcBorders>
              <w:bottom w:val="single" w:sz="8" w:color="EBFBFF"/>
            </w:tcBorders>
            <w:shd w:val="clear" w:color="auto" w:fill="EBFBFF"/>
          </w:tcPr>
          <w:p>
            <w:pPr>
              <w:spacing w:after="0"/>
              <w:rPr>
                <w:sz w:val="21"/>
                <w:szCs w:val="21"/>
                <w:color w:val="auto"/>
              </w:rPr>
            </w:pPr>
          </w:p>
        </w:tc>
        <w:tc>
          <w:tcPr>
            <w:tcW w:w="85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Basic</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0.10</w:t>
            </w:r>
          </w:p>
        </w:tc>
        <w:tc>
          <w:tcPr>
            <w:tcW w:w="26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0.10</w:t>
            </w:r>
          </w:p>
        </w:tc>
      </w:tr>
      <w:tr>
        <w:trPr>
          <w:trHeight w:val="247"/>
        </w:trPr>
        <w:tc>
          <w:tcPr>
            <w:tcW w:w="12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51555C"/>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0.10</w:t>
            </w:r>
          </w:p>
        </w:tc>
        <w:tc>
          <w:tcPr>
            <w:tcW w:w="260" w:type="dxa"/>
            <w:vAlign w:val="bottom"/>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0.10</w:t>
            </w:r>
          </w:p>
        </w:tc>
      </w:tr>
      <w:tr>
        <w:trPr>
          <w:trHeight w:val="23"/>
        </w:trPr>
        <w:tc>
          <w:tcPr>
            <w:tcW w:w="8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20" w:type="dxa"/>
            <w:vAlign w:val="bottom"/>
            <w:gridSpan w:val="2"/>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r>
      <w:tr>
        <w:trPr>
          <w:trHeight w:val="247"/>
        </w:trPr>
        <w:tc>
          <w:tcPr>
            <w:tcW w:w="8620" w:type="dxa"/>
            <w:vAlign w:val="bottom"/>
            <w:gridSpan w:val="2"/>
          </w:tcPr>
          <w:p>
            <w:pPr>
              <w:ind w:left="20"/>
              <w:spacing w:after="0"/>
              <w:rPr>
                <w:sz w:val="20"/>
                <w:szCs w:val="20"/>
                <w:color w:val="auto"/>
              </w:rPr>
            </w:pPr>
            <w:r>
              <w:rPr>
                <w:rFonts w:ascii="Arial" w:cs="Arial" w:eastAsia="Arial" w:hAnsi="Arial"/>
                <w:sz w:val="18"/>
                <w:szCs w:val="18"/>
                <w:color w:val="51555C"/>
              </w:rPr>
              <w:t>Anti-dilutive shares excluded from calculations of diluted earnings per share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633,805</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622,902</w:t>
            </w:r>
          </w:p>
        </w:tc>
      </w:tr>
      <w:tr>
        <w:trPr>
          <w:trHeight w:val="23"/>
        </w:trPr>
        <w:tc>
          <w:tcPr>
            <w:tcW w:w="120" w:type="dxa"/>
            <w:vAlign w:val="bottom"/>
            <w:tcBorders>
              <w:bottom w:val="single" w:sz="8" w:color="0CD973"/>
            </w:tcBorders>
          </w:tcPr>
          <w:p>
            <w:pPr>
              <w:spacing w:after="0"/>
              <w:rPr>
                <w:sz w:val="2"/>
                <w:szCs w:val="2"/>
                <w:color w:val="auto"/>
              </w:rPr>
            </w:pPr>
          </w:p>
        </w:tc>
        <w:tc>
          <w:tcPr>
            <w:tcW w:w="85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r>
      <w:tr>
        <w:trPr>
          <w:trHeight w:val="687"/>
        </w:trPr>
        <w:tc>
          <w:tcPr>
            <w:tcW w:w="120" w:type="dxa"/>
            <w:vAlign w:val="bottom"/>
          </w:tcPr>
          <w:p>
            <w:pPr>
              <w:ind w:left="20"/>
              <w:spacing w:after="0"/>
              <w:rPr>
                <w:sz w:val="20"/>
                <w:szCs w:val="20"/>
                <w:color w:val="auto"/>
              </w:rPr>
            </w:pPr>
            <w:r>
              <w:rPr>
                <w:rFonts w:ascii="Arial" w:cs="Arial" w:eastAsia="Arial" w:hAnsi="Arial"/>
                <w:sz w:val="14"/>
                <w:szCs w:val="14"/>
                <w:color w:val="51555C"/>
              </w:rPr>
              <w:t>8</w:t>
            </w:r>
          </w:p>
        </w:tc>
        <w:tc>
          <w:tcPr>
            <w:tcW w:w="8500" w:type="dxa"/>
            <w:vAlign w:val="bottom"/>
          </w:tcPr>
          <w:p>
            <w:pPr>
              <w:ind w:left="1520"/>
              <w:spacing w:after="0"/>
              <w:rPr>
                <w:sz w:val="20"/>
                <w:szCs w:val="20"/>
                <w:color w:val="auto"/>
              </w:rPr>
            </w:pPr>
            <w:r>
              <w:rPr>
                <w:rFonts w:ascii="Arial" w:cs="Arial" w:eastAsia="Arial" w:hAnsi="Arial"/>
                <w:sz w:val="14"/>
                <w:szCs w:val="14"/>
                <w:color w:val="51555C"/>
              </w:rPr>
              <w:t>First Quarter 2025 Form 10-Q</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6"/>
        </w:trPr>
        <w:tc>
          <w:tcPr>
            <w:tcW w:w="12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4.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51555C"/>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Level 1 - Quoted prices for identical assets or liabilities in active markets;</w:t>
      </w:r>
    </w:p>
    <w:p>
      <w:pPr>
        <w:spacing w:after="0" w:line="171" w:lineRule="exact"/>
        <w:rPr>
          <w:rFonts w:ascii="Arial" w:cs="Arial" w:eastAsia="Arial" w:hAnsi="Arial"/>
          <w:sz w:val="18"/>
          <w:szCs w:val="18"/>
          <w:color w:val="51555C"/>
        </w:rPr>
      </w:pPr>
    </w:p>
    <w:p>
      <w:pPr>
        <w:jc w:val="both"/>
        <w:ind w:left="740" w:right="20" w:hanging="327"/>
        <w:spacing w:after="0" w:line="268" w:lineRule="auto"/>
        <w:tabs>
          <w:tab w:leader="none" w:pos="708"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16" w:lineRule="exact"/>
        <w:rPr>
          <w:rFonts w:ascii="Arial" w:cs="Arial" w:eastAsia="Arial" w:hAnsi="Arial"/>
          <w:sz w:val="18"/>
          <w:szCs w:val="18"/>
          <w:color w:val="51555C"/>
        </w:rPr>
      </w:pPr>
    </w:p>
    <w:p>
      <w:pPr>
        <w:ind w:left="700" w:hanging="287"/>
        <w:spacing w:after="0"/>
        <w:tabs>
          <w:tab w:leader="none" w:pos="70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Level 3 - Valuations derived from valuation techniques in which one or more significant inputs are unobservable.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Financial assets and liabilities that are measured at fair value on a recurring basis consisted of the following, as of the dates indicated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32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2980" w:type="dxa"/>
            <w:vAlign w:val="bottom"/>
            <w:gridSpan w:val="4"/>
            <w:shd w:val="clear" w:color="auto" w:fill="004054"/>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004054"/>
          </w:tcPr>
          <w:p>
            <w:pPr>
              <w:spacing w:after="0"/>
              <w:rPr>
                <w:sz w:val="19"/>
                <w:szCs w:val="19"/>
                <w:color w:val="auto"/>
              </w:rPr>
            </w:pPr>
          </w:p>
        </w:tc>
        <w:tc>
          <w:tcPr>
            <w:tcW w:w="50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Quoted Prices in</w:t>
            </w:r>
          </w:p>
        </w:tc>
        <w:tc>
          <w:tcPr>
            <w:tcW w:w="1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36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440" w:type="dxa"/>
            <w:vAlign w:val="bottom"/>
            <w:shd w:val="clear" w:color="auto" w:fill="004054"/>
          </w:tcPr>
          <w:p>
            <w:pPr>
              <w:spacing w:after="0"/>
              <w:rPr>
                <w:sz w:val="19"/>
                <w:szCs w:val="19"/>
                <w:color w:val="auto"/>
              </w:rPr>
            </w:pPr>
          </w:p>
        </w:tc>
        <w:tc>
          <w:tcPr>
            <w:tcW w:w="108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50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Active Markets for</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004054"/>
          </w:tcPr>
          <w:p>
            <w:pPr>
              <w:spacing w:after="0"/>
              <w:rPr>
                <w:sz w:val="15"/>
                <w:szCs w:val="15"/>
                <w:color w:val="auto"/>
              </w:rPr>
            </w:pPr>
          </w:p>
        </w:tc>
        <w:tc>
          <w:tcPr>
            <w:tcW w:w="15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Identical Assets and</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 Other</w:t>
            </w: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Liabilities</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Observable Inputs</w:t>
            </w:r>
          </w:p>
        </w:tc>
        <w:tc>
          <w:tcPr>
            <w:tcW w:w="100" w:type="dxa"/>
            <w:vAlign w:val="bottom"/>
            <w:shd w:val="clear" w:color="auto" w:fill="004054"/>
          </w:tcPr>
          <w:p>
            <w:pPr>
              <w:spacing w:after="0"/>
              <w:rPr>
                <w:sz w:val="15"/>
                <w:szCs w:val="15"/>
                <w:color w:val="auto"/>
              </w:rPr>
            </w:pPr>
          </w:p>
        </w:tc>
        <w:tc>
          <w:tcPr>
            <w:tcW w:w="152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Unobservable Inputs</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00" w:type="dxa"/>
            <w:vAlign w:val="bottom"/>
            <w:vMerge w:val="continue"/>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1)</w:t>
            </w:r>
          </w:p>
        </w:tc>
        <w:tc>
          <w:tcPr>
            <w:tcW w:w="1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2)</w:t>
            </w:r>
          </w:p>
        </w:tc>
        <w:tc>
          <w:tcPr>
            <w:tcW w:w="10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shd w:val="clear" w:color="auto" w:fill="004054"/>
          </w:tcPr>
          <w:p>
            <w:pPr>
              <w:spacing w:after="0"/>
              <w:rPr>
                <w:sz w:val="18"/>
                <w:szCs w:val="18"/>
                <w:color w:val="auto"/>
              </w:rPr>
            </w:pPr>
          </w:p>
        </w:tc>
        <w:tc>
          <w:tcPr>
            <w:tcW w:w="500" w:type="dxa"/>
            <w:vAlign w:val="bottom"/>
            <w:shd w:val="clear" w:color="auto" w:fill="004054"/>
          </w:tcPr>
          <w:p>
            <w:pPr>
              <w:spacing w:after="0"/>
              <w:rPr>
                <w:sz w:val="18"/>
                <w:szCs w:val="18"/>
                <w:color w:val="auto"/>
              </w:rPr>
            </w:pPr>
          </w:p>
        </w:tc>
        <w:tc>
          <w:tcPr>
            <w:tcW w:w="1000" w:type="dxa"/>
            <w:vAlign w:val="bottom"/>
            <w:vMerge w:val="continue"/>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March 31, 2025</w:t>
            </w:r>
          </w:p>
        </w:tc>
        <w:tc>
          <w:tcPr>
            <w:tcW w:w="18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3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10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51555C"/>
              </w:rPr>
              <w:t>Financial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2,798</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719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51555C"/>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3,517</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March 31, 2025</w:t>
            </w:r>
          </w:p>
        </w:tc>
        <w:tc>
          <w:tcPr>
            <w:tcW w:w="18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3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10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51555C"/>
              </w:rPr>
              <w:t>Financial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264</w:t>
            </w:r>
          </w:p>
        </w:tc>
        <w:tc>
          <w:tcPr>
            <w:tcW w:w="10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liabilities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0"/>
                <w:szCs w:val="20"/>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264</w:t>
            </w:r>
          </w:p>
        </w:tc>
        <w:tc>
          <w:tcPr>
            <w:tcW w:w="100" w:type="dxa"/>
            <w:vAlign w:val="bottom"/>
          </w:tcPr>
          <w:p>
            <w:pPr>
              <w:spacing w:after="0"/>
              <w:rPr>
                <w:sz w:val="20"/>
                <w:szCs w:val="20"/>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ind w:left="820"/>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3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10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900" w:type="dxa"/>
            <w:vAlign w:val="bottom"/>
          </w:tcPr>
          <w:p>
            <w:pPr>
              <w:ind w:left="20"/>
              <w:spacing w:after="0"/>
              <w:rPr>
                <w:sz w:val="20"/>
                <w:szCs w:val="20"/>
                <w:color w:val="auto"/>
              </w:rPr>
            </w:pPr>
            <w:r>
              <w:rPr>
                <w:rFonts w:ascii="Arial" w:cs="Arial" w:eastAsia="Arial" w:hAnsi="Arial"/>
                <w:sz w:val="18"/>
                <w:szCs w:val="18"/>
                <w:b w:val="1"/>
                <w:bCs w:val="1"/>
                <w:color w:val="51555C"/>
              </w:rPr>
              <w:t>Fair value as of December 31, 2024</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Financial assets:</w:t>
            </w:r>
          </w:p>
        </w:tc>
        <w:tc>
          <w:tcPr>
            <w:tcW w:w="180" w:type="dxa"/>
            <w:vAlign w:val="bottom"/>
            <w:tcBorders>
              <w:bottom w:val="single" w:sz="8" w:color="EBFBFF"/>
            </w:tcBorders>
            <w:shd w:val="clear" w:color="auto" w:fill="EBFBFF"/>
          </w:tcPr>
          <w:p>
            <w:pPr>
              <w:spacing w:after="0"/>
              <w:rPr>
                <w:sz w:val="22"/>
                <w:szCs w:val="22"/>
                <w:color w:val="auto"/>
              </w:rPr>
            </w:pPr>
          </w:p>
        </w:tc>
        <w:tc>
          <w:tcPr>
            <w:tcW w:w="1320" w:type="dxa"/>
            <w:vAlign w:val="bottom"/>
            <w:tcBorders>
              <w:bottom w:val="single" w:sz="8" w:color="EBFBFF"/>
            </w:tcBorders>
            <w:shd w:val="clear" w:color="auto" w:fill="EBFBFF"/>
          </w:tcPr>
          <w:p>
            <w:pPr>
              <w:spacing w:after="0"/>
              <w:rPr>
                <w:sz w:val="22"/>
                <w:szCs w:val="22"/>
                <w:color w:val="auto"/>
              </w:rPr>
            </w:pPr>
          </w:p>
        </w:tc>
        <w:tc>
          <w:tcPr>
            <w:tcW w:w="120" w:type="dxa"/>
            <w:vAlign w:val="bottom"/>
            <w:tcBorders>
              <w:bottom w:val="single" w:sz="8" w:color="EBFBFF"/>
            </w:tcBorders>
            <w:shd w:val="clear" w:color="auto" w:fill="EBFBFF"/>
          </w:tcPr>
          <w:p>
            <w:pPr>
              <w:spacing w:after="0"/>
              <w:rPr>
                <w:sz w:val="22"/>
                <w:szCs w:val="22"/>
                <w:color w:val="auto"/>
              </w:rPr>
            </w:pPr>
          </w:p>
        </w:tc>
        <w:tc>
          <w:tcPr>
            <w:tcW w:w="140" w:type="dxa"/>
            <w:vAlign w:val="bottom"/>
            <w:tcBorders>
              <w:bottom w:val="single" w:sz="8" w:color="EBFBFF"/>
            </w:tcBorders>
            <w:shd w:val="clear" w:color="auto" w:fill="EBFBFF"/>
          </w:tcPr>
          <w:p>
            <w:pPr>
              <w:spacing w:after="0"/>
              <w:rPr>
                <w:sz w:val="22"/>
                <w:szCs w:val="22"/>
                <w:color w:val="auto"/>
              </w:rPr>
            </w:pPr>
          </w:p>
        </w:tc>
        <w:tc>
          <w:tcPr>
            <w:tcW w:w="1360" w:type="dxa"/>
            <w:vAlign w:val="bottom"/>
            <w:tcBorders>
              <w:bottom w:val="single" w:sz="8" w:color="EBFBFF"/>
            </w:tcBorders>
            <w:shd w:val="clear" w:color="auto" w:fill="EBFBFF"/>
          </w:tcPr>
          <w:p>
            <w:pPr>
              <w:spacing w:after="0"/>
              <w:rPr>
                <w:sz w:val="22"/>
                <w:szCs w:val="22"/>
                <w:color w:val="auto"/>
              </w:rPr>
            </w:pPr>
          </w:p>
        </w:tc>
        <w:tc>
          <w:tcPr>
            <w:tcW w:w="100" w:type="dxa"/>
            <w:vAlign w:val="bottom"/>
            <w:tcBorders>
              <w:bottom w:val="single" w:sz="8" w:color="EBFBFF"/>
            </w:tcBorders>
            <w:shd w:val="clear" w:color="auto" w:fill="EBFBFF"/>
          </w:tcPr>
          <w:p>
            <w:pPr>
              <w:spacing w:after="0"/>
              <w:rPr>
                <w:sz w:val="22"/>
                <w:szCs w:val="22"/>
                <w:color w:val="auto"/>
              </w:rPr>
            </w:pPr>
          </w:p>
        </w:tc>
        <w:tc>
          <w:tcPr>
            <w:tcW w:w="44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spacing w:after="0"/>
              <w:rPr>
                <w:sz w:val="22"/>
                <w:szCs w:val="22"/>
                <w:color w:val="auto"/>
              </w:rPr>
            </w:pPr>
          </w:p>
        </w:tc>
        <w:tc>
          <w:tcPr>
            <w:tcW w:w="100" w:type="dxa"/>
            <w:vAlign w:val="bottom"/>
            <w:tcBorders>
              <w:bottom w:val="single" w:sz="8" w:color="EBFBFF"/>
            </w:tcBorders>
            <w:shd w:val="clear" w:color="auto" w:fill="EBFBFF"/>
          </w:tcPr>
          <w:p>
            <w:pPr>
              <w:spacing w:after="0"/>
              <w:rPr>
                <w:sz w:val="22"/>
                <w:szCs w:val="22"/>
                <w:color w:val="auto"/>
              </w:rPr>
            </w:pPr>
          </w:p>
        </w:tc>
        <w:tc>
          <w:tcPr>
            <w:tcW w:w="50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51555C"/>
              </w:rPr>
              <w:t>9,262</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51555C"/>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51555C"/>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9,262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spacing w:after="0"/>
              <w:rPr>
                <w:sz w:val="23"/>
                <w:szCs w:val="23"/>
                <w:color w:val="auto"/>
              </w:rPr>
            </w:pP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3"/>
                <w:szCs w:val="23"/>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1,288</w:t>
            </w:r>
          </w:p>
        </w:tc>
        <w:tc>
          <w:tcPr>
            <w:tcW w:w="10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0"/>
                <w:szCs w:val="20"/>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10,550</w:t>
            </w:r>
          </w:p>
        </w:tc>
        <w:tc>
          <w:tcPr>
            <w:tcW w:w="100" w:type="dxa"/>
            <w:vAlign w:val="bottom"/>
          </w:tcPr>
          <w:p>
            <w:pPr>
              <w:spacing w:after="0"/>
              <w:rPr>
                <w:sz w:val="20"/>
                <w:szCs w:val="20"/>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ind w:left="820"/>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3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-3376930</wp:posOffset>
            </wp:positionV>
            <wp:extent cx="30086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 xml:space="preserve">Our derivative instruments within the scope of Accounting Standards Codification ("ASC") 815, </w:t>
      </w:r>
      <w:r>
        <w:rPr>
          <w:rFonts w:ascii="Arial" w:cs="Arial" w:eastAsia="Arial" w:hAnsi="Arial"/>
          <w:sz w:val="18"/>
          <w:szCs w:val="18"/>
          <w:i w:val="1"/>
          <w:iCs w:val="1"/>
          <w:color w:val="51555C"/>
        </w:rPr>
        <w:t>Derivatives and Hedging</w:t>
      </w:r>
      <w:r>
        <w:rPr>
          <w:rFonts w:ascii="Arial" w:cs="Arial" w:eastAsia="Arial" w:hAnsi="Arial"/>
          <w:sz w:val="18"/>
          <w:szCs w:val="18"/>
          <w:color w:val="51555C"/>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spacing w:after="0" w:line="12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51555C"/>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believe the carrying amounts of our cash and cash equivalents, restricted cash, accounts receivable, trade accounts payable, accrued expenses and other current liabilities and due to customers approximate their fair values at March 31, 2025 and December 31, 2024, due to the immediate or short-term maturity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205740</wp:posOffset>
            </wp:positionV>
            <wp:extent cx="65976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9</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We believe the carrying amount of our debt approximates its fair value at March 31, 2025 and December 31, 2024,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spacing w:after="0" w:line="122"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51555C"/>
        </w:rPr>
        <w:t xml:space="preserve">We did not transfer any assets or liabilities among the levels within the fair value hierarchy during the three months ended March 31, 2025. </w:t>
      </w:r>
      <w:r>
        <w:rPr>
          <w:rFonts w:ascii="Arial" w:cs="Arial" w:eastAsia="Arial" w:hAnsi="Arial"/>
          <w:sz w:val="18"/>
          <w:szCs w:val="18"/>
          <w:b w:val="1"/>
          <w:bCs w:val="1"/>
          <w:color w:val="51555C"/>
        </w:rPr>
        <w:t>Non-recurring fair value measurements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There were no significant non-recurring fair value adjustments to our long-lived assets, intangible assets, goodwill or operating lease ROU assets during the three months ended March 31, 2025.</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5.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cash</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tcBorders>
              <w:bottom w:val="single" w:sz="8" w:color="004054"/>
            </w:tcBorders>
            <w:shd w:val="clear" w:color="auto" w:fill="004054"/>
          </w:tcPr>
          <w:p>
            <w:pPr>
              <w:spacing w:after="0"/>
              <w:rPr>
                <w:sz w:val="17"/>
                <w:szCs w:val="17"/>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cash due to customers</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418,258</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740,370</w:t>
            </w:r>
          </w:p>
        </w:tc>
        <w:tc>
          <w:tcPr>
            <w:tcW w:w="20" w:type="dxa"/>
            <w:vAlign w:val="bottom"/>
          </w:tcPr>
          <w:p>
            <w:pPr>
              <w:spacing w:after="0"/>
              <w:rPr>
                <w:sz w:val="21"/>
                <w:szCs w:val="21"/>
                <w:color w:val="auto"/>
              </w:rPr>
            </w:pPr>
          </w:p>
        </w:tc>
      </w:tr>
      <w:tr>
        <w:trPr>
          <w:trHeight w:val="301"/>
        </w:trPr>
        <w:tc>
          <w:tcPr>
            <w:tcW w:w="8160" w:type="dxa"/>
            <w:vAlign w:val="bottom"/>
          </w:tcPr>
          <w:p>
            <w:pPr>
              <w:ind w:left="20"/>
              <w:spacing w:after="0"/>
              <w:rPr>
                <w:sz w:val="20"/>
                <w:szCs w:val="20"/>
                <w:color w:val="auto"/>
              </w:rPr>
            </w:pPr>
            <w:r>
              <w:rPr>
                <w:rFonts w:ascii="Arial" w:cs="Arial" w:eastAsia="Arial" w:hAnsi="Arial"/>
                <w:sz w:val="18"/>
                <w:szCs w:val="18"/>
                <w:color w:val="51555C"/>
              </w:rPr>
              <w:t>Real estate escrow balances and other</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1,142</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1,514</w:t>
            </w:r>
          </w:p>
        </w:tc>
        <w:tc>
          <w:tcPr>
            <w:tcW w:w="20" w:type="dxa"/>
            <w:vAlign w:val="bottom"/>
          </w:tcPr>
          <w:p>
            <w:pPr>
              <w:spacing w:after="0"/>
              <w:rPr>
                <w:sz w:val="24"/>
                <w:szCs w:val="24"/>
                <w:color w:val="auto"/>
              </w:rPr>
            </w:pPr>
          </w:p>
        </w:tc>
      </w:tr>
      <w:tr>
        <w:trPr>
          <w:trHeight w:val="23"/>
        </w:trPr>
        <w:tc>
          <w:tcPr>
            <w:tcW w:w="816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8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restricted cash</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419,400</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741,884</w:t>
            </w:r>
          </w:p>
        </w:tc>
        <w:tc>
          <w:tcPr>
            <w:tcW w:w="20" w:type="dxa"/>
            <w:vAlign w:val="bottom"/>
          </w:tcPr>
          <w:p>
            <w:pPr>
              <w:spacing w:after="0"/>
              <w:rPr>
                <w:sz w:val="22"/>
                <w:szCs w:val="22"/>
                <w:color w:val="auto"/>
              </w:rPr>
            </w:pPr>
          </w:p>
        </w:tc>
      </w:tr>
      <w:tr>
        <w:trPr>
          <w:trHeight w:val="478"/>
        </w:trPr>
        <w:tc>
          <w:tcPr>
            <w:tcW w:w="8160" w:type="dxa"/>
            <w:vAlign w:val="bottom"/>
            <w:tcBorders>
              <w:top w:val="single" w:sz="8" w:color="0CD973"/>
            </w:tcBorders>
          </w:tcPr>
          <w:p>
            <w:pPr>
              <w:spacing w:after="0"/>
              <w:rPr>
                <w:sz w:val="20"/>
                <w:szCs w:val="20"/>
                <w:color w:val="auto"/>
              </w:rPr>
            </w:pPr>
            <w:r>
              <w:rPr>
                <w:rFonts w:ascii="Arial" w:cs="Arial" w:eastAsia="Arial" w:hAnsi="Arial"/>
                <w:sz w:val="18"/>
                <w:szCs w:val="18"/>
                <w:b w:val="1"/>
                <w:bCs w:val="1"/>
                <w:color w:val="51555C"/>
              </w:rPr>
              <w:t>Prepaid expenses and other assets</w:t>
            </w:r>
          </w:p>
        </w:tc>
        <w:tc>
          <w:tcPr>
            <w:tcW w:w="46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36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69"/>
        </w:trPr>
        <w:tc>
          <w:tcPr>
            <w:tcW w:w="8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7"/>
        </w:trPr>
        <w:tc>
          <w:tcPr>
            <w:tcW w:w="816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tcBorders>
              <w:bottom w:val="single" w:sz="8" w:color="004054"/>
            </w:tcBorders>
            <w:shd w:val="clear" w:color="auto" w:fill="004054"/>
          </w:tcPr>
          <w:p>
            <w:pPr>
              <w:spacing w:after="0"/>
              <w:rPr>
                <w:sz w:val="17"/>
                <w:szCs w:val="17"/>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Costs of obtaining contracts</w:t>
            </w:r>
            <w:r>
              <w:rPr>
                <w:rFonts w:ascii="Arial" w:cs="Arial" w:eastAsia="Arial" w:hAnsi="Arial"/>
                <w:sz w:val="23"/>
                <w:szCs w:val="23"/>
                <w:color w:val="51555C"/>
                <w:vertAlign w:val="superscript"/>
              </w:rPr>
              <w:t>(1)(2)</w:t>
            </w:r>
          </w:p>
        </w:tc>
        <w:tc>
          <w:tcPr>
            <w:tcW w:w="460" w:type="dxa"/>
            <w:vAlign w:val="bottom"/>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56,945</w:t>
            </w:r>
          </w:p>
        </w:tc>
        <w:tc>
          <w:tcPr>
            <w:tcW w:w="360" w:type="dxa"/>
            <w:vAlign w:val="bottom"/>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57,911</w:t>
            </w:r>
          </w:p>
        </w:tc>
        <w:tc>
          <w:tcPr>
            <w:tcW w:w="20" w:type="dxa"/>
            <w:vAlign w:val="bottom"/>
          </w:tcPr>
          <w:p>
            <w:pPr>
              <w:spacing w:after="0"/>
              <w:rPr>
                <w:sz w:val="24"/>
                <w:szCs w:val="24"/>
                <w:color w:val="auto"/>
              </w:rPr>
            </w:pPr>
          </w:p>
        </w:tc>
      </w:tr>
      <w:tr>
        <w:trPr>
          <w:trHeight w:val="324"/>
        </w:trPr>
        <w:tc>
          <w:tcPr>
            <w:tcW w:w="8160" w:type="dxa"/>
            <w:vAlign w:val="bottom"/>
          </w:tcPr>
          <w:p>
            <w:pPr>
              <w:ind w:left="20"/>
              <w:spacing w:after="0"/>
              <w:rPr>
                <w:sz w:val="20"/>
                <w:szCs w:val="20"/>
                <w:color w:val="auto"/>
              </w:rPr>
            </w:pPr>
            <w:r>
              <w:rPr>
                <w:rFonts w:ascii="Arial" w:cs="Arial" w:eastAsia="Arial" w:hAnsi="Arial"/>
                <w:sz w:val="18"/>
                <w:szCs w:val="18"/>
                <w:color w:val="51555C"/>
              </w:rPr>
              <w:t>Prepaid software maintenance and subscriptions</w:t>
            </w:r>
            <w:r>
              <w:rPr>
                <w:rFonts w:ascii="Arial" w:cs="Arial" w:eastAsia="Arial" w:hAnsi="Arial"/>
                <w:sz w:val="23"/>
                <w:szCs w:val="23"/>
                <w:color w:val="51555C"/>
                <w:vertAlign w:val="superscript"/>
              </w:rPr>
              <w:t>(3)</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36,321</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36,277</w:t>
            </w:r>
          </w:p>
        </w:tc>
        <w:tc>
          <w:tcPr>
            <w:tcW w:w="20" w:type="dxa"/>
            <w:vAlign w:val="bottom"/>
          </w:tcPr>
          <w:p>
            <w:pPr>
              <w:spacing w:after="0"/>
              <w:rPr>
                <w:sz w:val="24"/>
                <w:szCs w:val="24"/>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Implementation costs for cloud computing arrangements, net</w:t>
            </w:r>
            <w:r>
              <w:rPr>
                <w:rFonts w:ascii="Arial" w:cs="Arial" w:eastAsia="Arial" w:hAnsi="Arial"/>
                <w:sz w:val="23"/>
                <w:szCs w:val="23"/>
                <w:color w:val="51555C"/>
                <w:vertAlign w:val="superscript"/>
              </w:rPr>
              <w:t>(4)(5)</w:t>
            </w:r>
          </w:p>
        </w:tc>
        <w:tc>
          <w:tcPr>
            <w:tcW w:w="460" w:type="dxa"/>
            <w:vAlign w:val="bottom"/>
            <w:shd w:val="clear" w:color="auto" w:fill="EBFBFF"/>
          </w:tcPr>
          <w:p>
            <w:pPr>
              <w:spacing w:after="0"/>
              <w:rPr>
                <w:sz w:val="24"/>
                <w:szCs w:val="24"/>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10,321</w:t>
            </w: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10,450</w:t>
            </w:r>
          </w:p>
        </w:tc>
        <w:tc>
          <w:tcPr>
            <w:tcW w:w="20" w:type="dxa"/>
            <w:vAlign w:val="bottom"/>
          </w:tcPr>
          <w:p>
            <w:pPr>
              <w:spacing w:after="0"/>
              <w:rPr>
                <w:sz w:val="24"/>
                <w:szCs w:val="24"/>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Unbilled accounts receivable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8,699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7,067</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Prepaid insurance</w:t>
            </w:r>
          </w:p>
        </w:tc>
        <w:tc>
          <w:tcPr>
            <w:tcW w:w="4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5,754</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3,027</w:t>
            </w:r>
          </w:p>
        </w:tc>
        <w:tc>
          <w:tcPr>
            <w:tcW w:w="20" w:type="dxa"/>
            <w:vAlign w:val="bottom"/>
          </w:tcPr>
          <w:p>
            <w:pPr>
              <w:spacing w:after="0"/>
              <w:rPr>
                <w:sz w:val="21"/>
                <w:szCs w:val="21"/>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Taxes, prepaid and receivable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5,434</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4,257</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Investment in equity securities</w:t>
            </w:r>
            <w:r>
              <w:rPr>
                <w:rFonts w:ascii="Arial" w:cs="Arial" w:eastAsia="Arial" w:hAnsi="Arial"/>
                <w:sz w:val="23"/>
                <w:szCs w:val="23"/>
                <w:color w:val="51555C"/>
                <w:vertAlign w:val="superscript"/>
              </w:rPr>
              <w:t>(6)</w:t>
            </w:r>
          </w:p>
        </w:tc>
        <w:tc>
          <w:tcPr>
            <w:tcW w:w="460" w:type="dxa"/>
            <w:vAlign w:val="bottom"/>
            <w:shd w:val="clear" w:color="auto" w:fill="EBFBFF"/>
          </w:tcPr>
          <w:p>
            <w:pPr>
              <w:spacing w:after="0"/>
              <w:rPr>
                <w:sz w:val="24"/>
                <w:szCs w:val="24"/>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4,943</w:t>
            </w: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4,943</w:t>
            </w:r>
          </w:p>
        </w:tc>
        <w:tc>
          <w:tcPr>
            <w:tcW w:w="20" w:type="dxa"/>
            <w:vAlign w:val="bottom"/>
          </w:tcPr>
          <w:p>
            <w:pPr>
              <w:spacing w:after="0"/>
              <w:rPr>
                <w:sz w:val="24"/>
                <w:szCs w:val="24"/>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3,517</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10,550</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assets</w:t>
            </w:r>
          </w:p>
        </w:tc>
        <w:tc>
          <w:tcPr>
            <w:tcW w:w="4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13,518</w:t>
            </w:r>
          </w:p>
        </w:tc>
        <w:tc>
          <w:tcPr>
            <w:tcW w:w="3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14,026</w:t>
            </w:r>
          </w:p>
        </w:tc>
        <w:tc>
          <w:tcPr>
            <w:tcW w:w="20" w:type="dxa"/>
            <w:vAlign w:val="bottom"/>
          </w:tcPr>
          <w:p>
            <w:pPr>
              <w:spacing w:after="0"/>
              <w:rPr>
                <w:sz w:val="23"/>
                <w:szCs w:val="23"/>
                <w:color w:val="auto"/>
              </w:rPr>
            </w:pPr>
          </w:p>
        </w:tc>
      </w:tr>
      <w:tr>
        <w:trPr>
          <w:trHeight w:val="240"/>
        </w:trPr>
        <w:tc>
          <w:tcPr>
            <w:tcW w:w="8160" w:type="dxa"/>
            <w:vAlign w:val="bottom"/>
          </w:tcPr>
          <w:p>
            <w:pPr>
              <w:ind w:left="140"/>
              <w:spacing w:after="0"/>
              <w:rPr>
                <w:sz w:val="20"/>
                <w:szCs w:val="20"/>
                <w:color w:val="auto"/>
              </w:rPr>
            </w:pPr>
            <w:r>
              <w:rPr>
                <w:rFonts w:ascii="Arial" w:cs="Arial" w:eastAsia="Arial" w:hAnsi="Arial"/>
                <w:sz w:val="18"/>
                <w:szCs w:val="18"/>
                <w:color w:val="51555C"/>
              </w:rPr>
              <w:t>Total prepaid expenses and other assets</w:t>
            </w:r>
          </w:p>
        </w:tc>
        <w:tc>
          <w:tcPr>
            <w:tcW w:w="460" w:type="dxa"/>
            <w:vAlign w:val="bottom"/>
            <w:tcBorders>
              <w:top w:val="single" w:sz="8" w:color="51555C"/>
            </w:tcBorders>
          </w:tcPr>
          <w:p>
            <w:pPr>
              <w:spacing w:after="0"/>
              <w:rPr>
                <w:sz w:val="20"/>
                <w:szCs w:val="20"/>
                <w:color w:val="auto"/>
              </w:rPr>
            </w:pP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145,452</w:t>
            </w:r>
          </w:p>
        </w:tc>
        <w:tc>
          <w:tcPr>
            <w:tcW w:w="360" w:type="dxa"/>
            <w:vAlign w:val="bottom"/>
            <w:tcBorders>
              <w:top w:val="single" w:sz="8" w:color="51555C"/>
            </w:tcBorders>
          </w:tcPr>
          <w:p>
            <w:pPr>
              <w:spacing w:after="0"/>
              <w:rPr>
                <w:sz w:val="20"/>
                <w:szCs w:val="20"/>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148,508</w:t>
            </w:r>
          </w:p>
        </w:tc>
        <w:tc>
          <w:tcPr>
            <w:tcW w:w="20" w:type="dxa"/>
            <w:vAlign w:val="bottom"/>
          </w:tcPr>
          <w:p>
            <w:pPr>
              <w:spacing w:after="0"/>
              <w:rPr>
                <w:sz w:val="20"/>
                <w:szCs w:val="20"/>
                <w:color w:val="auto"/>
              </w:rPr>
            </w:pPr>
          </w:p>
        </w:tc>
      </w:tr>
      <w:tr>
        <w:trPr>
          <w:trHeight w:val="2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portion</w:t>
            </w:r>
          </w:p>
        </w:tc>
        <w:tc>
          <w:tcPr>
            <w:tcW w:w="4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57,270</w:t>
            </w:r>
          </w:p>
        </w:tc>
        <w:tc>
          <w:tcPr>
            <w:tcW w:w="3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67,221</w:t>
            </w:r>
          </w:p>
        </w:tc>
        <w:tc>
          <w:tcPr>
            <w:tcW w:w="20" w:type="dxa"/>
            <w:vAlign w:val="bottom"/>
          </w:tcPr>
          <w:p>
            <w:pPr>
              <w:spacing w:after="0"/>
              <w:rPr>
                <w:sz w:val="23"/>
                <w:szCs w:val="23"/>
                <w:color w:val="auto"/>
              </w:rPr>
            </w:pPr>
          </w:p>
        </w:tc>
      </w:tr>
      <w:tr>
        <w:trPr>
          <w:trHeight w:val="240"/>
        </w:trPr>
        <w:tc>
          <w:tcPr>
            <w:tcW w:w="8160" w:type="dxa"/>
            <w:vAlign w:val="bottom"/>
          </w:tcPr>
          <w:p>
            <w:pPr>
              <w:ind w:left="20"/>
              <w:spacing w:after="0"/>
              <w:rPr>
                <w:sz w:val="20"/>
                <w:szCs w:val="20"/>
                <w:color w:val="auto"/>
              </w:rPr>
            </w:pPr>
            <w:r>
              <w:rPr>
                <w:rFonts w:ascii="Arial" w:cs="Arial" w:eastAsia="Arial" w:hAnsi="Arial"/>
                <w:sz w:val="18"/>
                <w:szCs w:val="18"/>
                <w:color w:val="51555C"/>
              </w:rPr>
              <w:t>Prepaid expenses and other current assets</w:t>
            </w:r>
          </w:p>
        </w:tc>
        <w:tc>
          <w:tcPr>
            <w:tcW w:w="460" w:type="dxa"/>
            <w:vAlign w:val="bottom"/>
            <w:tcBorders>
              <w:top w:val="single" w:sz="8" w:color="51555C"/>
            </w:tcBorders>
          </w:tcPr>
          <w:p>
            <w:pPr>
              <w:jc w:val="right"/>
              <w:ind w:right="250"/>
              <w:spacing w:after="0"/>
              <w:rPr>
                <w:sz w:val="20"/>
                <w:szCs w:val="20"/>
                <w:color w:val="auto"/>
              </w:rPr>
            </w:pPr>
            <w:r>
              <w:rPr>
                <w:rFonts w:ascii="Arial" w:cs="Arial" w:eastAsia="Arial" w:hAnsi="Arial"/>
                <w:sz w:val="18"/>
                <w:szCs w:val="18"/>
                <w:color w:val="51555C"/>
                <w:w w:val="99"/>
              </w:rPr>
              <w:t>$</w:t>
            </w: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88,182</w:t>
            </w:r>
          </w:p>
        </w:tc>
        <w:tc>
          <w:tcPr>
            <w:tcW w:w="360" w:type="dxa"/>
            <w:vAlign w:val="bottom"/>
            <w:tcBorders>
              <w:top w:val="single" w:sz="8" w:color="51555C"/>
            </w:tcBorders>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81,287</w:t>
            </w:r>
          </w:p>
        </w:tc>
        <w:tc>
          <w:tcPr>
            <w:tcW w:w="20" w:type="dxa"/>
            <w:vAlign w:val="bottom"/>
          </w:tcPr>
          <w:p>
            <w:pPr>
              <w:spacing w:after="0"/>
              <w:rPr>
                <w:sz w:val="20"/>
                <w:szCs w:val="20"/>
                <w:color w:val="auto"/>
              </w:rPr>
            </w:pPr>
          </w:p>
        </w:tc>
      </w:tr>
      <w:tr>
        <w:trPr>
          <w:trHeight w:val="23"/>
        </w:trPr>
        <w:tc>
          <w:tcPr>
            <w:tcW w:w="8160" w:type="dxa"/>
            <w:vAlign w:val="bottom"/>
            <w:tcBorders>
              <w:bottom w:val="single" w:sz="8" w:color="0CD973"/>
            </w:tcBorders>
          </w:tcPr>
          <w:p>
            <w:pPr>
              <w:spacing w:after="0"/>
              <w:rPr>
                <w:sz w:val="2"/>
                <w:szCs w:val="2"/>
                <w:color w:val="auto"/>
              </w:rPr>
            </w:pPr>
          </w:p>
        </w:tc>
        <w:tc>
          <w:tcPr>
            <w:tcW w:w="46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Amortization expense from costs of obtaining contracts was $5.0 million and $4.8 million for the three months ended March 31, 2025 and 2024, respectively.</w:t>
      </w:r>
    </w:p>
    <w:p>
      <w:pPr>
        <w:spacing w:after="0" w:line="28" w:lineRule="exact"/>
        <w:rPr>
          <w:rFonts w:ascii="Arial" w:cs="Arial" w:eastAsia="Arial" w:hAnsi="Arial"/>
          <w:sz w:val="14"/>
          <w:szCs w:val="14"/>
          <w:color w:val="51555C"/>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The current portion of costs of obtaining contracts as of March 31, 2025 and December 31, 2024 was $18.4 million and $18.4 million, respectively.</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The current portion of prepaid software maintenance and subscriptions as of March 31, 2025 and December 31, 2024 was $34.7 million and $34.0 million, respectively.</w:t>
      </w:r>
    </w:p>
    <w:p>
      <w:pPr>
        <w:spacing w:after="0" w:line="34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10</w:t>
      </w:r>
      <w:r>
        <w:rPr>
          <w:sz w:val="20"/>
          <w:szCs w:val="20"/>
          <w:color w:val="auto"/>
        </w:rPr>
        <w:tab/>
      </w:r>
      <w:r>
        <w:rPr>
          <w:sz w:val="1"/>
          <w:szCs w:val="1"/>
          <w:color w:val="auto"/>
        </w:rPr>
        <w:drawing>
          <wp:inline distT="0" distB="0" distL="0" distR="0">
            <wp:extent cx="651510" cy="1714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6" w:lineRule="exact"/>
        <w:rPr>
          <w:sz w:val="20"/>
          <w:szCs w:val="20"/>
          <w:color w:val="auto"/>
        </w:rPr>
      </w:pPr>
    </w:p>
    <w:p>
      <w:pPr>
        <w:ind w:left="340" w:right="40" w:hanging="332"/>
        <w:spacing w:after="0" w:line="261" w:lineRule="auto"/>
        <w:tabs>
          <w:tab w:leader="none" w:pos="354"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These costs primarily relate to the multi-year implementations of our global enterprise resource planning, customer relationship management systems and other cloud-based systems.</w:t>
      </w:r>
    </w:p>
    <w:p>
      <w:pPr>
        <w:spacing w:after="0" w:line="1" w:lineRule="exact"/>
        <w:rPr>
          <w:rFonts w:ascii="Arial" w:cs="Arial" w:eastAsia="Arial" w:hAnsi="Arial"/>
          <w:sz w:val="14"/>
          <w:szCs w:val="14"/>
          <w:color w:val="51555C"/>
        </w:rPr>
      </w:pPr>
    </w:p>
    <w:p>
      <w:pPr>
        <w:ind w:left="340" w:right="40" w:hanging="332"/>
        <w:spacing w:after="0" w:line="261" w:lineRule="auto"/>
        <w:tabs>
          <w:tab w:leader="none" w:pos="354"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Amortization expense from capitalized cloud computing implementation costs was insignificant for the three months ended March 31, 2025 and 2024. Accumulated amortization for these costs was $11.4 million and $10.6 million as of March 31, 2025 and December 31, 2024, respectively.</w:t>
      </w: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Represents a strategic investment that did not result in Blackbaud having significant influence over the investee.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Accrued expenses and other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tcBorders>
              <w:bottom w:val="single" w:sz="8" w:color="004054"/>
            </w:tcBorders>
            <w:shd w:val="clear" w:color="auto" w:fill="004054"/>
          </w:tcPr>
          <w:p>
            <w:pPr>
              <w:spacing w:after="0"/>
              <w:rPr>
                <w:sz w:val="17"/>
                <w:szCs w:val="17"/>
                <w:color w:val="auto"/>
              </w:rPr>
            </w:pPr>
          </w:p>
        </w:tc>
        <w:tc>
          <w:tcPr>
            <w:tcW w:w="460" w:type="dxa"/>
            <w:vAlign w:val="bottom"/>
            <w:tcBorders>
              <w:bottom w:val="single" w:sz="8" w:color="EBFBFF"/>
            </w:tcBorders>
            <w:shd w:val="clear" w:color="auto" w:fill="004054"/>
          </w:tcPr>
          <w:p>
            <w:pPr>
              <w:spacing w:after="0"/>
              <w:rPr>
                <w:sz w:val="17"/>
                <w:szCs w:val="17"/>
                <w:color w:val="auto"/>
              </w:rPr>
            </w:pPr>
          </w:p>
        </w:tc>
        <w:tc>
          <w:tcPr>
            <w:tcW w:w="1060" w:type="dxa"/>
            <w:vAlign w:val="bottom"/>
            <w:tcBorders>
              <w:bottom w:val="single" w:sz="8" w:color="EBFBFF"/>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60" w:type="dxa"/>
            <w:vAlign w:val="bottom"/>
            <w:tcBorders>
              <w:bottom w:val="single" w:sz="8" w:color="EBFBFF"/>
            </w:tcBorders>
            <w:shd w:val="clear" w:color="auto" w:fill="004054"/>
          </w:tcPr>
          <w:p>
            <w:pPr>
              <w:spacing w:after="0"/>
              <w:rPr>
                <w:sz w:val="17"/>
                <w:szCs w:val="17"/>
                <w:color w:val="auto"/>
              </w:rPr>
            </w:pPr>
          </w:p>
        </w:tc>
        <w:tc>
          <w:tcPr>
            <w:tcW w:w="1180" w:type="dxa"/>
            <w:vAlign w:val="bottom"/>
            <w:tcBorders>
              <w:bottom w:val="single" w:sz="8" w:color="EBFBFF"/>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shd w:val="clear" w:color="auto" w:fill="004054"/>
          </w:tcPr>
          <w:p>
            <w:pPr>
              <w:spacing w:after="0"/>
              <w:rPr>
                <w:sz w:val="17"/>
                <w:szCs w:val="17"/>
                <w:color w:val="auto"/>
              </w:rPr>
            </w:pPr>
          </w:p>
        </w:tc>
      </w:tr>
      <w:tr>
        <w:trPr>
          <w:trHeight w:val="30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Taxes payable</w:t>
            </w:r>
          </w:p>
        </w:tc>
        <w:tc>
          <w:tcPr>
            <w:tcW w:w="48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15,820</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15,844</w:t>
            </w:r>
          </w:p>
        </w:tc>
        <w:tc>
          <w:tcPr>
            <w:tcW w:w="20" w:type="dxa"/>
            <w:vAlign w:val="bottom"/>
          </w:tcPr>
          <w:p>
            <w:pPr>
              <w:spacing w:after="0"/>
              <w:rPr>
                <w:sz w:val="24"/>
                <w:szCs w:val="24"/>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Customer credit balances</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8,621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8,779</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Unrecognized tax benefit</w:t>
            </w:r>
          </w:p>
        </w:tc>
        <w:tc>
          <w:tcPr>
            <w:tcW w:w="2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4,348</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4,285</w:t>
            </w:r>
          </w:p>
        </w:tc>
        <w:tc>
          <w:tcPr>
            <w:tcW w:w="20" w:type="dxa"/>
            <w:vAlign w:val="bottom"/>
          </w:tcPr>
          <w:p>
            <w:pPr>
              <w:spacing w:after="0"/>
              <w:rPr>
                <w:sz w:val="21"/>
                <w:szCs w:val="21"/>
                <w:color w:val="auto"/>
              </w:rPr>
            </w:pPr>
          </w:p>
        </w:tc>
      </w:tr>
      <w:tr>
        <w:trPr>
          <w:trHeight w:val="324"/>
        </w:trPr>
        <w:tc>
          <w:tcPr>
            <w:tcW w:w="8160" w:type="dxa"/>
            <w:vAlign w:val="bottom"/>
          </w:tcPr>
          <w:p>
            <w:pPr>
              <w:ind w:left="20"/>
              <w:spacing w:after="0"/>
              <w:rPr>
                <w:sz w:val="20"/>
                <w:szCs w:val="20"/>
                <w:color w:val="auto"/>
              </w:rPr>
            </w:pPr>
            <w:r>
              <w:rPr>
                <w:rFonts w:ascii="Arial" w:cs="Arial" w:eastAsia="Arial" w:hAnsi="Arial"/>
                <w:sz w:val="18"/>
                <w:szCs w:val="18"/>
                <w:color w:val="51555C"/>
              </w:rPr>
              <w:t>Accrued legal costs</w:t>
            </w:r>
            <w:r>
              <w:rPr>
                <w:rFonts w:ascii="Arial" w:cs="Arial" w:eastAsia="Arial" w:hAnsi="Arial"/>
                <w:sz w:val="23"/>
                <w:szCs w:val="23"/>
                <w:color w:val="51555C"/>
                <w:vertAlign w:val="superscript"/>
              </w:rPr>
              <w:t>(1)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2,864</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2,504</w:t>
            </w:r>
          </w:p>
        </w:tc>
        <w:tc>
          <w:tcPr>
            <w:tcW w:w="20" w:type="dxa"/>
            <w:vAlign w:val="bottom"/>
          </w:tcPr>
          <w:p>
            <w:pPr>
              <w:spacing w:after="0"/>
              <w:rPr>
                <w:sz w:val="24"/>
                <w:szCs w:val="24"/>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health care costs</w:t>
            </w:r>
          </w:p>
        </w:tc>
        <w:tc>
          <w:tcPr>
            <w:tcW w:w="2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2,670</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3,151</w:t>
            </w:r>
          </w:p>
        </w:tc>
        <w:tc>
          <w:tcPr>
            <w:tcW w:w="20" w:type="dxa"/>
            <w:vAlign w:val="bottom"/>
          </w:tcPr>
          <w:p>
            <w:pPr>
              <w:spacing w:after="0"/>
              <w:rPr>
                <w:sz w:val="21"/>
                <w:szCs w:val="21"/>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Accrued commissions and salaries</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2,558</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4,012</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vacation costs</w:t>
            </w:r>
          </w:p>
        </w:tc>
        <w:tc>
          <w:tcPr>
            <w:tcW w:w="2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2,360</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2,060</w:t>
            </w:r>
          </w:p>
        </w:tc>
        <w:tc>
          <w:tcPr>
            <w:tcW w:w="20" w:type="dxa"/>
            <w:vAlign w:val="bottom"/>
          </w:tcPr>
          <w:p>
            <w:pPr>
              <w:spacing w:after="0"/>
              <w:rPr>
                <w:sz w:val="21"/>
                <w:szCs w:val="21"/>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Accrued transaction-based costs related to payments services</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1,652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3,903</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Stock-based compensation liability</w:t>
            </w:r>
          </w:p>
        </w:tc>
        <w:tc>
          <w:tcPr>
            <w:tcW w:w="2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1,344</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7,292</w:t>
            </w:r>
          </w:p>
        </w:tc>
        <w:tc>
          <w:tcPr>
            <w:tcW w:w="20" w:type="dxa"/>
            <w:vAlign w:val="bottom"/>
          </w:tcPr>
          <w:p>
            <w:pPr>
              <w:spacing w:after="0"/>
              <w:rPr>
                <w:sz w:val="21"/>
                <w:szCs w:val="21"/>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Operating lease liabilities, current portion</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1,073</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4,489</w:t>
            </w:r>
          </w:p>
        </w:tc>
        <w:tc>
          <w:tcPr>
            <w:tcW w:w="20" w:type="dxa"/>
            <w:vAlign w:val="bottom"/>
          </w:tcPr>
          <w:p>
            <w:pPr>
              <w:spacing w:after="0"/>
              <w:rPr>
                <w:sz w:val="21"/>
                <w:szCs w:val="21"/>
                <w:color w:val="auto"/>
              </w:rPr>
            </w:pPr>
          </w:p>
        </w:tc>
      </w:tr>
      <w:tr>
        <w:trPr>
          <w:trHeight w:val="23"/>
        </w:trPr>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costs to sell EVERFI</w:t>
            </w:r>
          </w:p>
        </w:tc>
        <w:tc>
          <w:tcPr>
            <w:tcW w:w="20" w:type="dxa"/>
            <w:vAlign w:val="bottom"/>
            <w:tcBorders>
              <w:bottom w:val="single" w:sz="8" w:color="EBFBFF"/>
            </w:tcBorders>
            <w:shd w:val="clear" w:color="auto" w:fill="EBFBFF"/>
          </w:tcPr>
          <w:p>
            <w:pPr>
              <w:spacing w:after="0"/>
              <w:rPr>
                <w:sz w:val="24"/>
                <w:szCs w:val="24"/>
                <w:color w:val="auto"/>
              </w:rPr>
            </w:pPr>
          </w:p>
        </w:tc>
        <w:tc>
          <w:tcPr>
            <w:tcW w:w="4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13,985</w:t>
            </w:r>
          </w:p>
        </w:tc>
        <w:tc>
          <w:tcPr>
            <w:tcW w:w="20" w:type="dxa"/>
            <w:vAlign w:val="bottom"/>
          </w:tcPr>
          <w:p>
            <w:pPr>
              <w:spacing w:after="0"/>
              <w:rPr>
                <w:sz w:val="24"/>
                <w:szCs w:val="24"/>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Other liabilities</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6,585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10,035</w:t>
            </w:r>
          </w:p>
        </w:tc>
        <w:tc>
          <w:tcPr>
            <w:tcW w:w="20" w:type="dxa"/>
            <w:vAlign w:val="bottom"/>
          </w:tcPr>
          <w:p>
            <w:pPr>
              <w:spacing w:after="0"/>
              <w:rPr>
                <w:sz w:val="21"/>
                <w:szCs w:val="21"/>
                <w:color w:val="auto"/>
              </w:rPr>
            </w:pPr>
          </w:p>
        </w:tc>
      </w:tr>
      <w:tr>
        <w:trPr>
          <w:trHeight w:val="23"/>
        </w:trPr>
        <w:tc>
          <w:tcPr>
            <w:tcW w:w="8160" w:type="dxa"/>
            <w:vAlign w:val="bottom"/>
            <w:tcBorders>
              <w:bottom w:val="single" w:sz="8" w:color="EBFBFF"/>
            </w:tcBorders>
          </w:tcPr>
          <w:p>
            <w:pPr>
              <w:spacing w:after="0"/>
              <w:rPr>
                <w:sz w:val="2"/>
                <w:szCs w:val="2"/>
                <w:color w:val="auto"/>
              </w:rPr>
            </w:pPr>
          </w:p>
        </w:tc>
        <w:tc>
          <w:tcPr>
            <w:tcW w:w="20" w:type="dxa"/>
            <w:vAlign w:val="bottom"/>
            <w:tcBorders>
              <w:bottom w:val="single" w:sz="8" w:color="51555C"/>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8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accrued expenses and other liabilities</w:t>
            </w:r>
          </w:p>
        </w:tc>
        <w:tc>
          <w:tcPr>
            <w:tcW w:w="2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49,895</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80,339</w:t>
            </w:r>
          </w:p>
        </w:tc>
        <w:tc>
          <w:tcPr>
            <w:tcW w:w="20" w:type="dxa"/>
            <w:vAlign w:val="bottom"/>
          </w:tcPr>
          <w:p>
            <w:pPr>
              <w:spacing w:after="0"/>
              <w:rPr>
                <w:sz w:val="21"/>
                <w:szCs w:val="21"/>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51555C"/>
              </w:rPr>
              <w:t>Less: Long-term portion</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4,771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4,796</w:t>
            </w:r>
          </w:p>
        </w:tc>
        <w:tc>
          <w:tcPr>
            <w:tcW w:w="20" w:type="dxa"/>
            <w:vAlign w:val="bottom"/>
          </w:tcPr>
          <w:p>
            <w:pPr>
              <w:spacing w:after="0"/>
              <w:rPr>
                <w:sz w:val="21"/>
                <w:szCs w:val="21"/>
                <w:color w:val="auto"/>
              </w:rPr>
            </w:pPr>
          </w:p>
        </w:tc>
      </w:tr>
      <w:tr>
        <w:trPr>
          <w:trHeight w:val="23"/>
        </w:trPr>
        <w:tc>
          <w:tcPr>
            <w:tcW w:w="8160" w:type="dxa"/>
            <w:vAlign w:val="bottom"/>
            <w:tcBorders>
              <w:bottom w:val="single" w:sz="8" w:color="EBFBFF"/>
            </w:tcBorders>
          </w:tcPr>
          <w:p>
            <w:pPr>
              <w:spacing w:after="0"/>
              <w:rPr>
                <w:sz w:val="2"/>
                <w:szCs w:val="2"/>
                <w:color w:val="auto"/>
              </w:rPr>
            </w:pPr>
          </w:p>
        </w:tc>
        <w:tc>
          <w:tcPr>
            <w:tcW w:w="20" w:type="dxa"/>
            <w:vAlign w:val="bottom"/>
            <w:tcBorders>
              <w:bottom w:val="single" w:sz="8" w:color="51555C"/>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expenses and other current liabilities</w:t>
            </w:r>
          </w:p>
        </w:tc>
        <w:tc>
          <w:tcPr>
            <w:tcW w:w="48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45,124</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75,543</w:t>
            </w:r>
          </w:p>
        </w:tc>
        <w:tc>
          <w:tcPr>
            <w:tcW w:w="20" w:type="dxa"/>
            <w:vAlign w:val="bottom"/>
          </w:tcPr>
          <w:p>
            <w:pPr>
              <w:spacing w:after="0"/>
              <w:rPr>
                <w:sz w:val="21"/>
                <w:szCs w:val="21"/>
                <w:color w:val="auto"/>
              </w:rPr>
            </w:pPr>
          </w:p>
        </w:tc>
      </w:tr>
      <w:tr>
        <w:trPr>
          <w:trHeight w:val="20"/>
        </w:trPr>
        <w:tc>
          <w:tcPr>
            <w:tcW w:w="816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20" w:hanging="332"/>
        <w:spacing w:after="0" w:line="305" w:lineRule="auto"/>
        <w:tabs>
          <w:tab w:leader="none" w:pos="354" w:val="left"/>
        </w:tabs>
        <w:numPr>
          <w:ilvl w:val="0"/>
          <w:numId w:val="11"/>
        </w:numPr>
        <w:rPr>
          <w:rFonts w:ascii="Arial" w:cs="Arial" w:eastAsia="Arial" w:hAnsi="Arial"/>
          <w:sz w:val="14"/>
          <w:szCs w:val="14"/>
          <w:color w:val="51555C"/>
        </w:rPr>
      </w:pPr>
      <w:r>
        <w:rPr>
          <w:rFonts w:ascii="Arial" w:cs="Arial" w:eastAsia="Arial" w:hAnsi="Arial"/>
          <w:sz w:val="14"/>
          <w:szCs w:val="14"/>
          <w:color w:val="51555C"/>
        </w:rPr>
        <w:t>All accrued legal costs are classified as current. See Note 8 to these unaudited, condensed consolidated financial statements for additional information about our loss contingency accruals and other legal expenses.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1555C"/>
        </w:rPr>
        <w:t>Other income,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004054"/>
          </w:tcPr>
          <w:p>
            <w:pPr>
              <w:spacing w:after="0"/>
              <w:rPr>
                <w:sz w:val="17"/>
                <w:szCs w:val="17"/>
                <w:color w:val="auto"/>
              </w:rPr>
            </w:pPr>
          </w:p>
        </w:tc>
        <w:tc>
          <w:tcPr>
            <w:tcW w:w="290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15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5260" w:type="dxa"/>
            <w:vAlign w:val="bottom"/>
            <w:shd w:val="clear" w:color="auto" w:fill="004054"/>
          </w:tcPr>
          <w:p>
            <w:pPr>
              <w:spacing w:after="0"/>
              <w:rPr>
                <w:sz w:val="17"/>
                <w:szCs w:val="17"/>
                <w:color w:val="auto"/>
              </w:rPr>
            </w:pPr>
          </w:p>
        </w:tc>
        <w:tc>
          <w:tcPr>
            <w:tcW w:w="290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480"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52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900" w:type="dxa"/>
            <w:vAlign w:val="bottom"/>
            <w:tcBorders>
              <w:bottom w:val="single" w:sz="8" w:color="004054"/>
            </w:tcBorders>
            <w:shd w:val="clear" w:color="auto" w:fill="004054"/>
          </w:tcPr>
          <w:p>
            <w:pPr>
              <w:spacing w:after="0"/>
              <w:rPr>
                <w:sz w:val="21"/>
                <w:szCs w:val="21"/>
                <w:color w:val="auto"/>
              </w:rPr>
            </w:pPr>
          </w:p>
        </w:tc>
        <w:tc>
          <w:tcPr>
            <w:tcW w:w="560" w:type="dxa"/>
            <w:vAlign w:val="bottom"/>
            <w:tcBorders>
              <w:bottom w:val="single" w:sz="8" w:color="004054"/>
            </w:tcBorders>
            <w:shd w:val="clear" w:color="auto" w:fill="004054"/>
          </w:tcPr>
          <w:p>
            <w:pPr>
              <w:spacing w:after="0"/>
              <w:rPr>
                <w:sz w:val="21"/>
                <w:szCs w:val="21"/>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80" w:type="dxa"/>
            <w:vAlign w:val="bottom"/>
            <w:tcBorders>
              <w:bottom w:val="single" w:sz="8" w:color="004054"/>
            </w:tcBorders>
            <w:shd w:val="clear" w:color="auto" w:fill="004054"/>
          </w:tcPr>
          <w:p>
            <w:pPr>
              <w:spacing w:after="0"/>
              <w:rPr>
                <w:sz w:val="21"/>
                <w:szCs w:val="21"/>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52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income</w:t>
            </w:r>
          </w:p>
        </w:tc>
        <w:tc>
          <w:tcPr>
            <w:tcW w:w="3460" w:type="dxa"/>
            <w:vAlign w:val="bottom"/>
            <w:tcBorders>
              <w:bottom w:val="single" w:sz="8" w:color="EBFBFF"/>
            </w:tcBorders>
            <w:gridSpan w:val="2"/>
            <w:shd w:val="clear" w:color="auto" w:fill="EBFBFF"/>
          </w:tcPr>
          <w:p>
            <w:pPr>
              <w:jc w:val="right"/>
              <w:ind w:right="35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1,655</w:t>
            </w:r>
          </w:p>
        </w:tc>
        <w:tc>
          <w:tcPr>
            <w:tcW w:w="480" w:type="dxa"/>
            <w:vAlign w:val="bottom"/>
            <w:tcBorders>
              <w:bottom w:val="single" w:sz="8" w:color="EBFBFF"/>
            </w:tcBorders>
            <w:shd w:val="clear" w:color="auto" w:fill="EBFBFF"/>
          </w:tcPr>
          <w:p>
            <w:pPr>
              <w:jc w:val="right"/>
              <w:ind w:right="276"/>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2,048</w:t>
            </w:r>
          </w:p>
        </w:tc>
        <w:tc>
          <w:tcPr>
            <w:tcW w:w="20" w:type="dxa"/>
            <w:vAlign w:val="bottom"/>
          </w:tcPr>
          <w:p>
            <w:pPr>
              <w:spacing w:after="0"/>
              <w:rPr>
                <w:sz w:val="21"/>
                <w:szCs w:val="21"/>
                <w:color w:val="auto"/>
              </w:rPr>
            </w:pP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51555C"/>
              </w:rPr>
              <w:t>Currency revaluation (losses) gains</w:t>
            </w:r>
          </w:p>
        </w:tc>
        <w:tc>
          <w:tcPr>
            <w:tcW w:w="2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(877)</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283</w:t>
            </w:r>
          </w:p>
        </w:tc>
        <w:tc>
          <w:tcPr>
            <w:tcW w:w="2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2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income, net</w:t>
            </w:r>
          </w:p>
        </w:tc>
        <w:tc>
          <w:tcPr>
            <w:tcW w:w="2900" w:type="dxa"/>
            <w:vAlign w:val="bottom"/>
            <w:tcBorders>
              <w:bottom w:val="single" w:sz="8" w:color="EBFBFF"/>
            </w:tcBorders>
            <w:shd w:val="clear" w:color="auto" w:fill="EBFBFF"/>
          </w:tcPr>
          <w:p>
            <w:pPr>
              <w:spacing w:after="0"/>
              <w:rPr>
                <w:sz w:val="23"/>
                <w:szCs w:val="23"/>
                <w:color w:val="auto"/>
              </w:rPr>
            </w:pPr>
          </w:p>
        </w:tc>
        <w:tc>
          <w:tcPr>
            <w:tcW w:w="5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1,327</w:t>
            </w:r>
          </w:p>
        </w:tc>
        <w:tc>
          <w:tcPr>
            <w:tcW w:w="48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1,016</w:t>
            </w:r>
          </w:p>
        </w:tc>
        <w:tc>
          <w:tcPr>
            <w:tcW w:w="20" w:type="dxa"/>
            <w:vAlign w:val="bottom"/>
          </w:tcPr>
          <w:p>
            <w:pPr>
              <w:spacing w:after="0"/>
              <w:rPr>
                <w:sz w:val="23"/>
                <w:szCs w:val="23"/>
                <w:color w:val="auto"/>
              </w:rPr>
            </w:pPr>
          </w:p>
        </w:tc>
      </w:tr>
      <w:tr>
        <w:trPr>
          <w:trHeight w:val="240"/>
        </w:trPr>
        <w:tc>
          <w:tcPr>
            <w:tcW w:w="5260" w:type="dxa"/>
            <w:vAlign w:val="bottom"/>
          </w:tcPr>
          <w:p>
            <w:pPr>
              <w:ind w:left="140"/>
              <w:spacing w:after="0"/>
              <w:rPr>
                <w:sz w:val="20"/>
                <w:szCs w:val="20"/>
                <w:color w:val="auto"/>
              </w:rPr>
            </w:pPr>
            <w:r>
              <w:rPr>
                <w:rFonts w:ascii="Arial" w:cs="Arial" w:eastAsia="Arial" w:hAnsi="Arial"/>
                <w:sz w:val="18"/>
                <w:szCs w:val="18"/>
                <w:color w:val="51555C"/>
              </w:rPr>
              <w:t>Other income, net</w:t>
            </w:r>
          </w:p>
        </w:tc>
        <w:tc>
          <w:tcPr>
            <w:tcW w:w="2900" w:type="dxa"/>
            <w:vAlign w:val="bottom"/>
          </w:tcPr>
          <w:p>
            <w:pPr>
              <w:spacing w:after="0"/>
              <w:rPr>
                <w:sz w:val="20"/>
                <w:szCs w:val="20"/>
                <w:color w:val="auto"/>
              </w:rPr>
            </w:pPr>
          </w:p>
        </w:tc>
        <w:tc>
          <w:tcPr>
            <w:tcW w:w="560" w:type="dxa"/>
            <w:vAlign w:val="bottom"/>
            <w:tcBorders>
              <w:top w:val="single" w:sz="8" w:color="51555C"/>
            </w:tcBorders>
          </w:tcPr>
          <w:p>
            <w:pPr>
              <w:jc w:val="right"/>
              <w:ind w:right="350"/>
              <w:spacing w:after="0"/>
              <w:rPr>
                <w:sz w:val="20"/>
                <w:szCs w:val="20"/>
                <w:color w:val="auto"/>
              </w:rPr>
            </w:pPr>
            <w:r>
              <w:rPr>
                <w:rFonts w:ascii="Arial" w:cs="Arial" w:eastAsia="Arial" w:hAnsi="Arial"/>
                <w:sz w:val="18"/>
                <w:szCs w:val="18"/>
                <w:color w:val="51555C"/>
                <w:w w:val="99"/>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2,105</w:t>
            </w:r>
          </w:p>
        </w:tc>
        <w:tc>
          <w:tcPr>
            <w:tcW w:w="480" w:type="dxa"/>
            <w:vAlign w:val="bottom"/>
            <w:tcBorders>
              <w:top w:val="single" w:sz="8" w:color="51555C"/>
            </w:tcBorders>
          </w:tcPr>
          <w:p>
            <w:pPr>
              <w:jc w:val="right"/>
              <w:ind w:right="276"/>
              <w:spacing w:after="0"/>
              <w:rPr>
                <w:sz w:val="20"/>
                <w:szCs w:val="20"/>
                <w:color w:val="auto"/>
              </w:rPr>
            </w:pPr>
            <w:r>
              <w:rPr>
                <w:rFonts w:ascii="Arial" w:cs="Arial" w:eastAsia="Arial" w:hAnsi="Arial"/>
                <w:sz w:val="18"/>
                <w:szCs w:val="18"/>
                <w:color w:val="51555C"/>
                <w:w w:val="99"/>
              </w:rPr>
              <w:t>$</w:t>
            </w:r>
          </w:p>
        </w:tc>
        <w:tc>
          <w:tcPr>
            <w:tcW w:w="10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3,347</w:t>
            </w:r>
          </w:p>
        </w:tc>
        <w:tc>
          <w:tcPr>
            <w:tcW w:w="20" w:type="dxa"/>
            <w:vAlign w:val="bottom"/>
          </w:tcPr>
          <w:p>
            <w:pPr>
              <w:spacing w:after="0"/>
              <w:rPr>
                <w:sz w:val="20"/>
                <w:szCs w:val="20"/>
                <w:color w:val="auto"/>
              </w:rPr>
            </w:pPr>
          </w:p>
        </w:tc>
      </w:tr>
      <w:tr>
        <w:trPr>
          <w:trHeight w:val="23"/>
        </w:trPr>
        <w:tc>
          <w:tcPr>
            <w:tcW w:w="5260" w:type="dxa"/>
            <w:vAlign w:val="bottom"/>
            <w:tcBorders>
              <w:bottom w:val="single" w:sz="8" w:color="0CD973"/>
            </w:tcBorders>
          </w:tcPr>
          <w:p>
            <w:pPr>
              <w:spacing w:after="0"/>
              <w:rPr>
                <w:sz w:val="2"/>
                <w:szCs w:val="2"/>
                <w:color w:val="auto"/>
              </w:rPr>
            </w:pPr>
          </w:p>
        </w:tc>
        <w:tc>
          <w:tcPr>
            <w:tcW w:w="2900" w:type="dxa"/>
            <w:vAlign w:val="bottom"/>
            <w:tcBorders>
              <w:bottom w:val="single" w:sz="8" w:color="0CD973"/>
            </w:tcBorders>
          </w:tcPr>
          <w:p>
            <w:pPr>
              <w:spacing w:after="0"/>
              <w:rPr>
                <w:sz w:val="2"/>
                <w:szCs w:val="2"/>
                <w:color w:val="auto"/>
              </w:rPr>
            </w:pPr>
          </w:p>
        </w:tc>
        <w:tc>
          <w:tcPr>
            <w:tcW w:w="1540" w:type="dxa"/>
            <w:vAlign w:val="bottom"/>
            <w:tcBorders>
              <w:bottom w:val="single" w:sz="8" w:color="0CD973"/>
            </w:tcBorders>
            <w:gridSpan w:val="2"/>
          </w:tcPr>
          <w:p>
            <w:pPr>
              <w:spacing w:after="0"/>
              <w:rPr>
                <w:sz w:val="2"/>
                <w:szCs w:val="2"/>
                <w:color w:val="auto"/>
              </w:rPr>
            </w:pPr>
          </w:p>
        </w:tc>
        <w:tc>
          <w:tcPr>
            <w:tcW w:w="48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74"/>
        </w:trPr>
        <w:tc>
          <w:tcPr>
            <w:tcW w:w="5260" w:type="dxa"/>
            <w:vAlign w:val="bottom"/>
          </w:tcPr>
          <w:p>
            <w:pPr>
              <w:spacing w:after="0"/>
              <w:rPr>
                <w:sz w:val="24"/>
                <w:szCs w:val="24"/>
                <w:color w:val="auto"/>
              </w:rPr>
            </w:pPr>
          </w:p>
        </w:tc>
        <w:tc>
          <w:tcPr>
            <w:tcW w:w="4440" w:type="dxa"/>
            <w:vAlign w:val="bottom"/>
            <w:gridSpan w:val="3"/>
          </w:tcPr>
          <w:p>
            <w:pPr>
              <w:jc w:val="right"/>
              <w:ind w:right="34"/>
              <w:spacing w:after="0"/>
              <w:rPr>
                <w:sz w:val="20"/>
                <w:szCs w:val="20"/>
                <w:color w:val="auto"/>
              </w:rPr>
            </w:pPr>
            <w:r>
              <w:rPr>
                <w:rFonts w:ascii="Arial" w:cs="Arial" w:eastAsia="Arial" w:hAnsi="Arial"/>
                <w:sz w:val="14"/>
                <w:szCs w:val="14"/>
                <w:color w:val="51555C"/>
              </w:rPr>
              <w:t>First Quarter 2025 Form 10-Q</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11</w:t>
            </w:r>
          </w:p>
        </w:tc>
        <w:tc>
          <w:tcPr>
            <w:tcW w:w="20" w:type="dxa"/>
            <w:vAlign w:val="bottom"/>
          </w:tcPr>
          <w:p>
            <w:pPr>
              <w:spacing w:after="0"/>
              <w:rPr>
                <w:sz w:val="24"/>
                <w:szCs w:val="24"/>
                <w:color w:val="auto"/>
              </w:rPr>
            </w:pPr>
          </w:p>
        </w:tc>
      </w:tr>
      <w:tr>
        <w:trPr>
          <w:trHeight w:val="326"/>
        </w:trPr>
        <w:tc>
          <w:tcPr>
            <w:tcW w:w="5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-1516380</wp:posOffset>
            </wp:positionV>
            <wp:extent cx="19627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following table summarizes our debt balances and the related weighted average effective interest rates, which includes the effect of interest rate swap agreements.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004054"/>
          </w:tcPr>
          <w:p>
            <w:pPr>
              <w:spacing w:after="0"/>
              <w:rPr>
                <w:sz w:val="17"/>
                <w:szCs w:val="17"/>
                <w:color w:val="auto"/>
              </w:rPr>
            </w:pPr>
          </w:p>
        </w:tc>
      </w:tr>
      <w:tr>
        <w:trPr>
          <w:trHeight w:val="196"/>
        </w:trPr>
        <w:tc>
          <w:tcPr>
            <w:tcW w:w="482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Debt balance at</w:t>
            </w:r>
          </w:p>
        </w:tc>
        <w:tc>
          <w:tcPr>
            <w:tcW w:w="80" w:type="dxa"/>
            <w:vAlign w:val="bottom"/>
          </w:tcPr>
          <w:p>
            <w:pPr>
              <w:spacing w:after="0"/>
              <w:rPr>
                <w:sz w:val="17"/>
                <w:szCs w:val="17"/>
                <w:color w:val="auto"/>
              </w:rPr>
            </w:pPr>
          </w:p>
        </w:tc>
        <w:tc>
          <w:tcPr>
            <w:tcW w:w="164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004054"/>
          </w:tcPr>
          <w:p>
            <w:pPr>
              <w:spacing w:after="0"/>
              <w:rPr>
                <w:sz w:val="17"/>
                <w:szCs w:val="17"/>
                <w:color w:val="auto"/>
              </w:rPr>
            </w:pPr>
          </w:p>
        </w:tc>
      </w:tr>
      <w:tr>
        <w:trPr>
          <w:trHeight w:val="222"/>
        </w:trPr>
        <w:tc>
          <w:tcPr>
            <w:tcW w:w="482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80" w:type="dxa"/>
            <w:vAlign w:val="bottom"/>
            <w:shd w:val="clear" w:color="auto" w:fill="004054"/>
          </w:tcPr>
          <w:p>
            <w:pPr>
              <w:spacing w:after="0"/>
              <w:rPr>
                <w:sz w:val="19"/>
                <w:szCs w:val="19"/>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9"/>
                <w:szCs w:val="19"/>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r>
      <w:tr>
        <w:trPr>
          <w:trHeight w:val="205"/>
        </w:trPr>
        <w:tc>
          <w:tcPr>
            <w:tcW w:w="48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7"/>
                <w:szCs w:val="17"/>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80" w:type="dxa"/>
            <w:vAlign w:val="bottom"/>
            <w:tcBorders>
              <w:bottom w:val="single" w:sz="8" w:color="004054"/>
            </w:tcBorders>
            <w:shd w:val="clear" w:color="auto" w:fill="004054"/>
          </w:tcPr>
          <w:p>
            <w:pPr>
              <w:spacing w:after="0"/>
              <w:rPr>
                <w:sz w:val="17"/>
                <w:szCs w:val="17"/>
                <w:color w:val="auto"/>
              </w:rPr>
            </w:pPr>
          </w:p>
        </w:tc>
        <w:tc>
          <w:tcPr>
            <w:tcW w:w="126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80" w:type="dxa"/>
            <w:vAlign w:val="bottom"/>
            <w:tcBorders>
              <w:bottom w:val="single" w:sz="8" w:color="EBFBFF"/>
            </w:tcBorders>
          </w:tcPr>
          <w:p>
            <w:pPr>
              <w:spacing w:after="0"/>
              <w:rPr>
                <w:sz w:val="17"/>
                <w:szCs w:val="17"/>
                <w:color w:val="auto"/>
              </w:rPr>
            </w:pP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0"/>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Credit facility:</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4820" w:type="dxa"/>
            <w:vAlign w:val="bottom"/>
          </w:tcPr>
          <w:p>
            <w:pPr>
              <w:ind w:left="140"/>
              <w:spacing w:after="0"/>
              <w:rPr>
                <w:sz w:val="20"/>
                <w:szCs w:val="20"/>
                <w:color w:val="auto"/>
              </w:rPr>
            </w:pPr>
            <w:r>
              <w:rPr>
                <w:rFonts w:ascii="Arial" w:cs="Arial" w:eastAsia="Arial" w:hAnsi="Arial"/>
                <w:sz w:val="18"/>
                <w:szCs w:val="18"/>
                <w:color w:val="51555C"/>
              </w:rPr>
              <w:t>Revolving credit loans</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51555C"/>
              </w:rPr>
              <w:t>366,000</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229,900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51555C"/>
              </w:rPr>
              <w:t>6.36 %</w:t>
            </w:r>
          </w:p>
        </w:tc>
        <w:tc>
          <w:tcPr>
            <w:tcW w:w="1660" w:type="dxa"/>
            <w:vAlign w:val="bottom"/>
          </w:tcPr>
          <w:p>
            <w:pPr>
              <w:jc w:val="right"/>
              <w:spacing w:after="0"/>
              <w:rPr>
                <w:sz w:val="20"/>
                <w:szCs w:val="20"/>
                <w:color w:val="auto"/>
              </w:rPr>
            </w:pPr>
            <w:r>
              <w:rPr>
                <w:rFonts w:ascii="Arial" w:cs="Arial" w:eastAsia="Arial" w:hAnsi="Arial"/>
                <w:sz w:val="18"/>
                <w:szCs w:val="18"/>
                <w:color w:val="51555C"/>
              </w:rPr>
              <w:t>6.37 %</w:t>
            </w:r>
          </w:p>
        </w:tc>
        <w:tc>
          <w:tcPr>
            <w:tcW w:w="20" w:type="dxa"/>
            <w:vAlign w:val="bottom"/>
          </w:tcPr>
          <w:p>
            <w:pPr>
              <w:spacing w:after="0"/>
              <w:rPr>
                <w:sz w:val="21"/>
                <w:szCs w:val="21"/>
                <w:color w:val="auto"/>
              </w:rPr>
            </w:pPr>
          </w:p>
        </w:tc>
      </w:tr>
      <w:tr>
        <w:trPr>
          <w:trHeight w:val="23"/>
        </w:trPr>
        <w:tc>
          <w:tcPr>
            <w:tcW w:w="4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Term loans</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785,000</w:t>
            </w:r>
          </w:p>
        </w:tc>
        <w:tc>
          <w:tcPr>
            <w:tcW w:w="2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790,000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5.53 %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5.59 %</w:t>
            </w:r>
          </w:p>
        </w:tc>
        <w:tc>
          <w:tcPr>
            <w:tcW w:w="20" w:type="dxa"/>
            <w:vAlign w:val="bottom"/>
          </w:tcPr>
          <w:p>
            <w:pPr>
              <w:spacing w:after="0"/>
              <w:rPr>
                <w:sz w:val="21"/>
                <w:szCs w:val="21"/>
                <w:color w:val="auto"/>
              </w:rPr>
            </w:pP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51555C"/>
              </w:rPr>
              <w:t>Real estate loans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54,712</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55,135</w:t>
            </w:r>
          </w:p>
        </w:tc>
        <w:tc>
          <w:tcPr>
            <w:tcW w:w="1720" w:type="dxa"/>
            <w:vAlign w:val="bottom"/>
            <w:gridSpan w:val="2"/>
          </w:tcPr>
          <w:p>
            <w:pPr>
              <w:jc w:val="right"/>
              <w:spacing w:after="0"/>
              <w:rPr>
                <w:sz w:val="20"/>
                <w:szCs w:val="20"/>
                <w:color w:val="auto"/>
              </w:rPr>
            </w:pPr>
            <w:r>
              <w:rPr>
                <w:rFonts w:ascii="Arial" w:cs="Arial" w:eastAsia="Arial" w:hAnsi="Arial"/>
                <w:sz w:val="18"/>
                <w:szCs w:val="18"/>
                <w:color w:val="51555C"/>
              </w:rPr>
              <w:t>5.23 %</w:t>
            </w:r>
          </w:p>
        </w:tc>
        <w:tc>
          <w:tcPr>
            <w:tcW w:w="1660" w:type="dxa"/>
            <w:vAlign w:val="bottom"/>
          </w:tcPr>
          <w:p>
            <w:pPr>
              <w:jc w:val="right"/>
              <w:spacing w:after="0"/>
              <w:rPr>
                <w:sz w:val="20"/>
                <w:szCs w:val="20"/>
                <w:color w:val="auto"/>
              </w:rPr>
            </w:pPr>
            <w:r>
              <w:rPr>
                <w:rFonts w:ascii="Arial" w:cs="Arial" w:eastAsia="Arial" w:hAnsi="Arial"/>
                <w:sz w:val="18"/>
                <w:szCs w:val="18"/>
                <w:color w:val="51555C"/>
              </w:rPr>
              <w:t>5.23 %</w:t>
            </w:r>
          </w:p>
        </w:tc>
        <w:tc>
          <w:tcPr>
            <w:tcW w:w="20" w:type="dxa"/>
            <w:vAlign w:val="bottom"/>
          </w:tcPr>
          <w:p>
            <w:pPr>
              <w:spacing w:after="0"/>
              <w:rPr>
                <w:sz w:val="21"/>
                <w:szCs w:val="21"/>
                <w:color w:val="auto"/>
              </w:rPr>
            </w:pPr>
          </w:p>
        </w:tc>
      </w:tr>
      <w:tr>
        <w:trPr>
          <w:trHeight w:val="23"/>
        </w:trPr>
        <w:tc>
          <w:tcPr>
            <w:tcW w:w="4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debt</w:t>
            </w:r>
          </w:p>
        </w:tc>
        <w:tc>
          <w:tcPr>
            <w:tcW w:w="38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2,213</w:t>
            </w:r>
          </w:p>
        </w:tc>
        <w:tc>
          <w:tcPr>
            <w:tcW w:w="28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2,783</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8.94 %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8.77 %</w:t>
            </w:r>
          </w:p>
        </w:tc>
        <w:tc>
          <w:tcPr>
            <w:tcW w:w="20" w:type="dxa"/>
            <w:vAlign w:val="bottom"/>
          </w:tcPr>
          <w:p>
            <w:pPr>
              <w:spacing w:after="0"/>
              <w:rPr>
                <w:sz w:val="23"/>
                <w:szCs w:val="23"/>
                <w:color w:val="auto"/>
              </w:rPr>
            </w:pPr>
          </w:p>
        </w:tc>
      </w:tr>
      <w:tr>
        <w:trPr>
          <w:trHeight w:val="241"/>
        </w:trPr>
        <w:tc>
          <w:tcPr>
            <w:tcW w:w="4820" w:type="dxa"/>
            <w:vAlign w:val="bottom"/>
          </w:tcPr>
          <w:p>
            <w:pPr>
              <w:ind w:left="360"/>
              <w:spacing w:after="0"/>
              <w:rPr>
                <w:sz w:val="20"/>
                <w:szCs w:val="20"/>
                <w:color w:val="auto"/>
              </w:rPr>
            </w:pPr>
            <w:r>
              <w:rPr>
                <w:rFonts w:ascii="Arial" w:cs="Arial" w:eastAsia="Arial" w:hAnsi="Arial"/>
                <w:sz w:val="18"/>
                <w:szCs w:val="18"/>
                <w:color w:val="51555C"/>
              </w:rPr>
              <w:t>Total debt</w:t>
            </w:r>
          </w:p>
        </w:tc>
        <w:tc>
          <w:tcPr>
            <w:tcW w:w="380" w:type="dxa"/>
            <w:vAlign w:val="bottom"/>
            <w:tcBorders>
              <w:top w:val="single" w:sz="8" w:color="51555C"/>
            </w:tcBorders>
          </w:tcPr>
          <w:p>
            <w:pPr>
              <w:spacing w:after="0"/>
              <w:rPr>
                <w:sz w:val="20"/>
                <w:szCs w:val="20"/>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1,207,925</w:t>
            </w:r>
          </w:p>
        </w:tc>
        <w:tc>
          <w:tcPr>
            <w:tcW w:w="280" w:type="dxa"/>
            <w:vAlign w:val="bottom"/>
            <w:tcBorders>
              <w:top w:val="single" w:sz="8" w:color="51555C"/>
            </w:tcBorders>
          </w:tcPr>
          <w:p>
            <w:pPr>
              <w:spacing w:after="0"/>
              <w:rPr>
                <w:sz w:val="20"/>
                <w:szCs w:val="20"/>
                <w:color w:val="auto"/>
              </w:rPr>
            </w:pPr>
          </w:p>
        </w:tc>
        <w:tc>
          <w:tcPr>
            <w:tcW w:w="1260" w:type="dxa"/>
            <w:vAlign w:val="bottom"/>
            <w:tcBorders>
              <w:top w:val="single" w:sz="8" w:color="51555C"/>
            </w:tcBorders>
          </w:tcPr>
          <w:p>
            <w:pPr>
              <w:jc w:val="right"/>
              <w:ind w:right="15"/>
              <w:spacing w:after="0"/>
              <w:rPr>
                <w:sz w:val="20"/>
                <w:szCs w:val="20"/>
                <w:color w:val="auto"/>
              </w:rPr>
            </w:pPr>
            <w:r>
              <w:rPr>
                <w:rFonts w:ascii="Arial" w:cs="Arial" w:eastAsia="Arial" w:hAnsi="Arial"/>
                <w:sz w:val="18"/>
                <w:szCs w:val="18"/>
                <w:color w:val="51555C"/>
              </w:rPr>
              <w:t>1,077,818</w:t>
            </w:r>
          </w:p>
        </w:tc>
        <w:tc>
          <w:tcPr>
            <w:tcW w:w="80" w:type="dxa"/>
            <w:vAlign w:val="bottom"/>
          </w:tcPr>
          <w:p>
            <w:pPr>
              <w:spacing w:after="0"/>
              <w:rPr>
                <w:sz w:val="20"/>
                <w:szCs w:val="20"/>
                <w:color w:val="auto"/>
              </w:rPr>
            </w:pPr>
          </w:p>
        </w:tc>
        <w:tc>
          <w:tcPr>
            <w:tcW w:w="16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5.78 %</w:t>
            </w:r>
          </w:p>
        </w:tc>
        <w:tc>
          <w:tcPr>
            <w:tcW w:w="16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5.75 %</w:t>
            </w:r>
          </w:p>
        </w:tc>
        <w:tc>
          <w:tcPr>
            <w:tcW w:w="20" w:type="dxa"/>
            <w:vAlign w:val="bottom"/>
          </w:tcPr>
          <w:p>
            <w:pPr>
              <w:spacing w:after="0"/>
              <w:rPr>
                <w:sz w:val="20"/>
                <w:szCs w:val="20"/>
                <w:color w:val="auto"/>
              </w:rPr>
            </w:pPr>
          </w:p>
        </w:tc>
      </w:tr>
      <w:tr>
        <w:trPr>
          <w:trHeight w:val="23"/>
        </w:trPr>
        <w:tc>
          <w:tcPr>
            <w:tcW w:w="4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Unamortized discount and debt issuance costs</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2,232</w:t>
            </w:r>
          </w:p>
        </w:tc>
        <w:tc>
          <w:tcPr>
            <w:tcW w:w="2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2,833</w:t>
            </w:r>
          </w:p>
        </w:tc>
        <w:tc>
          <w:tcPr>
            <w:tcW w:w="8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51555C"/>
              </w:rPr>
              <w:t>Less: Debt, current portion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23,350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23,875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51555C"/>
              </w:rPr>
              <w:t>6.35 %</w:t>
            </w:r>
          </w:p>
        </w:tc>
        <w:tc>
          <w:tcPr>
            <w:tcW w:w="1660" w:type="dxa"/>
            <w:vAlign w:val="bottom"/>
          </w:tcPr>
          <w:p>
            <w:pPr>
              <w:jc w:val="right"/>
              <w:spacing w:after="0"/>
              <w:rPr>
                <w:sz w:val="20"/>
                <w:szCs w:val="20"/>
                <w:color w:val="auto"/>
              </w:rPr>
            </w:pPr>
            <w:r>
              <w:rPr>
                <w:rFonts w:ascii="Arial" w:cs="Arial" w:eastAsia="Arial" w:hAnsi="Arial"/>
                <w:sz w:val="18"/>
                <w:szCs w:val="18"/>
                <w:color w:val="51555C"/>
              </w:rPr>
              <w:t>6.21 %</w:t>
            </w:r>
          </w:p>
        </w:tc>
        <w:tc>
          <w:tcPr>
            <w:tcW w:w="20" w:type="dxa"/>
            <w:vAlign w:val="bottom"/>
          </w:tcPr>
          <w:p>
            <w:pPr>
              <w:spacing w:after="0"/>
              <w:rPr>
                <w:sz w:val="21"/>
                <w:szCs w:val="21"/>
                <w:color w:val="auto"/>
              </w:rPr>
            </w:pPr>
          </w:p>
        </w:tc>
      </w:tr>
      <w:tr>
        <w:trPr>
          <w:trHeight w:val="23"/>
        </w:trPr>
        <w:tc>
          <w:tcPr>
            <w:tcW w:w="482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26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1640" w:type="dxa"/>
            <w:vAlign w:val="bottom"/>
            <w:tcBorders>
              <w:bottom w:val="single" w:sz="8" w:color="51555C"/>
            </w:tcBorders>
          </w:tcPr>
          <w:p>
            <w:pPr>
              <w:spacing w:after="0"/>
              <w:rPr>
                <w:sz w:val="2"/>
                <w:szCs w:val="2"/>
                <w:color w:val="auto"/>
              </w:rPr>
            </w:pPr>
          </w:p>
        </w:tc>
        <w:tc>
          <w:tcPr>
            <w:tcW w:w="16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Debt, net of current portion</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1,182,343</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1,051,110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5.76 %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5.73 %</w:t>
            </w:r>
          </w:p>
        </w:tc>
        <w:tc>
          <w:tcPr>
            <w:tcW w:w="20" w:type="dxa"/>
            <w:vAlign w:val="bottom"/>
          </w:tcPr>
          <w:p>
            <w:pPr>
              <w:spacing w:after="0"/>
              <w:rPr>
                <w:sz w:val="21"/>
                <w:szCs w:val="21"/>
                <w:color w:val="auto"/>
              </w:rPr>
            </w:pPr>
          </w:p>
        </w:tc>
      </w:tr>
      <w:tr>
        <w:trPr>
          <w:trHeight w:val="20"/>
        </w:trPr>
        <w:tc>
          <w:tcPr>
            <w:tcW w:w="482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260" w:type="dxa"/>
            <w:vAlign w:val="bottom"/>
            <w:tcBorders>
              <w:right w:val="single" w:sz="8" w:color="0CD973"/>
            </w:tcBorders>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-1842135</wp:posOffset>
            </wp:positionV>
            <wp:extent cx="4088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2024 Credit Facilities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In April 2024, we entered into a five-year $1.5 billion senior credit facility (the "2024 Credit Facilities"). At March 31, 2025, we were in compliance with our debt covenants under the 2024 Credit Facilities.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Real estate loans</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March 31, 2025, we were in compliance with our debt covenants under the Real Estate Loans.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debt</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currently effective supplier financing agreements as of March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shd w:val="clear" w:color="auto" w:fill="004054"/>
          </w:tcPr>
          <w:p>
            <w:pPr>
              <w:spacing w:after="0"/>
              <w:rPr>
                <w:sz w:val="17"/>
                <w:szCs w:val="17"/>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004054"/>
          </w:tcPr>
          <w:p>
            <w:pPr>
              <w:spacing w:after="0"/>
              <w:rPr>
                <w:sz w:val="17"/>
                <w:szCs w:val="17"/>
                <w:color w:val="auto"/>
              </w:rPr>
            </w:pPr>
          </w:p>
        </w:tc>
      </w:tr>
      <w:tr>
        <w:trPr>
          <w:trHeight w:val="205"/>
        </w:trPr>
        <w:tc>
          <w:tcPr>
            <w:tcW w:w="48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004054"/>
            </w:tcBorders>
            <w:shd w:val="clear" w:color="auto" w:fill="004054"/>
          </w:tcPr>
          <w:p>
            <w:pPr>
              <w:spacing w:after="0"/>
              <w:rPr>
                <w:sz w:val="17"/>
                <w:szCs w:val="17"/>
                <w:color w:val="auto"/>
              </w:rPr>
            </w:pPr>
          </w:p>
        </w:tc>
      </w:tr>
      <w:tr>
        <w:trPr>
          <w:trHeight w:val="432"/>
        </w:trPr>
        <w:tc>
          <w:tcPr>
            <w:tcW w:w="48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 xml:space="preserve">Effective dates of agreements </w:t>
            </w:r>
            <w:r>
              <w:rPr>
                <w:rFonts w:ascii="Arial" w:cs="Arial" w:eastAsia="Arial" w:hAnsi="Arial"/>
                <w:sz w:val="23"/>
                <w:szCs w:val="23"/>
                <w:b w:val="1"/>
                <w:bCs w:val="1"/>
                <w:color w:val="51555C"/>
                <w:vertAlign w:val="superscript"/>
              </w:rPr>
              <w:t>(1)</w:t>
            </w:r>
            <w:r>
              <w:rPr>
                <w:rFonts w:ascii="Arial" w:cs="Arial" w:eastAsia="Arial" w:hAnsi="Arial"/>
                <w:sz w:val="18"/>
                <w:szCs w:val="18"/>
                <w:b w:val="1"/>
                <w:bCs w:val="1"/>
                <w:color w:val="51555C"/>
              </w:rPr>
              <w:t>:</w:t>
            </w:r>
          </w:p>
        </w:tc>
        <w:tc>
          <w:tcPr>
            <w:tcW w:w="152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164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880" w:type="dxa"/>
            <w:vAlign w:val="bottom"/>
          </w:tcPr>
          <w:p>
            <w:pPr>
              <w:ind w:left="140"/>
              <w:spacing w:after="0"/>
              <w:rPr>
                <w:sz w:val="20"/>
                <w:szCs w:val="20"/>
                <w:color w:val="auto"/>
              </w:rPr>
            </w:pPr>
            <w:r>
              <w:rPr>
                <w:rFonts w:ascii="Arial" w:cs="Arial" w:eastAsia="Arial" w:hAnsi="Arial"/>
                <w:sz w:val="18"/>
                <w:szCs w:val="18"/>
                <w:color w:val="51555C"/>
              </w:rPr>
              <w:t>December 2022</w:t>
            </w:r>
          </w:p>
        </w:tc>
        <w:tc>
          <w:tcPr>
            <w:tcW w:w="1520" w:type="dxa"/>
            <w:vAlign w:val="bottom"/>
          </w:tcPr>
          <w:p>
            <w:pPr>
              <w:jc w:val="right"/>
              <w:spacing w:after="0"/>
              <w:rPr>
                <w:sz w:val="20"/>
                <w:szCs w:val="20"/>
                <w:color w:val="auto"/>
              </w:rPr>
            </w:pPr>
            <w:r>
              <w:rPr>
                <w:rFonts w:ascii="Arial" w:cs="Arial" w:eastAsia="Arial" w:hAnsi="Arial"/>
                <w:sz w:val="18"/>
                <w:szCs w:val="18"/>
                <w:color w:val="51555C"/>
              </w:rPr>
              <w:t>39</w:t>
            </w:r>
          </w:p>
        </w:tc>
        <w:tc>
          <w:tcPr>
            <w:tcW w:w="1660" w:type="dxa"/>
            <w:vAlign w:val="bottom"/>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Pr>
          <w:p>
            <w:pPr>
              <w:jc w:val="right"/>
              <w:spacing w:after="0"/>
              <w:rPr>
                <w:sz w:val="20"/>
                <w:szCs w:val="20"/>
                <w:color w:val="auto"/>
              </w:rPr>
            </w:pPr>
            <w:r>
              <w:rPr>
                <w:rFonts w:ascii="Arial" w:cs="Arial" w:eastAsia="Arial" w:hAnsi="Arial"/>
                <w:sz w:val="18"/>
                <w:szCs w:val="18"/>
                <w:color w:val="51555C"/>
              </w:rPr>
              <w:t>January 2023</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1,710</w:t>
            </w:r>
          </w:p>
        </w:tc>
        <w:tc>
          <w:tcPr>
            <w:tcW w:w="2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January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36</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April 2023</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2,491</w:t>
            </w:r>
          </w:p>
        </w:tc>
        <w:tc>
          <w:tcPr>
            <w:tcW w:w="20" w:type="dxa"/>
            <w:vAlign w:val="bottom"/>
          </w:tcPr>
          <w:p>
            <w:pPr>
              <w:spacing w:after="0"/>
              <w:rPr>
                <w:sz w:val="21"/>
                <w:szCs w:val="21"/>
                <w:color w:val="auto"/>
              </w:rPr>
            </w:pPr>
          </w:p>
        </w:tc>
      </w:tr>
      <w:tr>
        <w:trPr>
          <w:trHeight w:val="247"/>
        </w:trPr>
        <w:tc>
          <w:tcPr>
            <w:tcW w:w="4880" w:type="dxa"/>
            <w:vAlign w:val="bottom"/>
          </w:tcPr>
          <w:p>
            <w:pPr>
              <w:ind w:left="140"/>
              <w:spacing w:after="0"/>
              <w:rPr>
                <w:sz w:val="20"/>
                <w:szCs w:val="20"/>
                <w:color w:val="auto"/>
              </w:rPr>
            </w:pPr>
            <w:r>
              <w:rPr>
                <w:rFonts w:ascii="Arial" w:cs="Arial" w:eastAsia="Arial" w:hAnsi="Arial"/>
                <w:sz w:val="18"/>
                <w:szCs w:val="18"/>
                <w:color w:val="51555C"/>
              </w:rPr>
              <w:t>April 2024</w:t>
            </w:r>
          </w:p>
        </w:tc>
        <w:tc>
          <w:tcPr>
            <w:tcW w:w="1520" w:type="dxa"/>
            <w:vAlign w:val="bottom"/>
          </w:tcPr>
          <w:p>
            <w:pPr>
              <w:jc w:val="right"/>
              <w:spacing w:after="0"/>
              <w:rPr>
                <w:sz w:val="20"/>
                <w:szCs w:val="20"/>
                <w:color w:val="auto"/>
              </w:rPr>
            </w:pPr>
            <w:r>
              <w:rPr>
                <w:rFonts w:ascii="Arial" w:cs="Arial" w:eastAsia="Arial" w:hAnsi="Arial"/>
                <w:sz w:val="18"/>
                <w:szCs w:val="18"/>
                <w:color w:val="51555C"/>
              </w:rPr>
              <w:t>36</w:t>
            </w:r>
          </w:p>
        </w:tc>
        <w:tc>
          <w:tcPr>
            <w:tcW w:w="1660" w:type="dxa"/>
            <w:vAlign w:val="bottom"/>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Pr>
          <w:p>
            <w:pPr>
              <w:jc w:val="right"/>
              <w:spacing w:after="0"/>
              <w:rPr>
                <w:sz w:val="20"/>
                <w:szCs w:val="20"/>
                <w:color w:val="auto"/>
              </w:rPr>
            </w:pPr>
            <w:r>
              <w:rPr>
                <w:rFonts w:ascii="Arial" w:cs="Arial" w:eastAsia="Arial" w:hAnsi="Arial"/>
                <w:sz w:val="18"/>
                <w:szCs w:val="18"/>
                <w:color w:val="51555C"/>
              </w:rPr>
              <w:t>May 2024</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2,073</w:t>
            </w:r>
          </w:p>
        </w:tc>
        <w:tc>
          <w:tcPr>
            <w:tcW w:w="20" w:type="dxa"/>
            <w:vAlign w:val="bottom"/>
          </w:tcPr>
          <w:p>
            <w:pPr>
              <w:spacing w:after="0"/>
              <w:rPr>
                <w:sz w:val="21"/>
                <w:szCs w:val="21"/>
                <w:color w:val="auto"/>
              </w:rPr>
            </w:pPr>
          </w:p>
        </w:tc>
      </w:tr>
      <w:tr>
        <w:trPr>
          <w:trHeight w:val="23"/>
        </w:trPr>
        <w:tc>
          <w:tcPr>
            <w:tcW w:w="4880" w:type="dxa"/>
            <w:vAlign w:val="bottom"/>
            <w:tcBorders>
              <w:bottom w:val="single" w:sz="8" w:color="0CD973"/>
            </w:tcBorders>
          </w:tcPr>
          <w:p>
            <w:pPr>
              <w:spacing w:after="0"/>
              <w:rPr>
                <w:sz w:val="2"/>
                <w:szCs w:val="2"/>
                <w:color w:val="auto"/>
              </w:rPr>
            </w:pPr>
          </w:p>
        </w:tc>
        <w:tc>
          <w:tcPr>
            <w:tcW w:w="1520" w:type="dxa"/>
            <w:vAlign w:val="bottom"/>
            <w:tcBorders>
              <w:bottom w:val="single" w:sz="8" w:color="0CD973"/>
            </w:tcBorders>
          </w:tcPr>
          <w:p>
            <w:pPr>
              <w:spacing w:after="0"/>
              <w:rPr>
                <w:sz w:val="2"/>
                <w:szCs w:val="2"/>
                <w:color w:val="auto"/>
              </w:rPr>
            </w:pPr>
          </w:p>
        </w:tc>
        <w:tc>
          <w:tcPr>
            <w:tcW w:w="1660" w:type="dxa"/>
            <w:vAlign w:val="bottom"/>
            <w:tcBorders>
              <w:bottom w:val="single" w:sz="8" w:color="0CD973"/>
            </w:tcBorders>
          </w:tcPr>
          <w:p>
            <w:pPr>
              <w:spacing w:after="0"/>
              <w:rPr>
                <w:sz w:val="2"/>
                <w:szCs w:val="2"/>
                <w:color w:val="auto"/>
              </w:rPr>
            </w:pPr>
          </w:p>
        </w:tc>
        <w:tc>
          <w:tcPr>
            <w:tcW w:w="164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7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51555C"/>
        </w:rPr>
      </w:pPr>
      <w:r>
        <w:rPr>
          <w:rFonts w:ascii="Arial" w:cs="Arial" w:eastAsia="Arial" w:hAnsi="Arial"/>
          <w:sz w:val="14"/>
          <w:szCs w:val="14"/>
          <w:color w:val="51555C"/>
        </w:rPr>
        <w:t>Represent noncash investing and financing transactions during the periods indicated as we purchased software and services by assuming directly related liabilities.</w:t>
      </w:r>
    </w:p>
    <w:p>
      <w:pPr>
        <w:spacing w:after="0" w:line="34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12</w:t>
      </w:r>
      <w:r>
        <w:rPr>
          <w:sz w:val="20"/>
          <w:szCs w:val="20"/>
          <w:color w:val="auto"/>
        </w:rPr>
        <w:tab/>
      </w:r>
      <w:r>
        <w:rPr>
          <w:sz w:val="1"/>
          <w:szCs w:val="1"/>
          <w:color w:val="auto"/>
        </w:rPr>
        <w:drawing>
          <wp:inline distT="0" distB="0" distL="0" distR="0">
            <wp:extent cx="651510" cy="171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supplier financing obligations during the three months ended March 31, 2025,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004054"/>
            </w:tcBorders>
            <w:shd w:val="clear" w:color="auto" w:fill="004054"/>
          </w:tcPr>
          <w:p>
            <w:pPr>
              <w:spacing w:after="0"/>
              <w:rPr>
                <w:sz w:val="20"/>
                <w:szCs w:val="20"/>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70"/>
        </w:trPr>
        <w:tc>
          <w:tcPr>
            <w:tcW w:w="9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Balance at December 31, 2024</w:t>
            </w:r>
          </w:p>
        </w:tc>
        <w:tc>
          <w:tcPr>
            <w:tcW w:w="560" w:type="dxa"/>
            <w:vAlign w:val="bottom"/>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2,783</w:t>
            </w:r>
          </w:p>
        </w:tc>
        <w:tc>
          <w:tcPr>
            <w:tcW w:w="20" w:type="dxa"/>
            <w:vAlign w:val="bottom"/>
          </w:tcPr>
          <w:p>
            <w:pPr>
              <w:spacing w:after="0"/>
              <w:rPr>
                <w:sz w:val="23"/>
                <w:szCs w:val="23"/>
                <w:color w:val="auto"/>
              </w:rPr>
            </w:pPr>
          </w:p>
        </w:tc>
      </w:tr>
      <w:tr>
        <w:trPr>
          <w:trHeight w:val="301"/>
        </w:trPr>
        <w:tc>
          <w:tcPr>
            <w:tcW w:w="9700" w:type="dxa"/>
            <w:vAlign w:val="bottom"/>
          </w:tcPr>
          <w:p>
            <w:pPr>
              <w:ind w:left="140"/>
              <w:spacing w:after="0"/>
              <w:rPr>
                <w:sz w:val="20"/>
                <w:szCs w:val="20"/>
                <w:color w:val="auto"/>
              </w:rPr>
            </w:pPr>
            <w:r>
              <w:rPr>
                <w:rFonts w:ascii="Arial" w:cs="Arial" w:eastAsia="Arial" w:hAnsi="Arial"/>
                <w:sz w:val="18"/>
                <w:szCs w:val="18"/>
                <w:color w:val="51555C"/>
              </w:rPr>
              <w:t>Additions</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3"/>
        </w:trPr>
        <w:tc>
          <w:tcPr>
            <w:tcW w:w="9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97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Payments</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(570)</w:t>
            </w:r>
          </w:p>
        </w:tc>
        <w:tc>
          <w:tcPr>
            <w:tcW w:w="20" w:type="dxa"/>
            <w:vAlign w:val="bottom"/>
          </w:tcPr>
          <w:p>
            <w:pPr>
              <w:spacing w:after="0"/>
              <w:rPr>
                <w:sz w:val="24"/>
                <w:szCs w:val="24"/>
                <w:color w:val="auto"/>
              </w:rPr>
            </w:pPr>
          </w:p>
        </w:tc>
      </w:tr>
      <w:tr>
        <w:trPr>
          <w:trHeight w:val="257"/>
        </w:trPr>
        <w:tc>
          <w:tcPr>
            <w:tcW w:w="970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Balance at March 31, 2025</w:t>
            </w:r>
          </w:p>
        </w:tc>
        <w:tc>
          <w:tcPr>
            <w:tcW w:w="560" w:type="dxa"/>
            <w:vAlign w:val="bottom"/>
            <w:tcBorders>
              <w:top w:val="single" w:sz="8" w:color="51555C"/>
              <w:bottom w:val="single" w:sz="8" w:color="0CD973"/>
            </w:tcBorders>
          </w:tcPr>
          <w:p>
            <w:pPr>
              <w:jc w:val="right"/>
              <w:ind w:right="350"/>
              <w:spacing w:after="0"/>
              <w:rPr>
                <w:sz w:val="20"/>
                <w:szCs w:val="20"/>
                <w:color w:val="auto"/>
              </w:rPr>
            </w:pPr>
            <w:r>
              <w:rPr>
                <w:rFonts w:ascii="Arial" w:cs="Arial" w:eastAsia="Arial" w:hAnsi="Arial"/>
                <w:sz w:val="18"/>
                <w:szCs w:val="18"/>
                <w:color w:val="51555C"/>
                <w:w w:val="99"/>
              </w:rPr>
              <w:t>$</w:t>
            </w:r>
          </w:p>
        </w:tc>
        <w:tc>
          <w:tcPr>
            <w:tcW w:w="98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2,213</w:t>
            </w:r>
          </w:p>
        </w:tc>
        <w:tc>
          <w:tcPr>
            <w:tcW w:w="20" w:type="dxa"/>
            <w:vAlign w:val="bottom"/>
          </w:tcPr>
          <w:p>
            <w:pPr>
              <w:spacing w:after="0"/>
              <w:rPr>
                <w:sz w:val="22"/>
                <w:szCs w:val="22"/>
                <w:color w:val="auto"/>
              </w:rPr>
            </w:pPr>
          </w:p>
        </w:tc>
      </w:tr>
    </w:tbl>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7.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All of our derivative instruments are governed by International Swap Dealers Association, Inc. master agreements with our counterparties. As of March 31, 2025 and December 31, 2024, we have presented the fair value of our derivative instruments at the gross amounts in the condensed consolidated balance sheets as the gross fair values of our derivative instruments equaled their net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Cash flow hedges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 As of March 31, 2025 and December 31, 2024, the aggregate notional values of the interest rate swaps were $700.0 million and $700.0 million, respectively. All of the contracts have maturities on or before October 2028.</w:t>
      </w:r>
    </w:p>
    <w:p>
      <w:pPr>
        <w:spacing w:after="0" w:line="12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March 31, 2025 and December 31, 2024, the aggregate notional values of the foreign currency forward contracts designated as cash flow hedges that we held to buy USD in exchange for Canadian Dollars were $35.8 million CAD and $32.8 million CAD, respectively. All of the contracts have maturities of 12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211455</wp:posOffset>
            </wp:positionV>
            <wp:extent cx="65976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13</w:t>
            </w:r>
          </w:p>
        </w:tc>
      </w:tr>
      <w:tr>
        <w:trPr>
          <w:trHeight w:val="32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Net investment hedges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March 31, 2025 and December 31, 2024, the aggregate notional values of the foreign currency forward contracts designated as net investment hedges to reduce the volatility of the U.S. dollar value of a portion of our GBP-denominated investments was £16.3 million and £12.9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 fair values of our derivative instruments were as follows as 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40" w:type="dxa"/>
            <w:vAlign w:val="bottom"/>
            <w:shd w:val="clear" w:color="auto" w:fill="004054"/>
          </w:tcPr>
          <w:p>
            <w:pPr>
              <w:spacing w:after="0"/>
              <w:rPr>
                <w:sz w:val="19"/>
                <w:szCs w:val="19"/>
                <w:color w:val="auto"/>
              </w:rPr>
            </w:pPr>
          </w:p>
        </w:tc>
        <w:tc>
          <w:tcPr>
            <w:tcW w:w="1140" w:type="dxa"/>
            <w:vAlign w:val="bottom"/>
            <w:shd w:val="clear" w:color="auto" w:fill="004054"/>
          </w:tcPr>
          <w:p>
            <w:pPr>
              <w:spacing w:after="0"/>
              <w:rPr>
                <w:sz w:val="19"/>
                <w:szCs w:val="19"/>
                <w:color w:val="auto"/>
              </w:rPr>
            </w:pPr>
          </w:p>
        </w:tc>
        <w:tc>
          <w:tcPr>
            <w:tcW w:w="1680" w:type="dxa"/>
            <w:vAlign w:val="bottom"/>
            <w:shd w:val="clear" w:color="auto" w:fill="004054"/>
          </w:tcPr>
          <w:p>
            <w:pPr>
              <w:spacing w:after="0"/>
              <w:rPr>
                <w:sz w:val="19"/>
                <w:szCs w:val="19"/>
                <w:color w:val="auto"/>
              </w:rPr>
            </w:pPr>
          </w:p>
        </w:tc>
        <w:tc>
          <w:tcPr>
            <w:tcW w:w="340" w:type="dxa"/>
            <w:vAlign w:val="bottom"/>
            <w:shd w:val="clear" w:color="auto" w:fill="004054"/>
          </w:tcPr>
          <w:p>
            <w:pPr>
              <w:spacing w:after="0"/>
              <w:rPr>
                <w:sz w:val="19"/>
                <w:szCs w:val="19"/>
                <w:color w:val="auto"/>
              </w:rPr>
            </w:pPr>
          </w:p>
        </w:tc>
        <w:tc>
          <w:tcPr>
            <w:tcW w:w="900" w:type="dxa"/>
            <w:vAlign w:val="bottom"/>
            <w:shd w:val="clear" w:color="auto" w:fill="004054"/>
          </w:tcPr>
          <w:p>
            <w:pPr>
              <w:spacing w:after="0"/>
              <w:rPr>
                <w:sz w:val="19"/>
                <w:szCs w:val="19"/>
                <w:color w:val="auto"/>
              </w:rPr>
            </w:pPr>
          </w:p>
        </w:tc>
        <w:tc>
          <w:tcPr>
            <w:tcW w:w="126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Asset derivatives</w:t>
            </w:r>
          </w:p>
        </w:tc>
        <w:tc>
          <w:tcPr>
            <w:tcW w:w="100" w:type="dxa"/>
            <w:vAlign w:val="bottom"/>
          </w:tcPr>
          <w:p>
            <w:pPr>
              <w:spacing w:after="0"/>
              <w:rPr>
                <w:sz w:val="19"/>
                <w:szCs w:val="19"/>
                <w:color w:val="auto"/>
              </w:rPr>
            </w:pPr>
          </w:p>
        </w:tc>
        <w:tc>
          <w:tcPr>
            <w:tcW w:w="420" w:type="dxa"/>
            <w:vAlign w:val="bottom"/>
            <w:tcBorders>
              <w:right w:val="single" w:sz="8" w:color="004054"/>
            </w:tcBorders>
            <w:shd w:val="clear" w:color="auto" w:fill="004054"/>
          </w:tcPr>
          <w:p>
            <w:pPr>
              <w:spacing w:after="0"/>
              <w:rPr>
                <w:sz w:val="19"/>
                <w:szCs w:val="19"/>
                <w:color w:val="auto"/>
              </w:rPr>
            </w:pPr>
          </w:p>
        </w:tc>
        <w:tc>
          <w:tcPr>
            <w:tcW w:w="1260" w:type="dxa"/>
            <w:vAlign w:val="bottom"/>
            <w:shd w:val="clear" w:color="auto" w:fill="004054"/>
          </w:tcPr>
          <w:p>
            <w:pPr>
              <w:spacing w:after="0"/>
              <w:rPr>
                <w:sz w:val="19"/>
                <w:szCs w:val="19"/>
                <w:color w:val="auto"/>
              </w:rPr>
            </w:pPr>
          </w:p>
        </w:tc>
        <w:tc>
          <w:tcPr>
            <w:tcW w:w="5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8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40" w:type="dxa"/>
            <w:vAlign w:val="bottom"/>
            <w:shd w:val="clear" w:color="auto" w:fill="004054"/>
          </w:tcPr>
          <w:p>
            <w:pPr>
              <w:spacing w:after="0"/>
              <w:rPr>
                <w:sz w:val="19"/>
                <w:szCs w:val="19"/>
                <w:color w:val="auto"/>
              </w:rPr>
            </w:pPr>
          </w:p>
        </w:tc>
        <w:tc>
          <w:tcPr>
            <w:tcW w:w="1140" w:type="dxa"/>
            <w:vAlign w:val="bottom"/>
            <w:shd w:val="clear" w:color="auto" w:fill="004054"/>
          </w:tcPr>
          <w:p>
            <w:pPr>
              <w:spacing w:after="0"/>
              <w:rPr>
                <w:sz w:val="19"/>
                <w:szCs w:val="19"/>
                <w:color w:val="auto"/>
              </w:rPr>
            </w:pPr>
          </w:p>
        </w:tc>
        <w:tc>
          <w:tcPr>
            <w:tcW w:w="1680" w:type="dxa"/>
            <w:vAlign w:val="bottom"/>
            <w:shd w:val="clear" w:color="auto" w:fill="004054"/>
          </w:tcPr>
          <w:p>
            <w:pPr>
              <w:spacing w:after="0"/>
              <w:rPr>
                <w:sz w:val="19"/>
                <w:szCs w:val="19"/>
                <w:color w:val="auto"/>
              </w:rPr>
            </w:pPr>
          </w:p>
        </w:tc>
        <w:tc>
          <w:tcPr>
            <w:tcW w:w="340" w:type="dxa"/>
            <w:vAlign w:val="bottom"/>
            <w:shd w:val="clear" w:color="auto" w:fill="004054"/>
          </w:tcPr>
          <w:p>
            <w:pPr>
              <w:spacing w:after="0"/>
              <w:rPr>
                <w:sz w:val="19"/>
                <w:szCs w:val="19"/>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60" w:type="dxa"/>
            <w:vAlign w:val="bottom"/>
            <w:shd w:val="clear" w:color="auto" w:fill="004054"/>
          </w:tcPr>
          <w:p>
            <w:pPr>
              <w:spacing w:after="0"/>
              <w:rPr>
                <w:sz w:val="19"/>
                <w:szCs w:val="19"/>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9"/>
                <w:szCs w:val="19"/>
                <w:color w:val="auto"/>
              </w:rPr>
            </w:pPr>
          </w:p>
        </w:tc>
        <w:tc>
          <w:tcPr>
            <w:tcW w:w="420" w:type="dxa"/>
            <w:vAlign w:val="bottom"/>
            <w:tcBorders>
              <w:right w:val="single" w:sz="8" w:color="004054"/>
            </w:tcBorders>
            <w:shd w:val="clear" w:color="auto" w:fill="004054"/>
          </w:tcPr>
          <w:p>
            <w:pPr>
              <w:spacing w:after="0"/>
              <w:rPr>
                <w:sz w:val="19"/>
                <w:szCs w:val="19"/>
                <w:color w:val="auto"/>
              </w:rPr>
            </w:pPr>
          </w:p>
        </w:tc>
        <w:tc>
          <w:tcPr>
            <w:tcW w:w="1260" w:type="dxa"/>
            <w:vAlign w:val="bottom"/>
            <w:shd w:val="clear" w:color="auto" w:fill="004054"/>
          </w:tcPr>
          <w:p>
            <w:pPr>
              <w:spacing w:after="0"/>
              <w:rPr>
                <w:sz w:val="19"/>
                <w:szCs w:val="19"/>
                <w:color w:val="auto"/>
              </w:rPr>
            </w:pPr>
          </w:p>
        </w:tc>
        <w:tc>
          <w:tcPr>
            <w:tcW w:w="520" w:type="dxa"/>
            <w:vAlign w:val="bottom"/>
            <w:shd w:val="clear" w:color="auto" w:fill="004054"/>
          </w:tcPr>
          <w:p>
            <w:pPr>
              <w:spacing w:after="0"/>
              <w:rPr>
                <w:sz w:val="19"/>
                <w:szCs w:val="19"/>
                <w:color w:val="auto"/>
              </w:rPr>
            </w:pPr>
          </w:p>
        </w:tc>
        <w:tc>
          <w:tcPr>
            <w:tcW w:w="7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80" w:type="dxa"/>
            <w:vAlign w:val="bottom"/>
            <w:shd w:val="clear" w:color="auto" w:fill="004054"/>
          </w:tcPr>
          <w:p>
            <w:pPr>
              <w:spacing w:after="0"/>
              <w:rPr>
                <w:sz w:val="19"/>
                <w:szCs w:val="19"/>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6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140" w:type="dxa"/>
            <w:vAlign w:val="bottom"/>
            <w:tcBorders>
              <w:bottom w:val="single" w:sz="8" w:color="004054"/>
            </w:tcBorders>
            <w:shd w:val="clear" w:color="auto" w:fill="004054"/>
          </w:tcPr>
          <w:p>
            <w:pPr>
              <w:spacing w:after="0"/>
              <w:rPr>
                <w:sz w:val="17"/>
                <w:szCs w:val="17"/>
                <w:color w:val="auto"/>
              </w:rPr>
            </w:pPr>
          </w:p>
        </w:tc>
        <w:tc>
          <w:tcPr>
            <w:tcW w:w="1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340" w:type="dxa"/>
            <w:vAlign w:val="bottom"/>
            <w:tcBorders>
              <w:bottom w:val="single" w:sz="8" w:color="004054"/>
            </w:tcBorders>
            <w:shd w:val="clear" w:color="auto" w:fill="004054"/>
          </w:tcPr>
          <w:p>
            <w:pPr>
              <w:spacing w:after="0"/>
              <w:rPr>
                <w:sz w:val="17"/>
                <w:szCs w:val="17"/>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60" w:type="dxa"/>
            <w:vAlign w:val="bottom"/>
            <w:tcBorders>
              <w:bottom w:val="single" w:sz="8" w:color="004054"/>
            </w:tcBorders>
            <w:shd w:val="clear" w:color="auto" w:fill="004054"/>
          </w:tcPr>
          <w:p>
            <w:pPr>
              <w:spacing w:after="0"/>
              <w:rPr>
                <w:sz w:val="17"/>
                <w:szCs w:val="17"/>
                <w:color w:val="auto"/>
              </w:rPr>
            </w:pPr>
          </w:p>
        </w:tc>
        <w:tc>
          <w:tcPr>
            <w:tcW w:w="11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00" w:type="dxa"/>
            <w:vAlign w:val="bottom"/>
            <w:tcBorders>
              <w:bottom w:val="single" w:sz="8" w:color="EBFBFF"/>
            </w:tcBorders>
          </w:tcPr>
          <w:p>
            <w:pPr>
              <w:spacing w:after="0"/>
              <w:rPr>
                <w:sz w:val="17"/>
                <w:szCs w:val="17"/>
                <w:color w:val="auto"/>
              </w:rPr>
            </w:pPr>
          </w:p>
        </w:tc>
        <w:tc>
          <w:tcPr>
            <w:tcW w:w="168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520" w:type="dxa"/>
            <w:vAlign w:val="bottom"/>
            <w:tcBorders>
              <w:bottom w:val="single" w:sz="8" w:color="004054"/>
            </w:tcBorders>
            <w:shd w:val="clear" w:color="auto" w:fill="004054"/>
          </w:tcPr>
          <w:p>
            <w:pPr>
              <w:spacing w:after="0"/>
              <w:rPr>
                <w:sz w:val="17"/>
                <w:szCs w:val="17"/>
                <w:color w:val="auto"/>
              </w:rPr>
            </w:pPr>
          </w:p>
        </w:tc>
        <w:tc>
          <w:tcPr>
            <w:tcW w:w="140" w:type="dxa"/>
            <w:vAlign w:val="bottom"/>
            <w:tcBorders>
              <w:bottom w:val="single" w:sz="8" w:color="004054"/>
            </w:tcBorders>
            <w:shd w:val="clear" w:color="auto" w:fill="004054"/>
          </w:tcPr>
          <w:p>
            <w:pPr>
              <w:spacing w:after="0"/>
              <w:rPr>
                <w:sz w:val="17"/>
                <w:szCs w:val="17"/>
                <w:color w:val="auto"/>
              </w:rPr>
            </w:pPr>
          </w:p>
        </w:tc>
        <w:tc>
          <w:tcPr>
            <w:tcW w:w="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80" w:type="dxa"/>
            <w:vAlign w:val="bottom"/>
            <w:tcBorders>
              <w:bottom w:val="single" w:sz="8" w:color="004054"/>
            </w:tcBorders>
            <w:shd w:val="clear" w:color="auto" w:fill="004054"/>
          </w:tcPr>
          <w:p>
            <w:pPr>
              <w:spacing w:after="0"/>
              <w:rPr>
                <w:sz w:val="17"/>
                <w:szCs w:val="17"/>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Derivative instruments</w:t>
            </w:r>
          </w:p>
        </w:tc>
        <w:tc>
          <w:tcPr>
            <w:tcW w:w="1680" w:type="dxa"/>
            <w:vAlign w:val="bottom"/>
            <w:shd w:val="clear" w:color="auto" w:fill="EBFBFF"/>
          </w:tcPr>
          <w:p>
            <w:pPr>
              <w:spacing w:after="0"/>
              <w:rPr>
                <w:sz w:val="19"/>
                <w:szCs w:val="19"/>
                <w:color w:val="auto"/>
              </w:rPr>
            </w:pPr>
          </w:p>
        </w:tc>
        <w:tc>
          <w:tcPr>
            <w:tcW w:w="340" w:type="dxa"/>
            <w:vAlign w:val="bottom"/>
            <w:shd w:val="clear" w:color="auto" w:fill="EBFBFF"/>
          </w:tcPr>
          <w:p>
            <w:pPr>
              <w:spacing w:after="0"/>
              <w:rPr>
                <w:sz w:val="19"/>
                <w:szCs w:val="19"/>
                <w:color w:val="auto"/>
              </w:rPr>
            </w:pPr>
          </w:p>
        </w:tc>
        <w:tc>
          <w:tcPr>
            <w:tcW w:w="90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1100" w:type="dxa"/>
            <w:vAlign w:val="bottom"/>
            <w:tcBorders>
              <w:right w:val="single" w:sz="8" w:color="EBFBFF"/>
            </w:tcBorders>
            <w:shd w:val="clear" w:color="auto" w:fill="EBFBFF"/>
          </w:tcPr>
          <w:p>
            <w:pPr>
              <w:spacing w:after="0"/>
              <w:rPr>
                <w:sz w:val="19"/>
                <w:szCs w:val="19"/>
                <w:color w:val="auto"/>
              </w:rPr>
            </w:pPr>
          </w:p>
        </w:tc>
        <w:tc>
          <w:tcPr>
            <w:tcW w:w="100" w:type="dxa"/>
            <w:vAlign w:val="bottom"/>
            <w:shd w:val="clear" w:color="auto" w:fill="EBFBFF"/>
          </w:tcPr>
          <w:p>
            <w:pPr>
              <w:spacing w:after="0"/>
              <w:rPr>
                <w:sz w:val="19"/>
                <w:szCs w:val="19"/>
                <w:color w:val="auto"/>
              </w:rPr>
            </w:pPr>
          </w:p>
        </w:tc>
        <w:tc>
          <w:tcPr>
            <w:tcW w:w="420" w:type="dxa"/>
            <w:vAlign w:val="bottom"/>
            <w:tcBorders>
              <w:right w:val="single" w:sz="8" w:color="EBFBFF"/>
            </w:tcBorders>
            <w:shd w:val="clear" w:color="auto" w:fill="EBFBFF"/>
          </w:tcPr>
          <w:p>
            <w:pPr>
              <w:spacing w:after="0"/>
              <w:rPr>
                <w:sz w:val="19"/>
                <w:szCs w:val="19"/>
                <w:color w:val="auto"/>
              </w:rPr>
            </w:pPr>
          </w:p>
        </w:tc>
        <w:tc>
          <w:tcPr>
            <w:tcW w:w="1260" w:type="dxa"/>
            <w:vAlign w:val="bottom"/>
            <w:shd w:val="clear" w:color="auto" w:fill="EBFBFF"/>
          </w:tcPr>
          <w:p>
            <w:pPr>
              <w:spacing w:after="0"/>
              <w:rPr>
                <w:sz w:val="19"/>
                <w:szCs w:val="19"/>
                <w:color w:val="auto"/>
              </w:rPr>
            </w:pPr>
          </w:p>
        </w:tc>
        <w:tc>
          <w:tcPr>
            <w:tcW w:w="520" w:type="dxa"/>
            <w:vAlign w:val="bottom"/>
            <w:shd w:val="clear" w:color="auto" w:fill="EBFBFF"/>
          </w:tcPr>
          <w:p>
            <w:pPr>
              <w:spacing w:after="0"/>
              <w:rPr>
                <w:sz w:val="19"/>
                <w:szCs w:val="19"/>
                <w:color w:val="auto"/>
              </w:rPr>
            </w:pPr>
          </w:p>
        </w:tc>
        <w:tc>
          <w:tcPr>
            <w:tcW w:w="14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80" w:type="dxa"/>
            <w:vAlign w:val="bottom"/>
            <w:shd w:val="clear" w:color="auto" w:fill="EBFBFF"/>
          </w:tcPr>
          <w:p>
            <w:pPr>
              <w:spacing w:after="0"/>
              <w:rPr>
                <w:sz w:val="19"/>
                <w:szCs w:val="19"/>
                <w:color w:val="auto"/>
              </w:rPr>
            </w:pPr>
          </w:p>
        </w:tc>
        <w:tc>
          <w:tcPr>
            <w:tcW w:w="10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680" w:type="dxa"/>
            <w:vAlign w:val="bottom"/>
            <w:shd w:val="clear" w:color="auto" w:fill="EBFBFF"/>
          </w:tcPr>
          <w:p>
            <w:pPr>
              <w:spacing w:after="0"/>
              <w:rPr>
                <w:sz w:val="18"/>
                <w:szCs w:val="18"/>
                <w:color w:val="auto"/>
              </w:rPr>
            </w:pPr>
          </w:p>
        </w:tc>
        <w:tc>
          <w:tcPr>
            <w:tcW w:w="340" w:type="dxa"/>
            <w:vAlign w:val="bottom"/>
            <w:shd w:val="clear" w:color="auto" w:fill="EBFBFF"/>
          </w:tcPr>
          <w:p>
            <w:pPr>
              <w:spacing w:after="0"/>
              <w:rPr>
                <w:sz w:val="18"/>
                <w:szCs w:val="18"/>
                <w:color w:val="auto"/>
              </w:rPr>
            </w:pPr>
          </w:p>
        </w:tc>
        <w:tc>
          <w:tcPr>
            <w:tcW w:w="90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1100" w:type="dxa"/>
            <w:vAlign w:val="bottom"/>
            <w:tcBorders>
              <w:right w:val="single" w:sz="8" w:color="EBFBFF"/>
            </w:tcBorders>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420" w:type="dxa"/>
            <w:vAlign w:val="bottom"/>
            <w:tcBorders>
              <w:right w:val="single" w:sz="8" w:color="EBFBFF"/>
            </w:tcBorders>
            <w:shd w:val="clear" w:color="auto" w:fill="EBFBFF"/>
          </w:tcPr>
          <w:p>
            <w:pPr>
              <w:spacing w:after="0"/>
              <w:rPr>
                <w:sz w:val="18"/>
                <w:szCs w:val="18"/>
                <w:color w:val="auto"/>
              </w:rPr>
            </w:pPr>
          </w:p>
        </w:tc>
        <w:tc>
          <w:tcPr>
            <w:tcW w:w="1260" w:type="dxa"/>
            <w:vAlign w:val="bottom"/>
            <w:shd w:val="clear" w:color="auto" w:fill="EBFBFF"/>
          </w:tcPr>
          <w:p>
            <w:pPr>
              <w:spacing w:after="0"/>
              <w:rPr>
                <w:sz w:val="18"/>
                <w:szCs w:val="18"/>
                <w:color w:val="auto"/>
              </w:rPr>
            </w:pPr>
          </w:p>
        </w:tc>
        <w:tc>
          <w:tcPr>
            <w:tcW w:w="52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58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6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instruments:</w:t>
            </w:r>
          </w:p>
        </w:tc>
        <w:tc>
          <w:tcPr>
            <w:tcW w:w="1140" w:type="dxa"/>
            <w:vAlign w:val="bottom"/>
            <w:shd w:val="clear" w:color="auto" w:fill="EBFBFF"/>
          </w:tcPr>
          <w:p>
            <w:pPr>
              <w:spacing w:after="0"/>
              <w:rPr>
                <w:sz w:val="22"/>
                <w:szCs w:val="22"/>
                <w:color w:val="auto"/>
              </w:rPr>
            </w:pPr>
          </w:p>
        </w:tc>
        <w:tc>
          <w:tcPr>
            <w:tcW w:w="1680" w:type="dxa"/>
            <w:vAlign w:val="bottom"/>
            <w:shd w:val="clear" w:color="auto" w:fill="EBFBFF"/>
          </w:tcPr>
          <w:p>
            <w:pPr>
              <w:spacing w:after="0"/>
              <w:rPr>
                <w:sz w:val="22"/>
                <w:szCs w:val="22"/>
                <w:color w:val="auto"/>
              </w:rPr>
            </w:pPr>
          </w:p>
        </w:tc>
        <w:tc>
          <w:tcPr>
            <w:tcW w:w="340" w:type="dxa"/>
            <w:vAlign w:val="bottom"/>
            <w:shd w:val="clear" w:color="auto" w:fill="EBFBFF"/>
          </w:tcPr>
          <w:p>
            <w:pPr>
              <w:spacing w:after="0"/>
              <w:rPr>
                <w:sz w:val="22"/>
                <w:szCs w:val="22"/>
                <w:color w:val="auto"/>
              </w:rPr>
            </w:pPr>
          </w:p>
        </w:tc>
        <w:tc>
          <w:tcPr>
            <w:tcW w:w="900" w:type="dxa"/>
            <w:vAlign w:val="bottom"/>
            <w:shd w:val="clear" w:color="auto" w:fill="EBFBFF"/>
          </w:tcPr>
          <w:p>
            <w:pPr>
              <w:spacing w:after="0"/>
              <w:rPr>
                <w:sz w:val="22"/>
                <w:szCs w:val="22"/>
                <w:color w:val="auto"/>
              </w:rPr>
            </w:pPr>
          </w:p>
        </w:tc>
        <w:tc>
          <w:tcPr>
            <w:tcW w:w="160" w:type="dxa"/>
            <w:vAlign w:val="bottom"/>
            <w:shd w:val="clear" w:color="auto" w:fill="EBFBFF"/>
          </w:tcPr>
          <w:p>
            <w:pPr>
              <w:spacing w:after="0"/>
              <w:rPr>
                <w:sz w:val="22"/>
                <w:szCs w:val="22"/>
                <w:color w:val="auto"/>
              </w:rPr>
            </w:pPr>
          </w:p>
        </w:tc>
        <w:tc>
          <w:tcPr>
            <w:tcW w:w="1100" w:type="dxa"/>
            <w:vAlign w:val="bottom"/>
            <w:tcBorders>
              <w:right w:val="single" w:sz="8" w:color="EBFBFF"/>
            </w:tcBorders>
            <w:shd w:val="clear" w:color="auto" w:fill="EBFBFF"/>
          </w:tcPr>
          <w:p>
            <w:pPr>
              <w:spacing w:after="0"/>
              <w:rPr>
                <w:sz w:val="22"/>
                <w:szCs w:val="22"/>
                <w:color w:val="auto"/>
              </w:rPr>
            </w:pPr>
          </w:p>
        </w:tc>
        <w:tc>
          <w:tcPr>
            <w:tcW w:w="100" w:type="dxa"/>
            <w:vAlign w:val="bottom"/>
            <w:shd w:val="clear" w:color="auto" w:fill="EBFBFF"/>
          </w:tcPr>
          <w:p>
            <w:pPr>
              <w:spacing w:after="0"/>
              <w:rPr>
                <w:sz w:val="22"/>
                <w:szCs w:val="22"/>
                <w:color w:val="auto"/>
              </w:rPr>
            </w:pPr>
          </w:p>
        </w:tc>
        <w:tc>
          <w:tcPr>
            <w:tcW w:w="420" w:type="dxa"/>
            <w:vAlign w:val="bottom"/>
            <w:tcBorders>
              <w:right w:val="single" w:sz="8" w:color="EBFBFF"/>
            </w:tcBorders>
            <w:shd w:val="clear" w:color="auto" w:fill="EBFBFF"/>
          </w:tcPr>
          <w:p>
            <w:pPr>
              <w:spacing w:after="0"/>
              <w:rPr>
                <w:sz w:val="22"/>
                <w:szCs w:val="22"/>
                <w:color w:val="auto"/>
              </w:rPr>
            </w:pPr>
          </w:p>
        </w:tc>
        <w:tc>
          <w:tcPr>
            <w:tcW w:w="1260" w:type="dxa"/>
            <w:vAlign w:val="bottom"/>
            <w:shd w:val="clear" w:color="auto" w:fill="EBFBFF"/>
          </w:tcPr>
          <w:p>
            <w:pPr>
              <w:spacing w:after="0"/>
              <w:rPr>
                <w:sz w:val="22"/>
                <w:szCs w:val="22"/>
                <w:color w:val="auto"/>
              </w:rPr>
            </w:pPr>
          </w:p>
        </w:tc>
        <w:tc>
          <w:tcPr>
            <w:tcW w:w="520" w:type="dxa"/>
            <w:vAlign w:val="bottom"/>
            <w:shd w:val="clear" w:color="auto" w:fill="EBFBFF"/>
          </w:tcPr>
          <w:p>
            <w:pPr>
              <w:spacing w:after="0"/>
              <w:rPr>
                <w:sz w:val="22"/>
                <w:szCs w:val="22"/>
                <w:color w:val="auto"/>
              </w:rPr>
            </w:pPr>
          </w:p>
        </w:tc>
        <w:tc>
          <w:tcPr>
            <w:tcW w:w="140" w:type="dxa"/>
            <w:vAlign w:val="bottom"/>
            <w:shd w:val="clear" w:color="auto" w:fill="EBFBFF"/>
          </w:tcPr>
          <w:p>
            <w:pPr>
              <w:spacing w:after="0"/>
              <w:rPr>
                <w:sz w:val="22"/>
                <w:szCs w:val="22"/>
                <w:color w:val="auto"/>
              </w:rPr>
            </w:pPr>
          </w:p>
        </w:tc>
        <w:tc>
          <w:tcPr>
            <w:tcW w:w="580" w:type="dxa"/>
            <w:vAlign w:val="bottom"/>
            <w:shd w:val="clear" w:color="auto" w:fill="EBFBFF"/>
          </w:tcPr>
          <w:p>
            <w:pPr>
              <w:spacing w:after="0"/>
              <w:rPr>
                <w:sz w:val="22"/>
                <w:szCs w:val="22"/>
                <w:color w:val="auto"/>
              </w:rPr>
            </w:pPr>
          </w:p>
        </w:tc>
        <w:tc>
          <w:tcPr>
            <w:tcW w:w="180" w:type="dxa"/>
            <w:vAlign w:val="bottom"/>
            <w:shd w:val="clear" w:color="auto" w:fill="EBFBFF"/>
          </w:tcPr>
          <w:p>
            <w:pPr>
              <w:spacing w:after="0"/>
              <w:rPr>
                <w:sz w:val="22"/>
                <w:szCs w:val="22"/>
                <w:color w:val="auto"/>
              </w:rPr>
            </w:pPr>
          </w:p>
        </w:tc>
        <w:tc>
          <w:tcPr>
            <w:tcW w:w="108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Foreign currency forward</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51555C"/>
              </w:rPr>
              <w:t>Prepaid expenses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608"/>
              <w:spacing w:after="0"/>
              <w:rPr>
                <w:sz w:val="20"/>
                <w:szCs w:val="20"/>
                <w:color w:val="auto"/>
              </w:rPr>
            </w:pPr>
            <w:r>
              <w:rPr>
                <w:rFonts w:ascii="Arial" w:cs="Arial" w:eastAsia="Arial" w:hAnsi="Arial"/>
                <w:sz w:val="18"/>
                <w:szCs w:val="18"/>
                <w:color w:val="51555C"/>
              </w:rPr>
              <w:t>Accrued expenses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contracts, current portion</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51555C"/>
              </w:rPr>
              <w:t>and other current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3"/>
          </w:tcPr>
          <w:p>
            <w:pPr>
              <w:jc w:val="right"/>
              <w:ind w:right="608"/>
              <w:spacing w:after="0"/>
              <w:rPr>
                <w:sz w:val="20"/>
                <w:szCs w:val="20"/>
                <w:color w:val="auto"/>
              </w:rPr>
            </w:pPr>
            <w:r>
              <w:rPr>
                <w:rFonts w:ascii="Arial" w:cs="Arial" w:eastAsia="Arial" w:hAnsi="Arial"/>
                <w:sz w:val="18"/>
                <w:szCs w:val="18"/>
                <w:color w:val="51555C"/>
              </w:rPr>
              <w:t>and other</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51555C"/>
              </w:rPr>
              <w:t>assets $</w:t>
            </w:r>
          </w:p>
        </w:tc>
        <w:tc>
          <w:tcPr>
            <w:tcW w:w="900" w:type="dxa"/>
            <w:vAlign w:val="bottom"/>
          </w:tcPr>
          <w:p>
            <w:pPr>
              <w:jc w:val="right"/>
              <w:spacing w:after="0"/>
              <w:rPr>
                <w:sz w:val="20"/>
                <w:szCs w:val="20"/>
                <w:color w:val="auto"/>
              </w:rPr>
            </w:pPr>
            <w:r>
              <w:rPr>
                <w:rFonts w:ascii="Arial" w:cs="Arial" w:eastAsia="Arial" w:hAnsi="Arial"/>
                <w:sz w:val="18"/>
                <w:szCs w:val="18"/>
                <w:color w:val="51555C"/>
              </w:rPr>
              <w:t>719</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ind w:right="2"/>
              <w:spacing w:after="0"/>
              <w:rPr>
                <w:sz w:val="20"/>
                <w:szCs w:val="20"/>
                <w:color w:val="auto"/>
              </w:rPr>
            </w:pPr>
            <w:r>
              <w:rPr>
                <w:rFonts w:ascii="Arial" w:cs="Arial" w:eastAsia="Arial" w:hAnsi="Arial"/>
                <w:sz w:val="18"/>
                <w:szCs w:val="18"/>
                <w:color w:val="51555C"/>
              </w:rPr>
              <w:t>1,288</w:t>
            </w:r>
          </w:p>
        </w:tc>
        <w:tc>
          <w:tcPr>
            <w:tcW w:w="100" w:type="dxa"/>
            <w:vAlign w:val="bottom"/>
          </w:tcPr>
          <w:p>
            <w:pPr>
              <w:spacing w:after="0"/>
              <w:rPr>
                <w:sz w:val="20"/>
                <w:szCs w:val="20"/>
                <w:color w:val="auto"/>
              </w:rPr>
            </w:pPr>
          </w:p>
        </w:tc>
        <w:tc>
          <w:tcPr>
            <w:tcW w:w="2340" w:type="dxa"/>
            <w:vAlign w:val="bottom"/>
            <w:gridSpan w:val="4"/>
          </w:tcPr>
          <w:p>
            <w:pPr>
              <w:jc w:val="right"/>
              <w:ind w:right="468"/>
              <w:spacing w:after="0"/>
              <w:rPr>
                <w:sz w:val="20"/>
                <w:szCs w:val="20"/>
                <w:color w:val="auto"/>
              </w:rPr>
            </w:pPr>
            <w:r>
              <w:rPr>
                <w:rFonts w:ascii="Arial" w:cs="Arial" w:eastAsia="Arial" w:hAnsi="Arial"/>
                <w:sz w:val="18"/>
                <w:szCs w:val="18"/>
                <w:color w:val="51555C"/>
              </w:rPr>
              <w:t>current liabilities $</w:t>
            </w:r>
          </w:p>
        </w:tc>
        <w:tc>
          <w:tcPr>
            <w:tcW w:w="580" w:type="dxa"/>
            <w:vAlign w:val="bottom"/>
          </w:tcPr>
          <w:p>
            <w:pPr>
              <w:jc w:val="right"/>
              <w:ind w:right="2"/>
              <w:spacing w:after="0"/>
              <w:rPr>
                <w:sz w:val="20"/>
                <w:szCs w:val="20"/>
                <w:color w:val="auto"/>
              </w:rPr>
            </w:pPr>
            <w:r>
              <w:rPr>
                <w:rFonts w:ascii="Arial" w:cs="Arial" w:eastAsia="Arial" w:hAnsi="Arial"/>
                <w:sz w:val="18"/>
                <w:szCs w:val="18"/>
                <w:color w:val="51555C"/>
              </w:rPr>
              <w:t>264</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78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80" w:type="dxa"/>
            <w:vAlign w:val="bottom"/>
            <w:tcBorders>
              <w:bottom w:val="single" w:sz="8" w:color="EBFBFF"/>
            </w:tcBorders>
            <w:gridSpan w:val="2"/>
            <w:shd w:val="clear" w:color="auto" w:fill="EBFBFF"/>
          </w:tcPr>
          <w:p>
            <w:pPr>
              <w:ind w:left="140"/>
              <w:spacing w:after="0"/>
              <w:rPr>
                <w:sz w:val="20"/>
                <w:szCs w:val="20"/>
                <w:color w:val="auto"/>
              </w:rPr>
            </w:pPr>
            <w:r>
              <w:rPr>
                <w:rFonts w:ascii="Arial" w:cs="Arial" w:eastAsia="Arial" w:hAnsi="Arial"/>
                <w:sz w:val="18"/>
                <w:szCs w:val="18"/>
                <w:color w:val="51555C"/>
              </w:rPr>
              <w:t>Interest rate swaps, long-term</w:t>
            </w:r>
          </w:p>
        </w:tc>
        <w:tc>
          <w:tcPr>
            <w:tcW w:w="202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8"/>
                <w:szCs w:val="18"/>
                <w:color w:val="51555C"/>
              </w:rPr>
              <w:t>Other assets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2,798</w:t>
            </w:r>
          </w:p>
        </w:tc>
        <w:tc>
          <w:tcPr>
            <w:tcW w:w="16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right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9,262</w:t>
            </w:r>
          </w:p>
        </w:tc>
        <w:tc>
          <w:tcPr>
            <w:tcW w:w="100" w:type="dxa"/>
            <w:vAlign w:val="bottom"/>
            <w:tcBorders>
              <w:bottom w:val="single" w:sz="8" w:color="EBFBFF"/>
            </w:tcBorders>
            <w:shd w:val="clear" w:color="auto" w:fill="EBFBFF"/>
          </w:tcPr>
          <w:p>
            <w:pPr>
              <w:spacing w:after="0"/>
              <w:rPr>
                <w:sz w:val="24"/>
                <w:szCs w:val="24"/>
                <w:color w:val="auto"/>
              </w:rPr>
            </w:pPr>
          </w:p>
        </w:tc>
        <w:tc>
          <w:tcPr>
            <w:tcW w:w="420" w:type="dxa"/>
            <w:vAlign w:val="bottom"/>
            <w:tcBorders>
              <w:bottom w:val="single" w:sz="8" w:color="EBFBFF"/>
              <w:right w:val="single" w:sz="8" w:color="EBFBFF"/>
            </w:tcBorders>
            <w:shd w:val="clear" w:color="auto" w:fill="EBFBFF"/>
          </w:tcPr>
          <w:p>
            <w:pPr>
              <w:spacing w:after="0"/>
              <w:rPr>
                <w:sz w:val="24"/>
                <w:szCs w:val="24"/>
                <w:color w:val="auto"/>
              </w:rPr>
            </w:pPr>
          </w:p>
        </w:tc>
        <w:tc>
          <w:tcPr>
            <w:tcW w:w="1920" w:type="dxa"/>
            <w:vAlign w:val="bottom"/>
            <w:tcBorders>
              <w:bottom w:val="single" w:sz="8" w:color="EBFBFF"/>
            </w:tcBorders>
            <w:gridSpan w:val="3"/>
            <w:shd w:val="clear" w:color="auto" w:fill="EBFBFF"/>
          </w:tcPr>
          <w:p>
            <w:pPr>
              <w:jc w:val="right"/>
              <w:ind w:right="608"/>
              <w:spacing w:after="0"/>
              <w:rPr>
                <w:sz w:val="20"/>
                <w:szCs w:val="20"/>
                <w:color w:val="auto"/>
              </w:rPr>
            </w:pPr>
            <w:r>
              <w:rPr>
                <w:rFonts w:ascii="Arial" w:cs="Arial" w:eastAsia="Arial" w:hAnsi="Arial"/>
                <w:sz w:val="18"/>
                <w:szCs w:val="18"/>
                <w:color w:val="51555C"/>
              </w:rPr>
              <w:t>Other liabilities</w:t>
            </w:r>
          </w:p>
        </w:tc>
        <w:tc>
          <w:tcPr>
            <w:tcW w:w="5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w:t>
            </w:r>
          </w:p>
        </w:tc>
        <w:tc>
          <w:tcPr>
            <w:tcW w:w="1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8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51555C"/>
              </w:rPr>
              <w:t>Total derivative instruments</w:t>
            </w:r>
          </w:p>
        </w:tc>
        <w:tc>
          <w:tcPr>
            <w:tcW w:w="1680" w:type="dxa"/>
            <w:vAlign w:val="bottom"/>
          </w:tcPr>
          <w:p>
            <w:pPr>
              <w:spacing w:after="0"/>
              <w:rPr>
                <w:sz w:val="17"/>
                <w:szCs w:val="17"/>
                <w:color w:val="auto"/>
              </w:rPr>
            </w:pPr>
          </w:p>
        </w:tc>
        <w:tc>
          <w:tcPr>
            <w:tcW w:w="340" w:type="dxa"/>
            <w:vAlign w:val="bottom"/>
            <w:tcBorders>
              <w:top w:val="single" w:sz="8" w:color="51555C"/>
            </w:tcBorders>
          </w:tcPr>
          <w:p>
            <w:pPr>
              <w:spacing w:after="0"/>
              <w:rPr>
                <w:sz w:val="17"/>
                <w:szCs w:val="17"/>
                <w:color w:val="auto"/>
              </w:rPr>
            </w:pPr>
          </w:p>
        </w:tc>
        <w:tc>
          <w:tcPr>
            <w:tcW w:w="900" w:type="dxa"/>
            <w:vAlign w:val="bottom"/>
            <w:tcBorders>
              <w:top w:val="single" w:sz="8" w:color="51555C"/>
            </w:tcBorders>
          </w:tcPr>
          <w:p>
            <w:pPr>
              <w:spacing w:after="0"/>
              <w:rPr>
                <w:sz w:val="17"/>
                <w:szCs w:val="17"/>
                <w:color w:val="auto"/>
              </w:rPr>
            </w:pPr>
          </w:p>
        </w:tc>
        <w:tc>
          <w:tcPr>
            <w:tcW w:w="160" w:type="dxa"/>
            <w:vAlign w:val="bottom"/>
            <w:tcBorders>
              <w:top w:val="single" w:sz="8" w:color="51555C"/>
            </w:tcBorders>
          </w:tcPr>
          <w:p>
            <w:pPr>
              <w:spacing w:after="0"/>
              <w:rPr>
                <w:sz w:val="17"/>
                <w:szCs w:val="17"/>
                <w:color w:val="auto"/>
              </w:rPr>
            </w:pPr>
          </w:p>
        </w:tc>
        <w:tc>
          <w:tcPr>
            <w:tcW w:w="1100" w:type="dxa"/>
            <w:vAlign w:val="bottom"/>
            <w:tcBorders>
              <w:top w:val="single" w:sz="8" w:color="51555C"/>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Borders>
              <w:top w:val="single" w:sz="8" w:color="51555C"/>
            </w:tcBorders>
          </w:tcPr>
          <w:p>
            <w:pPr>
              <w:spacing w:after="0"/>
              <w:rPr>
                <w:sz w:val="17"/>
                <w:szCs w:val="17"/>
                <w:color w:val="auto"/>
              </w:rPr>
            </w:pPr>
          </w:p>
        </w:tc>
        <w:tc>
          <w:tcPr>
            <w:tcW w:w="140" w:type="dxa"/>
            <w:vAlign w:val="bottom"/>
            <w:tcBorders>
              <w:top w:val="single" w:sz="8" w:color="51555C"/>
            </w:tcBorders>
          </w:tcPr>
          <w:p>
            <w:pPr>
              <w:spacing w:after="0"/>
              <w:rPr>
                <w:sz w:val="17"/>
                <w:szCs w:val="17"/>
                <w:color w:val="auto"/>
              </w:rPr>
            </w:pPr>
          </w:p>
        </w:tc>
        <w:tc>
          <w:tcPr>
            <w:tcW w:w="580" w:type="dxa"/>
            <w:vAlign w:val="bottom"/>
            <w:tcBorders>
              <w:top w:val="single" w:sz="8" w:color="51555C"/>
            </w:tcBorders>
          </w:tcPr>
          <w:p>
            <w:pPr>
              <w:spacing w:after="0"/>
              <w:rPr>
                <w:sz w:val="17"/>
                <w:szCs w:val="17"/>
                <w:color w:val="auto"/>
              </w:rPr>
            </w:pPr>
          </w:p>
        </w:tc>
        <w:tc>
          <w:tcPr>
            <w:tcW w:w="180" w:type="dxa"/>
            <w:vAlign w:val="bottom"/>
            <w:tcBorders>
              <w:top w:val="single" w:sz="8" w:color="51555C"/>
            </w:tcBorders>
          </w:tcPr>
          <w:p>
            <w:pPr>
              <w:spacing w:after="0"/>
              <w:rPr>
                <w:sz w:val="17"/>
                <w:szCs w:val="17"/>
                <w:color w:val="auto"/>
              </w:rPr>
            </w:pPr>
          </w:p>
        </w:tc>
        <w:tc>
          <w:tcPr>
            <w:tcW w:w="108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4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instruments</w:t>
            </w:r>
          </w:p>
        </w:tc>
        <w:tc>
          <w:tcPr>
            <w:tcW w:w="1140" w:type="dxa"/>
            <w:vAlign w:val="bottom"/>
            <w:tcBorders>
              <w:bottom w:val="single" w:sz="8" w:color="0CD973"/>
            </w:tcBorders>
          </w:tcPr>
          <w:p>
            <w:pPr>
              <w:spacing w:after="0"/>
              <w:rPr>
                <w:sz w:val="22"/>
                <w:szCs w:val="22"/>
                <w:color w:val="auto"/>
              </w:rPr>
            </w:pPr>
          </w:p>
        </w:tc>
        <w:tc>
          <w:tcPr>
            <w:tcW w:w="2020" w:type="dxa"/>
            <w:vAlign w:val="bottom"/>
            <w:tcBorders>
              <w:bottom w:val="single" w:sz="8" w:color="0CD973"/>
            </w:tcBorders>
            <w:gridSpan w:val="2"/>
          </w:tcPr>
          <w:p>
            <w:pPr>
              <w:jc w:val="right"/>
              <w:ind w:right="220"/>
              <w:spacing w:after="0"/>
              <w:rPr>
                <w:sz w:val="20"/>
                <w:szCs w:val="20"/>
                <w:color w:val="auto"/>
              </w:rPr>
            </w:pPr>
            <w:r>
              <w:rPr>
                <w:rFonts w:ascii="Arial" w:cs="Arial" w:eastAsia="Arial" w:hAnsi="Arial"/>
                <w:sz w:val="18"/>
                <w:szCs w:val="18"/>
                <w:color w:val="51555C"/>
              </w:rPr>
              <w:t>$</w:t>
            </w:r>
          </w:p>
        </w:tc>
        <w:tc>
          <w:tcPr>
            <w:tcW w:w="90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3,517</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0CD973"/>
            </w:tcBorders>
          </w:tcPr>
          <w:p>
            <w:pPr>
              <w:jc w:val="right"/>
              <w:ind w:right="2"/>
              <w:spacing w:after="0"/>
              <w:rPr>
                <w:sz w:val="20"/>
                <w:szCs w:val="20"/>
                <w:color w:val="auto"/>
              </w:rPr>
            </w:pPr>
            <w:r>
              <w:rPr>
                <w:rFonts w:ascii="Arial" w:cs="Arial" w:eastAsia="Arial" w:hAnsi="Arial"/>
                <w:sz w:val="18"/>
                <w:szCs w:val="18"/>
                <w:color w:val="51555C"/>
              </w:rPr>
              <w:t>10,550</w:t>
            </w:r>
          </w:p>
        </w:tc>
        <w:tc>
          <w:tcPr>
            <w:tcW w:w="100" w:type="dxa"/>
            <w:vAlign w:val="bottom"/>
            <w:tcBorders>
              <w:bottom w:val="single" w:sz="8" w:color="0CD973"/>
            </w:tcBorders>
          </w:tcPr>
          <w:p>
            <w:pPr>
              <w:spacing w:after="0"/>
              <w:rPr>
                <w:sz w:val="22"/>
                <w:szCs w:val="22"/>
                <w:color w:val="auto"/>
              </w:rPr>
            </w:pPr>
          </w:p>
        </w:tc>
        <w:tc>
          <w:tcPr>
            <w:tcW w:w="420" w:type="dxa"/>
            <w:vAlign w:val="bottom"/>
            <w:tcBorders>
              <w:bottom w:val="single" w:sz="8" w:color="0CD973"/>
            </w:tcBorders>
          </w:tcPr>
          <w:p>
            <w:pPr>
              <w:spacing w:after="0"/>
              <w:rPr>
                <w:sz w:val="22"/>
                <w:szCs w:val="22"/>
                <w:color w:val="auto"/>
              </w:rPr>
            </w:pPr>
          </w:p>
        </w:tc>
        <w:tc>
          <w:tcPr>
            <w:tcW w:w="1780" w:type="dxa"/>
            <w:vAlign w:val="bottom"/>
            <w:tcBorders>
              <w:bottom w:val="single" w:sz="8" w:color="0CD973"/>
            </w:tcBorders>
            <w:gridSpan w:val="2"/>
          </w:tcPr>
          <w:p>
            <w:pPr>
              <w:jc w:val="right"/>
              <w:ind w:right="40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0CD973"/>
            </w:tcBorders>
          </w:tcPr>
          <w:p>
            <w:pPr>
              <w:spacing w:after="0"/>
              <w:rPr>
                <w:sz w:val="22"/>
                <w:szCs w:val="22"/>
                <w:color w:val="auto"/>
              </w:rPr>
            </w:pPr>
          </w:p>
        </w:tc>
        <w:tc>
          <w:tcPr>
            <w:tcW w:w="580" w:type="dxa"/>
            <w:vAlign w:val="bottom"/>
            <w:tcBorders>
              <w:bottom w:val="single" w:sz="8" w:color="0CD973"/>
            </w:tcBorders>
          </w:tcPr>
          <w:p>
            <w:pPr>
              <w:jc w:val="right"/>
              <w:ind w:right="2"/>
              <w:spacing w:after="0"/>
              <w:rPr>
                <w:sz w:val="20"/>
                <w:szCs w:val="20"/>
                <w:color w:val="auto"/>
              </w:rPr>
            </w:pPr>
            <w:r>
              <w:rPr>
                <w:rFonts w:ascii="Arial" w:cs="Arial" w:eastAsia="Arial" w:hAnsi="Arial"/>
                <w:sz w:val="18"/>
                <w:szCs w:val="18"/>
                <w:color w:val="51555C"/>
              </w:rPr>
              <w:t>264</w:t>
            </w:r>
          </w:p>
        </w:tc>
        <w:tc>
          <w:tcPr>
            <w:tcW w:w="18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0CD973"/>
            </w:tcBorders>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3"/>
        </w:trPr>
        <w:tc>
          <w:tcPr>
            <w:tcW w:w="9400" w:type="dxa"/>
            <w:vAlign w:val="bottom"/>
            <w:gridSpan w:val="12"/>
          </w:tcPr>
          <w:p>
            <w:pPr>
              <w:spacing w:after="0"/>
              <w:rPr>
                <w:sz w:val="20"/>
                <w:szCs w:val="20"/>
                <w:color w:val="auto"/>
              </w:rPr>
            </w:pPr>
            <w:r>
              <w:rPr>
                <w:rFonts w:ascii="Arial" w:cs="Arial" w:eastAsia="Arial" w:hAnsi="Arial"/>
                <w:sz w:val="18"/>
                <w:szCs w:val="18"/>
                <w:color w:val="51555C"/>
              </w:rPr>
              <w:t>The effects of derivative instruments in cash flow and net investment hedging relationships were as follows: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640" w:type="dxa"/>
            <w:vAlign w:val="bottom"/>
            <w:shd w:val="clear" w:color="auto" w:fill="004054"/>
          </w:tcPr>
          <w:p>
            <w:pPr>
              <w:spacing w:after="0"/>
              <w:rPr>
                <w:sz w:val="22"/>
                <w:szCs w:val="22"/>
                <w:color w:val="auto"/>
              </w:rPr>
            </w:pPr>
          </w:p>
        </w:tc>
        <w:tc>
          <w:tcPr>
            <w:tcW w:w="1140" w:type="dxa"/>
            <w:vAlign w:val="bottom"/>
            <w:shd w:val="clear" w:color="auto" w:fill="004054"/>
          </w:tcPr>
          <w:p>
            <w:pPr>
              <w:spacing w:after="0"/>
              <w:rPr>
                <w:sz w:val="22"/>
                <w:szCs w:val="22"/>
                <w:color w:val="auto"/>
              </w:rPr>
            </w:pPr>
          </w:p>
        </w:tc>
        <w:tc>
          <w:tcPr>
            <w:tcW w:w="1680" w:type="dxa"/>
            <w:vAlign w:val="bottom"/>
            <w:shd w:val="clear" w:color="auto" w:fill="004054"/>
          </w:tcPr>
          <w:p>
            <w:pPr>
              <w:spacing w:after="0"/>
              <w:rPr>
                <w:sz w:val="22"/>
                <w:szCs w:val="22"/>
                <w:color w:val="auto"/>
              </w:rPr>
            </w:pPr>
          </w:p>
        </w:tc>
        <w:tc>
          <w:tcPr>
            <w:tcW w:w="340" w:type="dxa"/>
            <w:vAlign w:val="bottom"/>
            <w:shd w:val="clear" w:color="auto" w:fill="004054"/>
          </w:tcPr>
          <w:p>
            <w:pPr>
              <w:spacing w:after="0"/>
              <w:rPr>
                <w:sz w:val="22"/>
                <w:szCs w:val="22"/>
                <w:color w:val="auto"/>
              </w:rPr>
            </w:pPr>
          </w:p>
        </w:tc>
        <w:tc>
          <w:tcPr>
            <w:tcW w:w="900" w:type="dxa"/>
            <w:vAlign w:val="bottom"/>
            <w:shd w:val="clear" w:color="auto" w:fill="004054"/>
          </w:tcPr>
          <w:p>
            <w:pPr>
              <w:spacing w:after="0"/>
              <w:rPr>
                <w:sz w:val="22"/>
                <w:szCs w:val="22"/>
                <w:color w:val="auto"/>
              </w:rPr>
            </w:pPr>
          </w:p>
        </w:tc>
        <w:tc>
          <w:tcPr>
            <w:tcW w:w="160" w:type="dxa"/>
            <w:vAlign w:val="bottom"/>
            <w:shd w:val="clear" w:color="auto" w:fill="004054"/>
          </w:tcPr>
          <w:p>
            <w:pPr>
              <w:spacing w:after="0"/>
              <w:rPr>
                <w:sz w:val="22"/>
                <w:szCs w:val="22"/>
                <w:color w:val="auto"/>
              </w:rPr>
            </w:pPr>
          </w:p>
        </w:tc>
        <w:tc>
          <w:tcPr>
            <w:tcW w:w="1620" w:type="dxa"/>
            <w:vAlign w:val="bottom"/>
            <w:tcBorders>
              <w:right w:val="single" w:sz="8" w:color="004054"/>
            </w:tcBorders>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1780" w:type="dxa"/>
            <w:vAlign w:val="bottom"/>
            <w:gridSpan w:val="2"/>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Location</w:t>
            </w:r>
          </w:p>
        </w:tc>
        <w:tc>
          <w:tcPr>
            <w:tcW w:w="140" w:type="dxa"/>
            <w:vAlign w:val="bottom"/>
            <w:shd w:val="clear" w:color="auto" w:fill="004054"/>
          </w:tcPr>
          <w:p>
            <w:pPr>
              <w:spacing w:after="0"/>
              <w:rPr>
                <w:sz w:val="22"/>
                <w:szCs w:val="22"/>
                <w:color w:val="auto"/>
              </w:rPr>
            </w:pPr>
          </w:p>
        </w:tc>
        <w:tc>
          <w:tcPr>
            <w:tcW w:w="184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reclassified from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640" w:type="dxa"/>
            <w:vAlign w:val="bottom"/>
            <w:shd w:val="clear" w:color="auto" w:fill="004054"/>
          </w:tcPr>
          <w:p>
            <w:pPr>
              <w:spacing w:after="0"/>
              <w:rPr>
                <w:sz w:val="9"/>
                <w:szCs w:val="9"/>
                <w:color w:val="auto"/>
              </w:rPr>
            </w:pPr>
          </w:p>
        </w:tc>
        <w:tc>
          <w:tcPr>
            <w:tcW w:w="1140" w:type="dxa"/>
            <w:vAlign w:val="bottom"/>
            <w:shd w:val="clear" w:color="auto" w:fill="004054"/>
          </w:tcPr>
          <w:p>
            <w:pPr>
              <w:spacing w:after="0"/>
              <w:rPr>
                <w:sz w:val="9"/>
                <w:szCs w:val="9"/>
                <w:color w:val="auto"/>
              </w:rPr>
            </w:pPr>
          </w:p>
        </w:tc>
        <w:tc>
          <w:tcPr>
            <w:tcW w:w="1680" w:type="dxa"/>
            <w:vAlign w:val="bottom"/>
            <w:shd w:val="clear" w:color="auto" w:fill="004054"/>
          </w:tcPr>
          <w:p>
            <w:pPr>
              <w:spacing w:after="0"/>
              <w:rPr>
                <w:sz w:val="9"/>
                <w:szCs w:val="9"/>
                <w:color w:val="auto"/>
              </w:rPr>
            </w:pPr>
          </w:p>
        </w:tc>
        <w:tc>
          <w:tcPr>
            <w:tcW w:w="340" w:type="dxa"/>
            <w:vAlign w:val="bottom"/>
            <w:shd w:val="clear" w:color="auto" w:fill="004054"/>
          </w:tcPr>
          <w:p>
            <w:pPr>
              <w:spacing w:after="0"/>
              <w:rPr>
                <w:sz w:val="9"/>
                <w:szCs w:val="9"/>
                <w:color w:val="auto"/>
              </w:rPr>
            </w:pPr>
          </w:p>
        </w:tc>
        <w:tc>
          <w:tcPr>
            <w:tcW w:w="90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gridSpan w:val="3"/>
            <w:vMerge w:val="continue"/>
            <w:shd w:val="clear" w:color="auto" w:fill="004054"/>
          </w:tcPr>
          <w:p>
            <w:pPr>
              <w:spacing w:after="0"/>
              <w:rPr>
                <w:sz w:val="9"/>
                <w:szCs w:val="9"/>
                <w:color w:val="auto"/>
              </w:rPr>
            </w:pPr>
          </w:p>
        </w:tc>
        <w:tc>
          <w:tcPr>
            <w:tcW w:w="1780" w:type="dxa"/>
            <w:vAlign w:val="bottom"/>
            <w:gridSpan w:val="2"/>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of gain (loss)</w:t>
            </w:r>
          </w:p>
        </w:tc>
        <w:tc>
          <w:tcPr>
            <w:tcW w:w="140" w:type="dxa"/>
            <w:vAlign w:val="bottom"/>
            <w:shd w:val="clear" w:color="auto" w:fill="004054"/>
          </w:tcPr>
          <w:p>
            <w:pPr>
              <w:spacing w:after="0"/>
              <w:rPr>
                <w:sz w:val="9"/>
                <w:szCs w:val="9"/>
                <w:color w:val="auto"/>
              </w:rPr>
            </w:pPr>
          </w:p>
        </w:tc>
        <w:tc>
          <w:tcPr>
            <w:tcW w:w="1840" w:type="dxa"/>
            <w:vAlign w:val="bottom"/>
            <w:gridSpan w:val="3"/>
            <w:vMerge w:val="continue"/>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40" w:type="dxa"/>
            <w:vAlign w:val="bottom"/>
            <w:shd w:val="clear" w:color="auto" w:fill="004054"/>
          </w:tcPr>
          <w:p>
            <w:pPr>
              <w:spacing w:after="0"/>
              <w:rPr>
                <w:sz w:val="5"/>
                <w:szCs w:val="5"/>
                <w:color w:val="auto"/>
              </w:rPr>
            </w:pPr>
          </w:p>
        </w:tc>
        <w:tc>
          <w:tcPr>
            <w:tcW w:w="1140" w:type="dxa"/>
            <w:vAlign w:val="bottom"/>
            <w:shd w:val="clear" w:color="auto" w:fill="004054"/>
          </w:tcPr>
          <w:p>
            <w:pPr>
              <w:spacing w:after="0"/>
              <w:rPr>
                <w:sz w:val="5"/>
                <w:szCs w:val="5"/>
                <w:color w:val="auto"/>
              </w:rPr>
            </w:pPr>
          </w:p>
        </w:tc>
        <w:tc>
          <w:tcPr>
            <w:tcW w:w="1680" w:type="dxa"/>
            <w:vAlign w:val="bottom"/>
            <w:shd w:val="clear" w:color="auto" w:fill="004054"/>
          </w:tcPr>
          <w:p>
            <w:pPr>
              <w:spacing w:after="0"/>
              <w:rPr>
                <w:sz w:val="5"/>
                <w:szCs w:val="5"/>
                <w:color w:val="auto"/>
              </w:rPr>
            </w:pPr>
          </w:p>
        </w:tc>
        <w:tc>
          <w:tcPr>
            <w:tcW w:w="34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620" w:type="dxa"/>
            <w:vAlign w:val="bottom"/>
            <w:tcBorders>
              <w:right w:val="single" w:sz="8" w:color="004054"/>
            </w:tcBorders>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780" w:type="dxa"/>
            <w:vAlign w:val="bottom"/>
            <w:gridSpan w:val="2"/>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580" w:type="dxa"/>
            <w:vAlign w:val="bottom"/>
            <w:shd w:val="clear" w:color="auto" w:fill="004054"/>
          </w:tcPr>
          <w:p>
            <w:pPr>
              <w:spacing w:after="0"/>
              <w:rPr>
                <w:sz w:val="5"/>
                <w:szCs w:val="5"/>
                <w:color w:val="auto"/>
              </w:rPr>
            </w:pPr>
          </w:p>
        </w:tc>
        <w:tc>
          <w:tcPr>
            <w:tcW w:w="180" w:type="dxa"/>
            <w:vAlign w:val="bottom"/>
            <w:shd w:val="clear" w:color="auto" w:fill="004054"/>
          </w:tcPr>
          <w:p>
            <w:pPr>
              <w:spacing w:after="0"/>
              <w:rPr>
                <w:sz w:val="5"/>
                <w:szCs w:val="5"/>
                <w:color w:val="auto"/>
              </w:rPr>
            </w:pPr>
          </w:p>
        </w:tc>
        <w:tc>
          <w:tcPr>
            <w:tcW w:w="10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40" w:type="dxa"/>
            <w:vAlign w:val="bottom"/>
            <w:shd w:val="clear" w:color="auto" w:fill="004054"/>
          </w:tcPr>
          <w:p>
            <w:pPr>
              <w:spacing w:after="0"/>
              <w:rPr>
                <w:sz w:val="9"/>
                <w:szCs w:val="9"/>
                <w:color w:val="auto"/>
              </w:rPr>
            </w:pPr>
          </w:p>
        </w:tc>
        <w:tc>
          <w:tcPr>
            <w:tcW w:w="1140" w:type="dxa"/>
            <w:vAlign w:val="bottom"/>
            <w:shd w:val="clear" w:color="auto" w:fill="004054"/>
          </w:tcPr>
          <w:p>
            <w:pPr>
              <w:spacing w:after="0"/>
              <w:rPr>
                <w:sz w:val="9"/>
                <w:szCs w:val="9"/>
                <w:color w:val="auto"/>
              </w:rPr>
            </w:pPr>
          </w:p>
        </w:tc>
        <w:tc>
          <w:tcPr>
            <w:tcW w:w="1680" w:type="dxa"/>
            <w:vAlign w:val="bottom"/>
            <w:shd w:val="clear" w:color="auto" w:fill="004054"/>
          </w:tcPr>
          <w:p>
            <w:pPr>
              <w:spacing w:after="0"/>
              <w:rPr>
                <w:sz w:val="9"/>
                <w:szCs w:val="9"/>
                <w:color w:val="auto"/>
              </w:rPr>
            </w:pPr>
          </w:p>
        </w:tc>
        <w:tc>
          <w:tcPr>
            <w:tcW w:w="340" w:type="dxa"/>
            <w:vAlign w:val="bottom"/>
            <w:shd w:val="clear" w:color="auto" w:fill="004054"/>
          </w:tcPr>
          <w:p>
            <w:pPr>
              <w:spacing w:after="0"/>
              <w:rPr>
                <w:sz w:val="9"/>
                <w:szCs w:val="9"/>
                <w:color w:val="auto"/>
              </w:rPr>
            </w:pPr>
          </w:p>
        </w:tc>
        <w:tc>
          <w:tcPr>
            <w:tcW w:w="90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gridSpan w:val="3"/>
            <w:vMerge w:val="continue"/>
            <w:shd w:val="clear" w:color="auto" w:fill="004054"/>
          </w:tcPr>
          <w:p>
            <w:pPr>
              <w:spacing w:after="0"/>
              <w:rPr>
                <w:sz w:val="9"/>
                <w:szCs w:val="9"/>
                <w:color w:val="auto"/>
              </w:rPr>
            </w:pPr>
          </w:p>
        </w:tc>
        <w:tc>
          <w:tcPr>
            <w:tcW w:w="1780" w:type="dxa"/>
            <w:vAlign w:val="bottom"/>
            <w:gridSpan w:val="2"/>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reclassified from</w:t>
            </w:r>
          </w:p>
        </w:tc>
        <w:tc>
          <w:tcPr>
            <w:tcW w:w="140" w:type="dxa"/>
            <w:vAlign w:val="bottom"/>
            <w:shd w:val="clear" w:color="auto" w:fill="004054"/>
          </w:tcPr>
          <w:p>
            <w:pPr>
              <w:spacing w:after="0"/>
              <w:rPr>
                <w:sz w:val="9"/>
                <w:szCs w:val="9"/>
                <w:color w:val="auto"/>
              </w:rPr>
            </w:pPr>
          </w:p>
        </w:tc>
        <w:tc>
          <w:tcPr>
            <w:tcW w:w="580" w:type="dxa"/>
            <w:vAlign w:val="bottom"/>
            <w:shd w:val="clear" w:color="auto" w:fill="004054"/>
          </w:tcPr>
          <w:p>
            <w:pPr>
              <w:spacing w:after="0"/>
              <w:rPr>
                <w:sz w:val="9"/>
                <w:szCs w:val="9"/>
                <w:color w:val="auto"/>
              </w:rPr>
            </w:pPr>
          </w:p>
        </w:tc>
        <w:tc>
          <w:tcPr>
            <w:tcW w:w="180" w:type="dxa"/>
            <w:vAlign w:val="bottom"/>
            <w:shd w:val="clear" w:color="auto" w:fill="004054"/>
          </w:tcPr>
          <w:p>
            <w:pPr>
              <w:spacing w:after="0"/>
              <w:rPr>
                <w:sz w:val="9"/>
                <w:szCs w:val="9"/>
                <w:color w:val="auto"/>
              </w:rPr>
            </w:pPr>
          </w:p>
        </w:tc>
        <w:tc>
          <w:tcPr>
            <w:tcW w:w="1080" w:type="dxa"/>
            <w:vAlign w:val="bottom"/>
            <w:vMerge w:val="continue"/>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40" w:type="dxa"/>
            <w:vAlign w:val="bottom"/>
            <w:shd w:val="clear" w:color="auto" w:fill="004054"/>
          </w:tcPr>
          <w:p>
            <w:pPr>
              <w:spacing w:after="0"/>
              <w:rPr>
                <w:sz w:val="5"/>
                <w:szCs w:val="5"/>
                <w:color w:val="auto"/>
              </w:rPr>
            </w:pPr>
          </w:p>
        </w:tc>
        <w:tc>
          <w:tcPr>
            <w:tcW w:w="1140" w:type="dxa"/>
            <w:vAlign w:val="bottom"/>
            <w:shd w:val="clear" w:color="auto" w:fill="004054"/>
          </w:tcPr>
          <w:p>
            <w:pPr>
              <w:spacing w:after="0"/>
              <w:rPr>
                <w:sz w:val="5"/>
                <w:szCs w:val="5"/>
                <w:color w:val="auto"/>
              </w:rPr>
            </w:pPr>
          </w:p>
        </w:tc>
        <w:tc>
          <w:tcPr>
            <w:tcW w:w="1680" w:type="dxa"/>
            <w:vAlign w:val="bottom"/>
            <w:shd w:val="clear" w:color="auto" w:fill="004054"/>
          </w:tcPr>
          <w:p>
            <w:pPr>
              <w:spacing w:after="0"/>
              <w:rPr>
                <w:sz w:val="5"/>
                <w:szCs w:val="5"/>
                <w:color w:val="auto"/>
              </w:rPr>
            </w:pPr>
          </w:p>
        </w:tc>
        <w:tc>
          <w:tcPr>
            <w:tcW w:w="34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620" w:type="dxa"/>
            <w:vAlign w:val="bottom"/>
            <w:tcBorders>
              <w:right w:val="single" w:sz="8" w:color="004054"/>
            </w:tcBorders>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780" w:type="dxa"/>
            <w:vAlign w:val="bottom"/>
            <w:gridSpan w:val="2"/>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184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other comprehensive loss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40" w:type="dxa"/>
            <w:vAlign w:val="bottom"/>
            <w:shd w:val="clear" w:color="auto" w:fill="004054"/>
          </w:tcPr>
          <w:p>
            <w:pPr>
              <w:spacing w:after="0"/>
              <w:rPr>
                <w:sz w:val="9"/>
                <w:szCs w:val="9"/>
                <w:color w:val="auto"/>
              </w:rPr>
            </w:pPr>
          </w:p>
        </w:tc>
        <w:tc>
          <w:tcPr>
            <w:tcW w:w="1140" w:type="dxa"/>
            <w:vAlign w:val="bottom"/>
            <w:shd w:val="clear" w:color="auto" w:fill="004054"/>
          </w:tcPr>
          <w:p>
            <w:pPr>
              <w:spacing w:after="0"/>
              <w:rPr>
                <w:sz w:val="9"/>
                <w:szCs w:val="9"/>
                <w:color w:val="auto"/>
              </w:rPr>
            </w:pPr>
          </w:p>
        </w:tc>
        <w:tc>
          <w:tcPr>
            <w:tcW w:w="1680" w:type="dxa"/>
            <w:vAlign w:val="bottom"/>
            <w:shd w:val="clear" w:color="auto" w:fill="004054"/>
          </w:tcPr>
          <w:p>
            <w:pPr>
              <w:spacing w:after="0"/>
              <w:rPr>
                <w:sz w:val="9"/>
                <w:szCs w:val="9"/>
                <w:color w:val="auto"/>
              </w:rPr>
            </w:pPr>
          </w:p>
        </w:tc>
        <w:tc>
          <w:tcPr>
            <w:tcW w:w="340" w:type="dxa"/>
            <w:vAlign w:val="bottom"/>
            <w:shd w:val="clear" w:color="auto" w:fill="004054"/>
          </w:tcPr>
          <w:p>
            <w:pPr>
              <w:spacing w:after="0"/>
              <w:rPr>
                <w:sz w:val="9"/>
                <w:szCs w:val="9"/>
                <w:color w:val="auto"/>
              </w:rPr>
            </w:pPr>
          </w:p>
        </w:tc>
        <w:tc>
          <w:tcPr>
            <w:tcW w:w="90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gridSpan w:val="3"/>
            <w:vMerge w:val="continue"/>
            <w:shd w:val="clear" w:color="auto" w:fill="004054"/>
          </w:tcPr>
          <w:p>
            <w:pPr>
              <w:spacing w:after="0"/>
              <w:rPr>
                <w:sz w:val="9"/>
                <w:szCs w:val="9"/>
                <w:color w:val="auto"/>
              </w:rPr>
            </w:pPr>
          </w:p>
        </w:tc>
        <w:tc>
          <w:tcPr>
            <w:tcW w:w="1780" w:type="dxa"/>
            <w:vAlign w:val="bottom"/>
            <w:gridSpan w:val="2"/>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accumulated other</w:t>
            </w:r>
          </w:p>
        </w:tc>
        <w:tc>
          <w:tcPr>
            <w:tcW w:w="140" w:type="dxa"/>
            <w:vAlign w:val="bottom"/>
            <w:shd w:val="clear" w:color="auto" w:fill="004054"/>
          </w:tcPr>
          <w:p>
            <w:pPr>
              <w:spacing w:after="0"/>
              <w:rPr>
                <w:sz w:val="9"/>
                <w:szCs w:val="9"/>
                <w:color w:val="auto"/>
              </w:rPr>
            </w:pPr>
          </w:p>
        </w:tc>
        <w:tc>
          <w:tcPr>
            <w:tcW w:w="1840" w:type="dxa"/>
            <w:vAlign w:val="bottom"/>
            <w:gridSpan w:val="3"/>
            <w:vMerge w:val="continue"/>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40" w:type="dxa"/>
            <w:vAlign w:val="bottom"/>
            <w:shd w:val="clear" w:color="auto" w:fill="004054"/>
          </w:tcPr>
          <w:p>
            <w:pPr>
              <w:spacing w:after="0"/>
              <w:rPr>
                <w:sz w:val="5"/>
                <w:szCs w:val="5"/>
                <w:color w:val="auto"/>
              </w:rPr>
            </w:pPr>
          </w:p>
        </w:tc>
        <w:tc>
          <w:tcPr>
            <w:tcW w:w="1140" w:type="dxa"/>
            <w:vAlign w:val="bottom"/>
            <w:shd w:val="clear" w:color="auto" w:fill="004054"/>
          </w:tcPr>
          <w:p>
            <w:pPr>
              <w:spacing w:after="0"/>
              <w:rPr>
                <w:sz w:val="5"/>
                <w:szCs w:val="5"/>
                <w:color w:val="auto"/>
              </w:rPr>
            </w:pPr>
          </w:p>
        </w:tc>
        <w:tc>
          <w:tcPr>
            <w:tcW w:w="1680" w:type="dxa"/>
            <w:vAlign w:val="bottom"/>
            <w:shd w:val="clear" w:color="auto" w:fill="004054"/>
          </w:tcPr>
          <w:p>
            <w:pPr>
              <w:spacing w:after="0"/>
              <w:rPr>
                <w:sz w:val="5"/>
                <w:szCs w:val="5"/>
                <w:color w:val="auto"/>
              </w:rPr>
            </w:pPr>
          </w:p>
        </w:tc>
        <w:tc>
          <w:tcPr>
            <w:tcW w:w="34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620" w:type="dxa"/>
            <w:vAlign w:val="bottom"/>
            <w:tcBorders>
              <w:right w:val="single" w:sz="8" w:color="004054"/>
            </w:tcBorders>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loss as of</w:t>
            </w:r>
          </w:p>
        </w:tc>
        <w:tc>
          <w:tcPr>
            <w:tcW w:w="1780" w:type="dxa"/>
            <w:vAlign w:val="bottom"/>
            <w:gridSpan w:val="2"/>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580" w:type="dxa"/>
            <w:vAlign w:val="bottom"/>
            <w:shd w:val="clear" w:color="auto" w:fill="004054"/>
          </w:tcPr>
          <w:p>
            <w:pPr>
              <w:spacing w:after="0"/>
              <w:rPr>
                <w:sz w:val="5"/>
                <w:szCs w:val="5"/>
                <w:color w:val="auto"/>
              </w:rPr>
            </w:pPr>
          </w:p>
        </w:tc>
        <w:tc>
          <w:tcPr>
            <w:tcW w:w="180" w:type="dxa"/>
            <w:vAlign w:val="bottom"/>
            <w:shd w:val="clear" w:color="auto" w:fill="004054"/>
          </w:tcPr>
          <w:p>
            <w:pPr>
              <w:spacing w:after="0"/>
              <w:rPr>
                <w:sz w:val="5"/>
                <w:szCs w:val="5"/>
                <w:color w:val="auto"/>
              </w:rPr>
            </w:pPr>
          </w:p>
        </w:tc>
        <w:tc>
          <w:tcPr>
            <w:tcW w:w="10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into income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640" w:type="dxa"/>
            <w:vAlign w:val="bottom"/>
            <w:tcBorders>
              <w:bottom w:val="single" w:sz="8" w:color="004054"/>
            </w:tcBorders>
            <w:shd w:val="clear" w:color="auto" w:fill="004054"/>
          </w:tcPr>
          <w:p>
            <w:pPr>
              <w:spacing w:after="0"/>
              <w:rPr>
                <w:sz w:val="12"/>
                <w:szCs w:val="12"/>
                <w:color w:val="auto"/>
              </w:rPr>
            </w:pPr>
          </w:p>
        </w:tc>
        <w:tc>
          <w:tcPr>
            <w:tcW w:w="1140" w:type="dxa"/>
            <w:vAlign w:val="bottom"/>
            <w:tcBorders>
              <w:bottom w:val="single" w:sz="8" w:color="004054"/>
            </w:tcBorders>
            <w:shd w:val="clear" w:color="auto" w:fill="004054"/>
          </w:tcPr>
          <w:p>
            <w:pPr>
              <w:spacing w:after="0"/>
              <w:rPr>
                <w:sz w:val="12"/>
                <w:szCs w:val="12"/>
                <w:color w:val="auto"/>
              </w:rPr>
            </w:pPr>
          </w:p>
        </w:tc>
        <w:tc>
          <w:tcPr>
            <w:tcW w:w="1680" w:type="dxa"/>
            <w:vAlign w:val="bottom"/>
            <w:tcBorders>
              <w:bottom w:val="single" w:sz="8" w:color="004054"/>
            </w:tcBorders>
            <w:shd w:val="clear" w:color="auto" w:fill="004054"/>
          </w:tcPr>
          <w:p>
            <w:pPr>
              <w:spacing w:after="0"/>
              <w:rPr>
                <w:sz w:val="12"/>
                <w:szCs w:val="12"/>
                <w:color w:val="auto"/>
              </w:rPr>
            </w:pPr>
          </w:p>
        </w:tc>
        <w:tc>
          <w:tcPr>
            <w:tcW w:w="340" w:type="dxa"/>
            <w:vAlign w:val="bottom"/>
            <w:tcBorders>
              <w:bottom w:val="single" w:sz="8" w:color="004054"/>
            </w:tcBorders>
            <w:shd w:val="clear" w:color="auto" w:fill="004054"/>
          </w:tcPr>
          <w:p>
            <w:pPr>
              <w:spacing w:after="0"/>
              <w:rPr>
                <w:sz w:val="12"/>
                <w:szCs w:val="12"/>
                <w:color w:val="auto"/>
              </w:rPr>
            </w:pPr>
          </w:p>
        </w:tc>
        <w:tc>
          <w:tcPr>
            <w:tcW w:w="900" w:type="dxa"/>
            <w:vAlign w:val="bottom"/>
            <w:tcBorders>
              <w:bottom w:val="single" w:sz="8" w:color="004054"/>
            </w:tcBorders>
            <w:shd w:val="clear" w:color="auto" w:fill="004054"/>
          </w:tcPr>
          <w:p>
            <w:pPr>
              <w:spacing w:after="0"/>
              <w:rPr>
                <w:sz w:val="12"/>
                <w:szCs w:val="12"/>
                <w:color w:val="auto"/>
              </w:rPr>
            </w:pPr>
          </w:p>
        </w:tc>
        <w:tc>
          <w:tcPr>
            <w:tcW w:w="160" w:type="dxa"/>
            <w:vAlign w:val="bottom"/>
            <w:tcBorders>
              <w:bottom w:val="single" w:sz="8" w:color="004054"/>
            </w:tcBorders>
            <w:shd w:val="clear" w:color="auto" w:fill="004054"/>
          </w:tcPr>
          <w:p>
            <w:pPr>
              <w:spacing w:after="0"/>
              <w:rPr>
                <w:sz w:val="12"/>
                <w:szCs w:val="12"/>
                <w:color w:val="auto"/>
              </w:rPr>
            </w:pPr>
          </w:p>
        </w:tc>
        <w:tc>
          <w:tcPr>
            <w:tcW w:w="1620" w:type="dxa"/>
            <w:vAlign w:val="bottom"/>
            <w:tcBorders>
              <w:bottom w:val="single" w:sz="8" w:color="004054"/>
              <w:right w:val="single" w:sz="8" w:color="004054"/>
            </w:tcBorders>
            <w:gridSpan w:val="3"/>
            <w:vMerge w:val="continue"/>
            <w:shd w:val="clear" w:color="auto" w:fill="004054"/>
          </w:tcPr>
          <w:p>
            <w:pPr>
              <w:spacing w:after="0"/>
              <w:rPr>
                <w:sz w:val="12"/>
                <w:szCs w:val="12"/>
                <w:color w:val="auto"/>
              </w:rPr>
            </w:pPr>
          </w:p>
        </w:tc>
        <w:tc>
          <w:tcPr>
            <w:tcW w:w="1780" w:type="dxa"/>
            <w:vAlign w:val="bottom"/>
            <w:tcBorders>
              <w:bottom w:val="single" w:sz="8" w:color="004054"/>
            </w:tcBorders>
            <w:gridSpan w:val="2"/>
            <w:shd w:val="clear" w:color="auto" w:fill="004054"/>
          </w:tcPr>
          <w:p>
            <w:pPr>
              <w:jc w:val="right"/>
              <w:ind w:right="20"/>
              <w:spacing w:after="0" w:line="142" w:lineRule="exact"/>
              <w:rPr>
                <w:sz w:val="20"/>
                <w:szCs w:val="20"/>
                <w:color w:val="auto"/>
              </w:rPr>
            </w:pPr>
            <w:r>
              <w:rPr>
                <w:rFonts w:ascii="Arial" w:cs="Arial" w:eastAsia="Arial" w:hAnsi="Arial"/>
                <w:sz w:val="14"/>
                <w:szCs w:val="14"/>
                <w:b w:val="1"/>
                <w:bCs w:val="1"/>
                <w:color w:val="FFFFFF"/>
              </w:rPr>
              <w:t>comprehensive</w:t>
            </w:r>
          </w:p>
        </w:tc>
        <w:tc>
          <w:tcPr>
            <w:tcW w:w="140" w:type="dxa"/>
            <w:vAlign w:val="bottom"/>
            <w:tcBorders>
              <w:bottom w:val="single" w:sz="8" w:color="004054"/>
            </w:tcBorders>
            <w:shd w:val="clear" w:color="auto" w:fill="004054"/>
          </w:tcPr>
          <w:p>
            <w:pPr>
              <w:spacing w:after="0"/>
              <w:rPr>
                <w:sz w:val="12"/>
                <w:szCs w:val="12"/>
                <w:color w:val="auto"/>
              </w:rPr>
            </w:pPr>
          </w:p>
        </w:tc>
        <w:tc>
          <w:tcPr>
            <w:tcW w:w="580" w:type="dxa"/>
            <w:vAlign w:val="bottom"/>
            <w:tcBorders>
              <w:bottom w:val="single" w:sz="8" w:color="004054"/>
            </w:tcBorders>
            <w:shd w:val="clear" w:color="auto" w:fill="004054"/>
          </w:tcPr>
          <w:p>
            <w:pPr>
              <w:spacing w:after="0"/>
              <w:rPr>
                <w:sz w:val="12"/>
                <w:szCs w:val="12"/>
                <w:color w:val="auto"/>
              </w:rPr>
            </w:pPr>
          </w:p>
        </w:tc>
        <w:tc>
          <w:tcPr>
            <w:tcW w:w="180" w:type="dxa"/>
            <w:vAlign w:val="bottom"/>
            <w:tcBorders>
              <w:bottom w:val="single" w:sz="8" w:color="004054"/>
            </w:tcBorders>
            <w:shd w:val="clear" w:color="auto" w:fill="004054"/>
          </w:tcPr>
          <w:p>
            <w:pPr>
              <w:spacing w:after="0"/>
              <w:rPr>
                <w:sz w:val="12"/>
                <w:szCs w:val="12"/>
                <w:color w:val="auto"/>
              </w:rPr>
            </w:pPr>
          </w:p>
        </w:tc>
        <w:tc>
          <w:tcPr>
            <w:tcW w:w="1080" w:type="dxa"/>
            <w:vAlign w:val="bottom"/>
            <w:tcBorders>
              <w:bottom w:val="single" w:sz="8" w:color="004054"/>
            </w:tcBorders>
            <w:vMerge w:val="continue"/>
            <w:shd w:val="clear" w:color="auto" w:fill="004054"/>
          </w:tcPr>
          <w:p>
            <w:pPr>
              <w:spacing w:after="0"/>
              <w:rPr>
                <w:sz w:val="12"/>
                <w:szCs w:val="12"/>
                <w:color w:val="auto"/>
              </w:rPr>
            </w:pPr>
          </w:p>
        </w:tc>
        <w:tc>
          <w:tcPr>
            <w:tcW w:w="20" w:type="dxa"/>
            <w:vAlign w:val="bottom"/>
            <w:tcBorders>
              <w:bottom w:val="single" w:sz="8" w:color="004054"/>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004054"/>
          </w:tcPr>
          <w:p>
            <w:pPr>
              <w:spacing w:after="0"/>
              <w:rPr>
                <w:sz w:val="15"/>
                <w:szCs w:val="15"/>
                <w:color w:val="auto"/>
              </w:rPr>
            </w:pPr>
          </w:p>
        </w:tc>
        <w:tc>
          <w:tcPr>
            <w:tcW w:w="1140" w:type="dxa"/>
            <w:vAlign w:val="bottom"/>
            <w:shd w:val="clear" w:color="auto" w:fill="004054"/>
          </w:tcPr>
          <w:p>
            <w:pPr>
              <w:spacing w:after="0"/>
              <w:rPr>
                <w:sz w:val="15"/>
                <w:szCs w:val="15"/>
                <w:color w:val="auto"/>
              </w:rPr>
            </w:pPr>
          </w:p>
        </w:tc>
        <w:tc>
          <w:tcPr>
            <w:tcW w:w="16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90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62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780" w:type="dxa"/>
            <w:vAlign w:val="bottom"/>
            <w:gridSpan w:val="2"/>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loss into</w:t>
            </w:r>
          </w:p>
        </w:tc>
        <w:tc>
          <w:tcPr>
            <w:tcW w:w="140" w:type="dxa"/>
            <w:vAlign w:val="bottom"/>
            <w:shd w:val="clear" w:color="auto" w:fill="004054"/>
          </w:tcPr>
          <w:p>
            <w:pPr>
              <w:spacing w:after="0"/>
              <w:rPr>
                <w:sz w:val="15"/>
                <w:szCs w:val="15"/>
                <w:color w:val="auto"/>
              </w:rPr>
            </w:pPr>
          </w:p>
        </w:tc>
        <w:tc>
          <w:tcPr>
            <w:tcW w:w="18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140" w:type="dxa"/>
            <w:vAlign w:val="bottom"/>
            <w:shd w:val="clear" w:color="auto" w:fill="004054"/>
          </w:tcPr>
          <w:p>
            <w:pPr>
              <w:spacing w:after="0"/>
              <w:rPr>
                <w:sz w:val="18"/>
                <w:szCs w:val="18"/>
                <w:color w:val="auto"/>
              </w:rPr>
            </w:pPr>
          </w:p>
        </w:tc>
        <w:tc>
          <w:tcPr>
            <w:tcW w:w="168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90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100" w:type="dxa"/>
            <w:vAlign w:val="bottom"/>
            <w:tcBorders>
              <w:right w:val="single" w:sz="8" w:color="004054"/>
            </w:tcBorders>
            <w:shd w:val="clear" w:color="auto" w:fill="004054"/>
          </w:tcPr>
          <w:p>
            <w:pPr>
              <w:spacing w:after="0"/>
              <w:rPr>
                <w:sz w:val="18"/>
                <w:szCs w:val="18"/>
                <w:color w:val="auto"/>
              </w:rPr>
            </w:pPr>
          </w:p>
        </w:tc>
        <w:tc>
          <w:tcPr>
            <w:tcW w:w="52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780" w:type="dxa"/>
            <w:vAlign w:val="bottom"/>
            <w:gridSpan w:val="2"/>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income</w:t>
            </w:r>
          </w:p>
        </w:tc>
        <w:tc>
          <w:tcPr>
            <w:tcW w:w="140" w:type="dxa"/>
            <w:vAlign w:val="bottom"/>
            <w:shd w:val="clear" w:color="auto" w:fill="004054"/>
          </w:tcPr>
          <w:p>
            <w:pPr>
              <w:spacing w:after="0"/>
              <w:rPr>
                <w:sz w:val="18"/>
                <w:szCs w:val="18"/>
                <w:color w:val="auto"/>
              </w:rPr>
            </w:pPr>
          </w:p>
        </w:tc>
        <w:tc>
          <w:tcPr>
            <w:tcW w:w="58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 2025</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w w:val="99"/>
              </w:rPr>
              <w:t>Cash Flow Hedges</w:t>
            </w:r>
          </w:p>
        </w:tc>
        <w:tc>
          <w:tcPr>
            <w:tcW w:w="1140" w:type="dxa"/>
            <w:vAlign w:val="bottom"/>
            <w:shd w:val="clear" w:color="auto" w:fill="EBFBFF"/>
          </w:tcPr>
          <w:p>
            <w:pPr>
              <w:spacing w:after="0"/>
              <w:rPr>
                <w:sz w:val="23"/>
                <w:szCs w:val="23"/>
                <w:color w:val="auto"/>
              </w:rPr>
            </w:pPr>
          </w:p>
        </w:tc>
        <w:tc>
          <w:tcPr>
            <w:tcW w:w="1680" w:type="dxa"/>
            <w:vAlign w:val="bottom"/>
            <w:shd w:val="clear" w:color="auto" w:fill="EBFBFF"/>
          </w:tcPr>
          <w:p>
            <w:pPr>
              <w:spacing w:after="0"/>
              <w:rPr>
                <w:sz w:val="23"/>
                <w:szCs w:val="23"/>
                <w:color w:val="auto"/>
              </w:rPr>
            </w:pPr>
          </w:p>
        </w:tc>
        <w:tc>
          <w:tcPr>
            <w:tcW w:w="340" w:type="dxa"/>
            <w:vAlign w:val="bottom"/>
            <w:shd w:val="clear" w:color="auto" w:fill="EBFBFF"/>
          </w:tcPr>
          <w:p>
            <w:pPr>
              <w:spacing w:after="0"/>
              <w:rPr>
                <w:sz w:val="23"/>
                <w:szCs w:val="23"/>
                <w:color w:val="auto"/>
              </w:rPr>
            </w:pPr>
          </w:p>
        </w:tc>
        <w:tc>
          <w:tcPr>
            <w:tcW w:w="90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100" w:type="dxa"/>
            <w:vAlign w:val="bottom"/>
            <w:tcBorders>
              <w:right w:val="single" w:sz="8" w:color="EBFBFF"/>
            </w:tcBorders>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20" w:type="dxa"/>
            <w:vAlign w:val="bottom"/>
            <w:tcBorders>
              <w:right w:val="single" w:sz="8" w:color="EBFBFF"/>
            </w:tcBorders>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5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58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Interest rate swaps</w:t>
            </w: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51555C"/>
                <w:w w:val="79"/>
              </w:rPr>
              <w:t>$</w:t>
            </w:r>
          </w:p>
        </w:tc>
        <w:tc>
          <w:tcPr>
            <w:tcW w:w="1100" w:type="dxa"/>
            <w:vAlign w:val="bottom"/>
          </w:tcPr>
          <w:p>
            <w:pPr>
              <w:spacing w:after="0"/>
              <w:rPr>
                <w:sz w:val="21"/>
                <w:szCs w:val="21"/>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8"/>
                <w:szCs w:val="18"/>
                <w:color w:val="51555C"/>
                <w:w w:val="88"/>
              </w:rPr>
              <w:t>2,798</w:t>
            </w:r>
          </w:p>
        </w:tc>
        <w:tc>
          <w:tcPr>
            <w:tcW w:w="1920" w:type="dxa"/>
            <w:vAlign w:val="bottom"/>
            <w:gridSpan w:val="3"/>
          </w:tcPr>
          <w:p>
            <w:pPr>
              <w:jc w:val="right"/>
              <w:spacing w:after="0"/>
              <w:rPr>
                <w:sz w:val="20"/>
                <w:szCs w:val="20"/>
                <w:color w:val="auto"/>
              </w:rPr>
            </w:pPr>
            <w:r>
              <w:rPr>
                <w:rFonts w:ascii="Arial" w:cs="Arial" w:eastAsia="Arial" w:hAnsi="Arial"/>
                <w:sz w:val="18"/>
                <w:szCs w:val="18"/>
                <w:color w:val="51555C"/>
              </w:rPr>
              <w:t>Interest expense $</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919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80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EBFBFF"/>
            </w:tcBorders>
            <w:gridSpan w:val="4"/>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9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right w:val="single" w:sz="8" w:color="EBFBFF"/>
            </w:tcBorders>
            <w:shd w:val="clear" w:color="auto" w:fill="EBFBFF"/>
          </w:tcPr>
          <w:p>
            <w:pPr>
              <w:spacing w:after="0"/>
              <w:rPr>
                <w:sz w:val="21"/>
                <w:szCs w:val="21"/>
                <w:color w:val="auto"/>
              </w:rPr>
            </w:pPr>
          </w:p>
        </w:tc>
        <w:tc>
          <w:tcPr>
            <w:tcW w:w="520" w:type="dxa"/>
            <w:vAlign w:val="bottom"/>
            <w:tcBorders>
              <w:bottom w:val="single" w:sz="8" w:color="EBFBFF"/>
              <w:right w:val="single" w:sz="8" w:color="EBFBFF"/>
            </w:tcBorders>
            <w:gridSpan w:val="2"/>
            <w:shd w:val="clear" w:color="auto" w:fill="EBFBFF"/>
          </w:tcPr>
          <w:p>
            <w:pPr>
              <w:jc w:val="right"/>
              <w:ind w:right="16"/>
              <w:spacing w:after="0"/>
              <w:rPr>
                <w:sz w:val="20"/>
                <w:szCs w:val="20"/>
                <w:color w:val="auto"/>
              </w:rPr>
            </w:pPr>
            <w:r>
              <w:rPr>
                <w:rFonts w:ascii="Arial" w:cs="Arial" w:eastAsia="Arial" w:hAnsi="Arial"/>
                <w:sz w:val="18"/>
                <w:szCs w:val="18"/>
                <w:color w:val="51555C"/>
              </w:rPr>
              <w:t>615</w:t>
            </w:r>
          </w:p>
        </w:tc>
        <w:tc>
          <w:tcPr>
            <w:tcW w:w="192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Revenue $</w:t>
            </w:r>
          </w:p>
        </w:tc>
        <w:tc>
          <w:tcPr>
            <w:tcW w:w="5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1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00" w:type="dxa"/>
            <w:vAlign w:val="bottom"/>
            <w:tcBorders>
              <w:bottom w:val="single" w:sz="8" w:color="EBFBFF"/>
            </w:tcBorders>
            <w:gridSpan w:val="4"/>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900" w:type="dxa"/>
            <w:vAlign w:val="bottom"/>
            <w:tcBorders>
              <w:bottom w:val="single" w:sz="8" w:color="EBFBFF"/>
            </w:tcBorders>
            <w:shd w:val="clear" w:color="auto" w:fill="EBFBFF"/>
          </w:tcPr>
          <w:p>
            <w:pPr>
              <w:spacing w:after="0"/>
              <w:rPr>
                <w:sz w:val="22"/>
                <w:szCs w:val="22"/>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right w:val="single" w:sz="8" w:color="EBFBFF"/>
            </w:tcBorders>
            <w:shd w:val="clear" w:color="auto" w:fill="EBFBFF"/>
          </w:tcPr>
          <w:p>
            <w:pPr>
              <w:spacing w:after="0"/>
              <w:rPr>
                <w:sz w:val="22"/>
                <w:szCs w:val="22"/>
                <w:color w:val="auto"/>
              </w:rPr>
            </w:pPr>
          </w:p>
        </w:tc>
        <w:tc>
          <w:tcPr>
            <w:tcW w:w="520" w:type="dxa"/>
            <w:vAlign w:val="bottom"/>
            <w:tcBorders>
              <w:bottom w:val="single" w:sz="8" w:color="EBFBFF"/>
              <w:right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(160)</w:t>
            </w:r>
          </w:p>
        </w:tc>
        <w:tc>
          <w:tcPr>
            <w:tcW w:w="192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580" w:type="dxa"/>
            <w:vAlign w:val="bottom"/>
            <w:tcBorders>
              <w:bottom w:val="single" w:sz="8" w:color="EBFBFF"/>
            </w:tcBorders>
            <w:shd w:val="clear" w:color="auto" w:fill="EBFBFF"/>
          </w:tcPr>
          <w:p>
            <w:pPr>
              <w:spacing w:after="0"/>
              <w:rPr>
                <w:sz w:val="22"/>
                <w:szCs w:val="22"/>
                <w:color w:val="auto"/>
              </w:rPr>
            </w:pPr>
          </w:p>
        </w:tc>
        <w:tc>
          <w:tcPr>
            <w:tcW w:w="18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62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8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100" w:type="dxa"/>
            <w:vAlign w:val="bottom"/>
            <w:tcBorders>
              <w:right w:val="single" w:sz="8" w:color="004054"/>
            </w:tcBorders>
            <w:shd w:val="clear" w:color="auto" w:fill="004054"/>
          </w:tcPr>
          <w:p>
            <w:pPr>
              <w:spacing w:after="0"/>
              <w:rPr>
                <w:sz w:val="18"/>
                <w:szCs w:val="18"/>
                <w:color w:val="auto"/>
              </w:rPr>
            </w:pPr>
          </w:p>
        </w:tc>
        <w:tc>
          <w:tcPr>
            <w:tcW w:w="52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58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 2024</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w w:val="99"/>
              </w:rPr>
              <w:t>Cash Flow Hedges</w:t>
            </w:r>
          </w:p>
        </w:tc>
        <w:tc>
          <w:tcPr>
            <w:tcW w:w="1140" w:type="dxa"/>
            <w:vAlign w:val="bottom"/>
            <w:shd w:val="clear" w:color="auto" w:fill="EBFBFF"/>
          </w:tcPr>
          <w:p>
            <w:pPr>
              <w:spacing w:after="0"/>
              <w:rPr>
                <w:sz w:val="23"/>
                <w:szCs w:val="23"/>
                <w:color w:val="auto"/>
              </w:rPr>
            </w:pPr>
          </w:p>
        </w:tc>
        <w:tc>
          <w:tcPr>
            <w:tcW w:w="1680" w:type="dxa"/>
            <w:vAlign w:val="bottom"/>
            <w:shd w:val="clear" w:color="auto" w:fill="EBFBFF"/>
          </w:tcPr>
          <w:p>
            <w:pPr>
              <w:spacing w:after="0"/>
              <w:rPr>
                <w:sz w:val="23"/>
                <w:szCs w:val="23"/>
                <w:color w:val="auto"/>
              </w:rPr>
            </w:pPr>
          </w:p>
        </w:tc>
        <w:tc>
          <w:tcPr>
            <w:tcW w:w="340" w:type="dxa"/>
            <w:vAlign w:val="bottom"/>
            <w:shd w:val="clear" w:color="auto" w:fill="EBFBFF"/>
          </w:tcPr>
          <w:p>
            <w:pPr>
              <w:spacing w:after="0"/>
              <w:rPr>
                <w:sz w:val="23"/>
                <w:szCs w:val="23"/>
                <w:color w:val="auto"/>
              </w:rPr>
            </w:pPr>
          </w:p>
        </w:tc>
        <w:tc>
          <w:tcPr>
            <w:tcW w:w="90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100" w:type="dxa"/>
            <w:vAlign w:val="bottom"/>
            <w:tcBorders>
              <w:right w:val="single" w:sz="8" w:color="EBFBFF"/>
            </w:tcBorders>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20" w:type="dxa"/>
            <w:vAlign w:val="bottom"/>
            <w:tcBorders>
              <w:right w:val="single" w:sz="8" w:color="EBFBFF"/>
            </w:tcBorders>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5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58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Interest rate swaps</w:t>
            </w: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51555C"/>
                <w:w w:val="79"/>
              </w:rPr>
              <w:t>$</w:t>
            </w:r>
          </w:p>
        </w:tc>
        <w:tc>
          <w:tcPr>
            <w:tcW w:w="1620" w:type="dxa"/>
            <w:vAlign w:val="bottom"/>
            <w:gridSpan w:val="3"/>
          </w:tcPr>
          <w:p>
            <w:pPr>
              <w:jc w:val="right"/>
              <w:ind w:right="16"/>
              <w:spacing w:after="0"/>
              <w:rPr>
                <w:sz w:val="20"/>
                <w:szCs w:val="20"/>
                <w:color w:val="auto"/>
              </w:rPr>
            </w:pPr>
            <w:r>
              <w:rPr>
                <w:rFonts w:ascii="Arial" w:cs="Arial" w:eastAsia="Arial" w:hAnsi="Arial"/>
                <w:sz w:val="18"/>
                <w:szCs w:val="18"/>
                <w:color w:val="51555C"/>
              </w:rPr>
              <w:t>16,293</w:t>
            </w:r>
          </w:p>
        </w:tc>
        <w:tc>
          <w:tcPr>
            <w:tcW w:w="1920" w:type="dxa"/>
            <w:vAlign w:val="bottom"/>
            <w:gridSpan w:val="3"/>
          </w:tcPr>
          <w:p>
            <w:pPr>
              <w:jc w:val="right"/>
              <w:spacing w:after="0"/>
              <w:rPr>
                <w:sz w:val="20"/>
                <w:szCs w:val="20"/>
                <w:color w:val="auto"/>
              </w:rPr>
            </w:pPr>
            <w:r>
              <w:rPr>
                <w:rFonts w:ascii="Arial" w:cs="Arial" w:eastAsia="Arial" w:hAnsi="Arial"/>
                <w:sz w:val="18"/>
                <w:szCs w:val="18"/>
                <w:color w:val="51555C"/>
              </w:rPr>
              <w:t>Interest expense $</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80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EBFBFF"/>
            </w:tcBorders>
            <w:gridSpan w:val="4"/>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9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right w:val="single" w:sz="8" w:color="EBFBFF"/>
            </w:tcBorders>
            <w:shd w:val="clear" w:color="auto" w:fill="EBFBFF"/>
          </w:tcPr>
          <w:p>
            <w:pPr>
              <w:spacing w:after="0"/>
              <w:rPr>
                <w:sz w:val="21"/>
                <w:szCs w:val="21"/>
                <w:color w:val="auto"/>
              </w:rPr>
            </w:pPr>
          </w:p>
        </w:tc>
        <w:tc>
          <w:tcPr>
            <w:tcW w:w="520" w:type="dxa"/>
            <w:vAlign w:val="bottom"/>
            <w:tcBorders>
              <w:bottom w:val="single" w:sz="8" w:color="EBFBFF"/>
              <w:right w:val="single" w:sz="8" w:color="EBFBFF"/>
            </w:tcBorders>
            <w:gridSpan w:val="2"/>
            <w:shd w:val="clear" w:color="auto" w:fill="EBFBFF"/>
          </w:tcPr>
          <w:p>
            <w:pPr>
              <w:jc w:val="right"/>
              <w:ind w:right="16"/>
              <w:spacing w:after="0"/>
              <w:rPr>
                <w:sz w:val="20"/>
                <w:szCs w:val="20"/>
                <w:color w:val="auto"/>
              </w:rPr>
            </w:pPr>
            <w:r>
              <w:rPr>
                <w:rFonts w:ascii="Arial" w:cs="Arial" w:eastAsia="Arial" w:hAnsi="Arial"/>
                <w:sz w:val="18"/>
                <w:szCs w:val="18"/>
                <w:color w:val="51555C"/>
              </w:rPr>
              <w:t>260</w:t>
            </w:r>
          </w:p>
        </w:tc>
        <w:tc>
          <w:tcPr>
            <w:tcW w:w="192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Revenue $</w:t>
            </w:r>
          </w:p>
        </w:tc>
        <w:tc>
          <w:tcPr>
            <w:tcW w:w="5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1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00" w:type="dxa"/>
            <w:vAlign w:val="bottom"/>
            <w:tcBorders>
              <w:bottom w:val="single" w:sz="8" w:color="EBFBFF"/>
            </w:tcBorders>
            <w:gridSpan w:val="4"/>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900" w:type="dxa"/>
            <w:vAlign w:val="bottom"/>
            <w:tcBorders>
              <w:bottom w:val="single" w:sz="8" w:color="EBFBFF"/>
            </w:tcBorders>
            <w:shd w:val="clear" w:color="auto" w:fill="EBFBFF"/>
          </w:tcPr>
          <w:p>
            <w:pPr>
              <w:spacing w:after="0"/>
              <w:rPr>
                <w:sz w:val="24"/>
                <w:szCs w:val="24"/>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right w:val="single" w:sz="8" w:color="EBFBFF"/>
            </w:tcBorders>
            <w:shd w:val="clear" w:color="auto" w:fill="EBFBFF"/>
          </w:tcPr>
          <w:p>
            <w:pPr>
              <w:spacing w:after="0"/>
              <w:rPr>
                <w:sz w:val="24"/>
                <w:szCs w:val="24"/>
                <w:color w:val="auto"/>
              </w:rPr>
            </w:pPr>
          </w:p>
        </w:tc>
        <w:tc>
          <w:tcPr>
            <w:tcW w:w="520" w:type="dxa"/>
            <w:vAlign w:val="bottom"/>
            <w:tcBorders>
              <w:bottom w:val="single" w:sz="8" w:color="EBFBFF"/>
              <w:right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(92)</w:t>
            </w:r>
          </w:p>
        </w:tc>
        <w:tc>
          <w:tcPr>
            <w:tcW w:w="192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580" w:type="dxa"/>
            <w:vAlign w:val="bottom"/>
            <w:tcBorders>
              <w:bottom w:val="single" w:sz="8" w:color="EBFBFF"/>
            </w:tcBorders>
            <w:shd w:val="clear" w:color="auto" w:fill="EBFBFF"/>
          </w:tcPr>
          <w:p>
            <w:pPr>
              <w:spacing w:after="0"/>
              <w:rPr>
                <w:sz w:val="24"/>
                <w:szCs w:val="24"/>
                <w:color w:val="auto"/>
              </w:rPr>
            </w:pPr>
          </w:p>
        </w:tc>
        <w:tc>
          <w:tcPr>
            <w:tcW w:w="1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640" w:type="dxa"/>
            <w:vAlign w:val="bottom"/>
            <w:tcBorders>
              <w:top w:val="single" w:sz="8" w:color="0CD973"/>
            </w:tcBorders>
          </w:tcPr>
          <w:p>
            <w:pPr>
              <w:ind w:left="20"/>
              <w:spacing w:after="0"/>
              <w:rPr>
                <w:sz w:val="20"/>
                <w:szCs w:val="20"/>
                <w:color w:val="auto"/>
              </w:rPr>
            </w:pPr>
            <w:r>
              <w:rPr>
                <w:rFonts w:ascii="Arial" w:cs="Arial" w:eastAsia="Arial" w:hAnsi="Arial"/>
                <w:sz w:val="14"/>
                <w:szCs w:val="14"/>
                <w:color w:val="51555C"/>
              </w:rPr>
              <w:t>14</w:t>
            </w:r>
          </w:p>
        </w:tc>
        <w:tc>
          <w:tcPr>
            <w:tcW w:w="3160" w:type="dxa"/>
            <w:vAlign w:val="bottom"/>
            <w:tcBorders>
              <w:top w:val="single" w:sz="8" w:color="0CD973"/>
            </w:tcBorders>
            <w:gridSpan w:val="3"/>
          </w:tcPr>
          <w:p>
            <w:pPr>
              <w:jc w:val="right"/>
              <w:ind w:right="1260"/>
              <w:spacing w:after="0"/>
              <w:rPr>
                <w:sz w:val="20"/>
                <w:szCs w:val="20"/>
                <w:color w:val="auto"/>
              </w:rPr>
            </w:pPr>
            <w:r>
              <w:rPr>
                <w:rFonts w:ascii="Arial" w:cs="Arial" w:eastAsia="Arial" w:hAnsi="Arial"/>
                <w:sz w:val="14"/>
                <w:szCs w:val="14"/>
                <w:color w:val="51555C"/>
              </w:rPr>
              <w:t>First Quarter 2025 Form 10-Q</w:t>
            </w:r>
          </w:p>
        </w:tc>
        <w:tc>
          <w:tcPr>
            <w:tcW w:w="900" w:type="dxa"/>
            <w:vAlign w:val="bottom"/>
            <w:tcBorders>
              <w:top w:val="single" w:sz="8" w:color="0CD973"/>
            </w:tcBorders>
          </w:tcPr>
          <w:p>
            <w:pPr>
              <w:spacing w:after="0"/>
              <w:rPr>
                <w:sz w:val="24"/>
                <w:szCs w:val="24"/>
                <w:color w:val="auto"/>
              </w:rPr>
            </w:pPr>
          </w:p>
        </w:tc>
        <w:tc>
          <w:tcPr>
            <w:tcW w:w="16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42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spacing w:after="0"/>
              <w:rPr>
                <w:sz w:val="24"/>
                <w:szCs w:val="24"/>
                <w:color w:val="auto"/>
              </w:rPr>
            </w:pPr>
          </w:p>
        </w:tc>
        <w:tc>
          <w:tcPr>
            <w:tcW w:w="520" w:type="dxa"/>
            <w:vAlign w:val="bottom"/>
            <w:tcBorders>
              <w:top w:val="single" w:sz="8" w:color="0CD973"/>
            </w:tcBorders>
          </w:tcPr>
          <w:p>
            <w:pPr>
              <w:spacing w:after="0"/>
              <w:rPr>
                <w:sz w:val="24"/>
                <w:szCs w:val="24"/>
                <w:color w:val="auto"/>
              </w:rPr>
            </w:pPr>
          </w:p>
        </w:tc>
        <w:tc>
          <w:tcPr>
            <w:tcW w:w="140" w:type="dxa"/>
            <w:vAlign w:val="bottom"/>
            <w:tcBorders>
              <w:top w:val="single" w:sz="8" w:color="0CD973"/>
            </w:tcBorders>
          </w:tcPr>
          <w:p>
            <w:pPr>
              <w:spacing w:after="0"/>
              <w:rPr>
                <w:sz w:val="24"/>
                <w:szCs w:val="24"/>
                <w:color w:val="auto"/>
              </w:rPr>
            </w:pPr>
          </w:p>
        </w:tc>
        <w:tc>
          <w:tcPr>
            <w:tcW w:w="580" w:type="dxa"/>
            <w:vAlign w:val="bottom"/>
            <w:tcBorders>
              <w:top w:val="single" w:sz="8" w:color="0CD973"/>
            </w:tcBorders>
          </w:tcPr>
          <w:p>
            <w:pPr>
              <w:spacing w:after="0"/>
              <w:rPr>
                <w:sz w:val="24"/>
                <w:szCs w:val="24"/>
                <w:color w:val="auto"/>
              </w:rPr>
            </w:pPr>
          </w:p>
        </w:tc>
        <w:tc>
          <w:tcPr>
            <w:tcW w:w="18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-5768340</wp:posOffset>
            </wp:positionV>
            <wp:extent cx="15944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9448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-5768340</wp:posOffset>
            </wp:positionV>
            <wp:extent cx="1585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-2948305</wp:posOffset>
            </wp:positionV>
            <wp:extent cx="1268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873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-2948305</wp:posOffset>
            </wp:positionV>
            <wp:extent cx="11315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March 31, 2025 that is expected to be reclassified into earnings within the next twelve months is $4.2 million. There were no ineffective portions of our interest rate swap or foreign currency forward derivatives during the three months ended March 31, 2025 and 2024. See Note 10 to these unaudited,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Leases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have operating leases for corporate offices and subleased offices. As of March 31, 2025, we did not have any operating leases that had not yet commenced.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Release from Washington, DC lease</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In February 2025, we made a one-time cash release payment of $28.0 million to the lessor in connection with a release from our lease for office space in Washington, DC (which was acquired as part of our acquisition of EVERFI in December 2021). Due to our remote-first workforce strategy, we had not used the office space since February 2023 and had subleased a portion of the space. During the three months ended March 31, 2025, we recorded a loss on lease termination of $24.3 million in general and administrative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the components of our lease expense: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90" w:type="dxa"/>
            <w:vAlign w:val="bottom"/>
            <w:shd w:val="clear" w:color="auto" w:fill="004054"/>
          </w:tcPr>
          <w:p>
            <w:pPr>
              <w:spacing w:after="0"/>
              <w:rPr>
                <w:sz w:val="17"/>
                <w:szCs w:val="17"/>
                <w:color w:val="auto"/>
              </w:rPr>
            </w:pPr>
          </w:p>
        </w:tc>
        <w:tc>
          <w:tcPr>
            <w:tcW w:w="1880" w:type="dxa"/>
            <w:vAlign w:val="bottom"/>
            <w:shd w:val="clear" w:color="auto" w:fill="004054"/>
          </w:tcPr>
          <w:p>
            <w:pPr>
              <w:spacing w:after="0"/>
              <w:rPr>
                <w:sz w:val="17"/>
                <w:szCs w:val="17"/>
                <w:color w:val="auto"/>
              </w:rPr>
            </w:pPr>
          </w:p>
        </w:tc>
        <w:tc>
          <w:tcPr>
            <w:tcW w:w="17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96"/>
        </w:trPr>
        <w:tc>
          <w:tcPr>
            <w:tcW w:w="7590" w:type="dxa"/>
            <w:vAlign w:val="bottom"/>
            <w:shd w:val="clear" w:color="auto" w:fill="004054"/>
          </w:tcPr>
          <w:p>
            <w:pPr>
              <w:spacing w:after="0"/>
              <w:rPr>
                <w:sz w:val="17"/>
                <w:szCs w:val="17"/>
                <w:color w:val="auto"/>
              </w:rPr>
            </w:pPr>
          </w:p>
        </w:tc>
        <w:tc>
          <w:tcPr>
            <w:tcW w:w="1880" w:type="dxa"/>
            <w:vAlign w:val="bottom"/>
            <w:shd w:val="clear" w:color="auto" w:fill="004054"/>
          </w:tcPr>
          <w:p>
            <w:pPr>
              <w:spacing w:after="0"/>
              <w:rPr>
                <w:sz w:val="17"/>
                <w:szCs w:val="17"/>
                <w:color w:val="auto"/>
              </w:rPr>
            </w:pPr>
          </w:p>
        </w:tc>
        <w:tc>
          <w:tcPr>
            <w:tcW w:w="17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43"/>
        </w:trPr>
        <w:tc>
          <w:tcPr>
            <w:tcW w:w="759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79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9"/>
        </w:trPr>
        <w:tc>
          <w:tcPr>
            <w:tcW w:w="7590" w:type="dxa"/>
            <w:vAlign w:val="bottom"/>
            <w:shd w:val="clear" w:color="auto" w:fill="004054"/>
          </w:tcPr>
          <w:p>
            <w:pPr>
              <w:spacing w:after="0"/>
              <w:rPr>
                <w:sz w:val="2"/>
                <w:szCs w:val="2"/>
                <w:color w:val="auto"/>
              </w:rPr>
            </w:pPr>
          </w:p>
        </w:tc>
        <w:tc>
          <w:tcPr>
            <w:tcW w:w="1880" w:type="dxa"/>
            <w:vAlign w:val="bottom"/>
            <w:shd w:val="clear" w:color="auto" w:fill="004054"/>
          </w:tcPr>
          <w:p>
            <w:pPr>
              <w:spacing w:after="0"/>
              <w:rPr>
                <w:sz w:val="2"/>
                <w:szCs w:val="2"/>
                <w:color w:val="auto"/>
              </w:rPr>
            </w:pPr>
          </w:p>
        </w:tc>
        <w:tc>
          <w:tcPr>
            <w:tcW w:w="1790" w:type="dxa"/>
            <w:vAlign w:val="bottom"/>
            <w:shd w:val="clear" w:color="auto" w:fill="00405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23317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80" w:type="dxa"/>
            <w:vAlign w:val="bottom"/>
          </w:tcPr>
          <w:p>
            <w:pPr>
              <w:ind w:left="20"/>
              <w:spacing w:after="0"/>
              <w:rPr>
                <w:sz w:val="20"/>
                <w:szCs w:val="20"/>
                <w:color w:val="auto"/>
              </w:rPr>
            </w:pPr>
            <w:r>
              <w:rPr>
                <w:rFonts w:ascii="Arial" w:cs="Arial" w:eastAsia="Arial" w:hAnsi="Arial"/>
                <w:sz w:val="18"/>
                <w:szCs w:val="18"/>
                <w:color w:val="51555C"/>
              </w:rPr>
              <w:t>Operating lease cost</w:t>
            </w:r>
            <w:r>
              <w:rPr>
                <w:rFonts w:ascii="Arial" w:cs="Arial" w:eastAsia="Arial" w:hAnsi="Arial"/>
                <w:sz w:val="23"/>
                <w:szCs w:val="23"/>
                <w:color w:val="51555C"/>
                <w:vertAlign w:val="superscript"/>
              </w:rPr>
              <w:t>(1)</w:t>
            </w:r>
          </w:p>
        </w:tc>
        <w:tc>
          <w:tcPr>
            <w:tcW w:w="780" w:type="dxa"/>
            <w:vAlign w:val="bottom"/>
          </w:tcPr>
          <w:p>
            <w:pPr>
              <w:jc w:val="right"/>
              <w:ind w:right="576"/>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716</w:t>
            </w:r>
          </w:p>
        </w:tc>
        <w:tc>
          <w:tcPr>
            <w:tcW w:w="700" w:type="dxa"/>
            <w:vAlign w:val="bottom"/>
          </w:tcPr>
          <w:p>
            <w:pPr>
              <w:jc w:val="right"/>
              <w:ind w:right="49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1,986</w:t>
            </w: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51555C"/>
              </w:rPr>
              <w:t>Variable lease cost</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198</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313</w:t>
            </w:r>
          </w:p>
        </w:tc>
      </w:tr>
      <w:tr>
        <w:trPr>
          <w:trHeight w:val="23"/>
        </w:trPr>
        <w:tc>
          <w:tcPr>
            <w:tcW w:w="7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5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Sublease income</w:t>
            </w:r>
          </w:p>
        </w:tc>
        <w:tc>
          <w:tcPr>
            <w:tcW w:w="78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(959)</w:t>
            </w:r>
          </w:p>
        </w:tc>
        <w:tc>
          <w:tcPr>
            <w:tcW w:w="70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(698)</w:t>
            </w:r>
          </w:p>
        </w:tc>
      </w:tr>
      <w:tr>
        <w:trPr>
          <w:trHeight w:val="240"/>
        </w:trPr>
        <w:tc>
          <w:tcPr>
            <w:tcW w:w="7580" w:type="dxa"/>
            <w:vAlign w:val="bottom"/>
          </w:tcPr>
          <w:p>
            <w:pPr>
              <w:ind w:left="140"/>
              <w:spacing w:after="0"/>
              <w:rPr>
                <w:sz w:val="20"/>
                <w:szCs w:val="20"/>
                <w:color w:val="auto"/>
              </w:rPr>
            </w:pPr>
            <w:r>
              <w:rPr>
                <w:rFonts w:ascii="Arial" w:cs="Arial" w:eastAsia="Arial" w:hAnsi="Arial"/>
                <w:sz w:val="18"/>
                <w:szCs w:val="18"/>
                <w:color w:val="51555C"/>
              </w:rPr>
              <w:t>Net lease cost</w:t>
            </w:r>
          </w:p>
        </w:tc>
        <w:tc>
          <w:tcPr>
            <w:tcW w:w="780" w:type="dxa"/>
            <w:vAlign w:val="bottom"/>
            <w:tcBorders>
              <w:top w:val="single" w:sz="8" w:color="51555C"/>
            </w:tcBorders>
          </w:tcPr>
          <w:p>
            <w:pPr>
              <w:jc w:val="right"/>
              <w:ind w:right="576"/>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(45)</w:t>
            </w:r>
          </w:p>
        </w:tc>
        <w:tc>
          <w:tcPr>
            <w:tcW w:w="700" w:type="dxa"/>
            <w:vAlign w:val="bottom"/>
            <w:tcBorders>
              <w:top w:val="single" w:sz="8" w:color="51555C"/>
            </w:tcBorders>
          </w:tcPr>
          <w:p>
            <w:pPr>
              <w:jc w:val="right"/>
              <w:ind w:right="490"/>
              <w:spacing w:after="0"/>
              <w:rPr>
                <w:sz w:val="20"/>
                <w:szCs w:val="20"/>
                <w:color w:val="auto"/>
              </w:rPr>
            </w:pPr>
            <w:r>
              <w:rPr>
                <w:rFonts w:ascii="Arial" w:cs="Arial" w:eastAsia="Arial" w:hAnsi="Arial"/>
                <w:sz w:val="18"/>
                <w:szCs w:val="18"/>
                <w:color w:val="51555C"/>
                <w:w w:val="99"/>
              </w:rPr>
              <w:t>$</w:t>
            </w: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1,601</w:t>
            </w:r>
          </w:p>
        </w:tc>
      </w:tr>
      <w:tr>
        <w:trPr>
          <w:trHeight w:val="23"/>
        </w:trPr>
        <w:tc>
          <w:tcPr>
            <w:tcW w:w="7580" w:type="dxa"/>
            <w:vAlign w:val="bottom"/>
            <w:tcBorders>
              <w:bottom w:val="single" w:sz="8" w:color="0CD973"/>
            </w:tcBorders>
          </w:tcPr>
          <w:p>
            <w:pPr>
              <w:spacing w:after="0"/>
              <w:rPr>
                <w:sz w:val="2"/>
                <w:szCs w:val="2"/>
                <w:color w:val="auto"/>
              </w:rPr>
            </w:pPr>
          </w:p>
        </w:tc>
        <w:tc>
          <w:tcPr>
            <w:tcW w:w="78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70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r>
      <w:tr>
        <w:trPr>
          <w:trHeight w:val="269"/>
        </w:trPr>
        <w:tc>
          <w:tcPr>
            <w:tcW w:w="7580" w:type="dxa"/>
            <w:vAlign w:val="bottom"/>
          </w:tcPr>
          <w:p>
            <w:pPr>
              <w:spacing w:after="0"/>
              <w:rPr>
                <w:sz w:val="20"/>
                <w:szCs w:val="20"/>
                <w:color w:val="auto"/>
              </w:rPr>
            </w:pPr>
            <w:r>
              <w:rPr>
                <w:rFonts w:ascii="Arial" w:cs="Arial" w:eastAsia="Arial" w:hAnsi="Arial"/>
                <w:sz w:val="14"/>
                <w:szCs w:val="14"/>
                <w:color w:val="51555C"/>
              </w:rPr>
              <w:t>(1)  Includes short-term lease costs, which were immaterial.</w:t>
            </w: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594"/>
        </w:trPr>
        <w:tc>
          <w:tcPr>
            <w:tcW w:w="7580" w:type="dxa"/>
            <w:vAlign w:val="bottom"/>
          </w:tcPr>
          <w:p>
            <w:pPr>
              <w:spacing w:after="0"/>
              <w:rPr>
                <w:sz w:val="24"/>
                <w:szCs w:val="24"/>
                <w:color w:val="auto"/>
              </w:rPr>
            </w:pPr>
          </w:p>
        </w:tc>
        <w:tc>
          <w:tcPr>
            <w:tcW w:w="2580" w:type="dxa"/>
            <w:vAlign w:val="bottom"/>
            <w:gridSpan w:val="3"/>
          </w:tcPr>
          <w:p>
            <w:pPr>
              <w:jc w:val="right"/>
              <w:ind w:right="490"/>
              <w:spacing w:after="0"/>
              <w:rPr>
                <w:sz w:val="20"/>
                <w:szCs w:val="20"/>
                <w:color w:val="auto"/>
              </w:rPr>
            </w:pPr>
            <w:r>
              <w:rPr>
                <w:rFonts w:ascii="Arial" w:cs="Arial" w:eastAsia="Arial" w:hAnsi="Arial"/>
                <w:sz w:val="14"/>
                <w:szCs w:val="14"/>
                <w:color w:val="51555C"/>
              </w:rPr>
              <w:t>First Quarter 2025 Form 10-Q</w:t>
            </w:r>
          </w:p>
        </w:tc>
        <w:tc>
          <w:tcPr>
            <w:tcW w:w="1080" w:type="dxa"/>
            <w:vAlign w:val="bottom"/>
          </w:tcPr>
          <w:p>
            <w:pPr>
              <w:jc w:val="right"/>
              <w:spacing w:after="0"/>
              <w:rPr>
                <w:sz w:val="20"/>
                <w:szCs w:val="20"/>
                <w:color w:val="auto"/>
              </w:rPr>
            </w:pPr>
            <w:r>
              <w:rPr>
                <w:rFonts w:ascii="Arial" w:cs="Arial" w:eastAsia="Arial" w:hAnsi="Arial"/>
                <w:sz w:val="14"/>
                <w:szCs w:val="14"/>
                <w:color w:val="51555C"/>
              </w:rPr>
              <w:t>15</w:t>
            </w:r>
          </w:p>
        </w:tc>
      </w:tr>
      <w:tr>
        <w:trPr>
          <w:trHeight w:val="326"/>
        </w:trPr>
        <w:tc>
          <w:tcPr>
            <w:tcW w:w="7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jc w:val="center"/>
              <w:ind w:left="1692"/>
              <w:spacing w:after="0"/>
              <w:rPr>
                <w:sz w:val="20"/>
                <w:szCs w:val="20"/>
                <w:color w:val="auto"/>
              </w:rPr>
            </w:pPr>
            <w:r>
              <w:rPr>
                <w:rFonts w:ascii="Arial" w:cs="Arial" w:eastAsia="Arial" w:hAnsi="Arial"/>
                <w:sz w:val="18"/>
                <w:szCs w:val="18"/>
                <w:b w:val="1"/>
                <w:bCs w:val="1"/>
                <w:color w:val="51555C"/>
                <w:w w:val="99"/>
              </w:rPr>
              <w:t>Blackbaud, Inc.</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60" w:type="dxa"/>
            <w:vAlign w:val="bottom"/>
          </w:tcPr>
          <w:p>
            <w:pPr>
              <w:jc w:val="center"/>
              <w:ind w:left="1692"/>
              <w:spacing w:after="0"/>
              <w:rPr>
                <w:sz w:val="20"/>
                <w:szCs w:val="20"/>
                <w:color w:val="auto"/>
              </w:rPr>
            </w:pPr>
            <w:r>
              <w:rPr>
                <w:rFonts w:ascii="Arial" w:cs="Arial" w:eastAsia="Arial" w:hAnsi="Arial"/>
                <w:sz w:val="18"/>
                <w:szCs w:val="18"/>
                <w:b w:val="1"/>
                <w:bCs w:val="1"/>
                <w:color w:val="51555C"/>
              </w:rPr>
              <w:t>Notes to Condensed Consolidated Financial Statements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9460" w:type="dxa"/>
            <w:vAlign w:val="bottom"/>
          </w:tcPr>
          <w:p>
            <w:pPr>
              <w:jc w:val="center"/>
              <w:ind w:left="1692"/>
              <w:spacing w:after="0"/>
              <w:rPr>
                <w:sz w:val="20"/>
                <w:szCs w:val="20"/>
                <w:color w:val="auto"/>
              </w:rPr>
            </w:pPr>
            <w:r>
              <w:rPr>
                <w:rFonts w:ascii="Arial" w:cs="Arial" w:eastAsia="Arial" w:hAnsi="Arial"/>
                <w:sz w:val="18"/>
                <w:szCs w:val="18"/>
                <w:b w:val="1"/>
                <w:bCs w:val="1"/>
                <w:color w:val="51555C"/>
                <w:w w:val="99"/>
              </w:rPr>
              <w:t>(Unaudited)</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75"/>
        </w:trPr>
        <w:tc>
          <w:tcPr>
            <w:tcW w:w="9460" w:type="dxa"/>
            <w:vAlign w:val="bottom"/>
          </w:tcPr>
          <w:p>
            <w:pPr>
              <w:spacing w:after="0"/>
              <w:rPr>
                <w:sz w:val="20"/>
                <w:szCs w:val="20"/>
                <w:color w:val="auto"/>
              </w:rPr>
            </w:pPr>
            <w:r>
              <w:rPr>
                <w:rFonts w:ascii="Arial" w:cs="Arial" w:eastAsia="Arial" w:hAnsi="Arial"/>
                <w:sz w:val="18"/>
                <w:szCs w:val="18"/>
                <w:color w:val="51555C"/>
              </w:rPr>
              <w:t>Maturities of our operating lease liabilities as of March 31, 2025 were as follows: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9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7"/>
        </w:trPr>
        <w:tc>
          <w:tcPr>
            <w:tcW w:w="94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360" w:type="dxa"/>
            <w:vAlign w:val="bottom"/>
            <w:shd w:val="clear" w:color="auto" w:fill="004054"/>
          </w:tcPr>
          <w:p>
            <w:pPr>
              <w:spacing w:after="0"/>
              <w:rPr>
                <w:sz w:val="17"/>
                <w:szCs w:val="17"/>
                <w:color w:val="auto"/>
              </w:rPr>
            </w:pPr>
          </w:p>
        </w:tc>
        <w:tc>
          <w:tcPr>
            <w:tcW w:w="142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5"/>
        </w:trPr>
        <w:tc>
          <w:tcPr>
            <w:tcW w:w="94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tcBorders>
              <w:bottom w:val="single" w:sz="8" w:color="004054"/>
            </w:tcBorders>
            <w:shd w:val="clear" w:color="auto" w:fill="004054"/>
          </w:tcPr>
          <w:p>
            <w:pPr>
              <w:spacing w:after="0"/>
              <w:rPr>
                <w:sz w:val="17"/>
                <w:szCs w:val="17"/>
                <w:color w:val="auto"/>
              </w:rPr>
            </w:pPr>
          </w:p>
        </w:tc>
        <w:tc>
          <w:tcPr>
            <w:tcW w:w="14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Operating leases</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0"/>
        </w:trPr>
        <w:tc>
          <w:tcPr>
            <w:tcW w:w="9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2025 - remaining</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901</w:t>
            </w:r>
          </w:p>
        </w:tc>
        <w:tc>
          <w:tcPr>
            <w:tcW w:w="20" w:type="dxa"/>
            <w:vAlign w:val="bottom"/>
          </w:tcPr>
          <w:p>
            <w:pPr>
              <w:spacing w:after="0"/>
              <w:rPr>
                <w:sz w:val="21"/>
                <w:szCs w:val="21"/>
                <w:color w:val="auto"/>
              </w:rPr>
            </w:pPr>
          </w:p>
        </w:tc>
      </w:tr>
      <w:tr>
        <w:trPr>
          <w:trHeight w:val="247"/>
        </w:trPr>
        <w:tc>
          <w:tcPr>
            <w:tcW w:w="9460" w:type="dxa"/>
            <w:vAlign w:val="bottom"/>
          </w:tcPr>
          <w:p>
            <w:pPr>
              <w:ind w:left="20"/>
              <w:spacing w:after="0"/>
              <w:rPr>
                <w:sz w:val="20"/>
                <w:szCs w:val="20"/>
                <w:color w:val="auto"/>
              </w:rPr>
            </w:pPr>
            <w:r>
              <w:rPr>
                <w:rFonts w:ascii="Arial" w:cs="Arial" w:eastAsia="Arial" w:hAnsi="Arial"/>
                <w:sz w:val="18"/>
                <w:szCs w:val="18"/>
                <w:color w:val="51555C"/>
              </w:rPr>
              <w:t>2026</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51555C"/>
              </w:rPr>
              <w:t>1,040</w:t>
            </w:r>
          </w:p>
        </w:tc>
        <w:tc>
          <w:tcPr>
            <w:tcW w:w="20" w:type="dxa"/>
            <w:vAlign w:val="bottom"/>
          </w:tcPr>
          <w:p>
            <w:pPr>
              <w:spacing w:after="0"/>
              <w:rPr>
                <w:sz w:val="21"/>
                <w:szCs w:val="21"/>
                <w:color w:val="auto"/>
              </w:rPr>
            </w:pPr>
          </w:p>
        </w:tc>
      </w:tr>
      <w:tr>
        <w:trPr>
          <w:trHeight w:val="23"/>
        </w:trPr>
        <w:tc>
          <w:tcPr>
            <w:tcW w:w="9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2027</w:t>
            </w:r>
          </w:p>
        </w:tc>
        <w:tc>
          <w:tcPr>
            <w:tcW w:w="3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1,012</w:t>
            </w:r>
          </w:p>
        </w:tc>
        <w:tc>
          <w:tcPr>
            <w:tcW w:w="20" w:type="dxa"/>
            <w:vAlign w:val="bottom"/>
          </w:tcPr>
          <w:p>
            <w:pPr>
              <w:spacing w:after="0"/>
              <w:rPr>
                <w:sz w:val="21"/>
                <w:szCs w:val="21"/>
                <w:color w:val="auto"/>
              </w:rPr>
            </w:pPr>
          </w:p>
        </w:tc>
      </w:tr>
      <w:tr>
        <w:trPr>
          <w:trHeight w:val="247"/>
        </w:trPr>
        <w:tc>
          <w:tcPr>
            <w:tcW w:w="9460" w:type="dxa"/>
            <w:vAlign w:val="bottom"/>
          </w:tcPr>
          <w:p>
            <w:pPr>
              <w:ind w:left="20"/>
              <w:spacing w:after="0"/>
              <w:rPr>
                <w:sz w:val="20"/>
                <w:szCs w:val="20"/>
                <w:color w:val="auto"/>
              </w:rPr>
            </w:pPr>
            <w:r>
              <w:rPr>
                <w:rFonts w:ascii="Arial" w:cs="Arial" w:eastAsia="Arial" w:hAnsi="Arial"/>
                <w:sz w:val="18"/>
                <w:szCs w:val="18"/>
                <w:color w:val="51555C"/>
              </w:rPr>
              <w:t>2028</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51555C"/>
              </w:rPr>
              <w:t>776</w:t>
            </w:r>
          </w:p>
        </w:tc>
        <w:tc>
          <w:tcPr>
            <w:tcW w:w="20" w:type="dxa"/>
            <w:vAlign w:val="bottom"/>
          </w:tcPr>
          <w:p>
            <w:pPr>
              <w:spacing w:after="0"/>
              <w:rPr>
                <w:sz w:val="21"/>
                <w:szCs w:val="21"/>
                <w:color w:val="auto"/>
              </w:rPr>
            </w:pPr>
          </w:p>
        </w:tc>
      </w:tr>
      <w:tr>
        <w:trPr>
          <w:trHeight w:val="23"/>
        </w:trPr>
        <w:tc>
          <w:tcPr>
            <w:tcW w:w="9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2029</w:t>
            </w:r>
          </w:p>
        </w:tc>
        <w:tc>
          <w:tcPr>
            <w:tcW w:w="3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47"/>
        </w:trPr>
        <w:tc>
          <w:tcPr>
            <w:tcW w:w="9460" w:type="dxa"/>
            <w:vAlign w:val="bottom"/>
          </w:tcPr>
          <w:p>
            <w:pPr>
              <w:ind w:left="20"/>
              <w:spacing w:after="0"/>
              <w:rPr>
                <w:sz w:val="20"/>
                <w:szCs w:val="20"/>
                <w:color w:val="auto"/>
              </w:rPr>
            </w:pPr>
            <w:r>
              <w:rPr>
                <w:rFonts w:ascii="Arial" w:cs="Arial" w:eastAsia="Arial" w:hAnsi="Arial"/>
                <w:sz w:val="18"/>
                <w:szCs w:val="18"/>
                <w:color w:val="51555C"/>
              </w:rPr>
              <w:t>Thereafter</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3"/>
        </w:trPr>
        <w:tc>
          <w:tcPr>
            <w:tcW w:w="9460" w:type="dxa"/>
            <w:vAlign w:val="bottom"/>
            <w:tcBorders>
              <w:bottom w:val="single" w:sz="8" w:color="EBFBFF"/>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4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Total lease payments</w:t>
            </w:r>
          </w:p>
        </w:tc>
        <w:tc>
          <w:tcPr>
            <w:tcW w:w="3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3,729</w:t>
            </w:r>
          </w:p>
        </w:tc>
        <w:tc>
          <w:tcPr>
            <w:tcW w:w="20" w:type="dxa"/>
            <w:vAlign w:val="bottom"/>
          </w:tcPr>
          <w:p>
            <w:pPr>
              <w:spacing w:after="0"/>
              <w:rPr>
                <w:sz w:val="21"/>
                <w:szCs w:val="21"/>
                <w:color w:val="auto"/>
              </w:rPr>
            </w:pPr>
          </w:p>
        </w:tc>
      </w:tr>
      <w:tr>
        <w:trPr>
          <w:trHeight w:val="247"/>
        </w:trPr>
        <w:tc>
          <w:tcPr>
            <w:tcW w:w="9460" w:type="dxa"/>
            <w:vAlign w:val="bottom"/>
          </w:tcPr>
          <w:p>
            <w:pPr>
              <w:ind w:left="20"/>
              <w:spacing w:after="0"/>
              <w:rPr>
                <w:sz w:val="20"/>
                <w:szCs w:val="20"/>
                <w:color w:val="auto"/>
              </w:rPr>
            </w:pPr>
            <w:r>
              <w:rPr>
                <w:rFonts w:ascii="Arial" w:cs="Arial" w:eastAsia="Arial" w:hAnsi="Arial"/>
                <w:sz w:val="18"/>
                <w:szCs w:val="18"/>
                <w:color w:val="51555C"/>
              </w:rPr>
              <w:t>Less: Amount representing interest</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51555C"/>
              </w:rPr>
              <w:t>(261)</w:t>
            </w:r>
          </w:p>
        </w:tc>
        <w:tc>
          <w:tcPr>
            <w:tcW w:w="20" w:type="dxa"/>
            <w:vAlign w:val="bottom"/>
          </w:tcPr>
          <w:p>
            <w:pPr>
              <w:spacing w:after="0"/>
              <w:rPr>
                <w:sz w:val="21"/>
                <w:szCs w:val="21"/>
                <w:color w:val="auto"/>
              </w:rPr>
            </w:pPr>
          </w:p>
        </w:tc>
      </w:tr>
      <w:tr>
        <w:trPr>
          <w:trHeight w:val="23"/>
        </w:trPr>
        <w:tc>
          <w:tcPr>
            <w:tcW w:w="9460" w:type="dxa"/>
            <w:vAlign w:val="bottom"/>
            <w:tcBorders>
              <w:bottom w:val="single" w:sz="8" w:color="EBFBFF"/>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4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9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Present value of future payments</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3,468</w:t>
            </w:r>
          </w:p>
        </w:tc>
        <w:tc>
          <w:tcPr>
            <w:tcW w:w="20" w:type="dxa"/>
            <w:vAlign w:val="bottom"/>
          </w:tcPr>
          <w:p>
            <w:pPr>
              <w:spacing w:after="0"/>
              <w:rPr>
                <w:sz w:val="21"/>
                <w:szCs w:val="21"/>
                <w:color w:val="auto"/>
              </w:rPr>
            </w:pPr>
          </w:p>
        </w:tc>
      </w:tr>
      <w:tr>
        <w:trPr>
          <w:trHeight w:val="20"/>
        </w:trPr>
        <w:tc>
          <w:tcPr>
            <w:tcW w:w="946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4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commitments</w:t>
      </w:r>
    </w:p>
    <w:p>
      <w:pPr>
        <w:spacing w:after="0" w:line="1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51555C"/>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have contractual obligations for third-party technology used in our solutions and for other services we purchase as part of our normal operations. In certain cases, these arrangements require a minimum annual purchase commitment by us. As of March 31, 2025, the remaining aggregate minimum purchase commitment under these arrangements was approximately $194.7 million through 2029.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Solution and service indemnifications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Legal proceedings</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651510" cy="1714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w:t>
      </w:r>
    </w:p>
    <w:p>
      <w:pPr>
        <w:spacing w:after="0" w:line="12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As a result of the Security Incident, we are currently subject to certain legal proceedings, claims and investigations, as discussed below,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This coverage reduced our financial exposure related to the Security Incident in prior years. See our Annual Report on Form 10-K filed with the SEC on February 21, 2025 for more information regarding the Security Incident.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51555C"/>
        </w:rPr>
        <w:t>We recorded expenses and offsetting insurance recoveries related to the Security Incident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14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836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8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tcBorders>
              <w:bottom w:val="single" w:sz="8" w:color="004054"/>
            </w:tcBorders>
            <w:shd w:val="clear" w:color="auto" w:fill="004054"/>
          </w:tcPr>
          <w:p>
            <w:pPr>
              <w:spacing w:after="0"/>
              <w:rPr>
                <w:sz w:val="21"/>
                <w:szCs w:val="21"/>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40" w:type="dxa"/>
            <w:vAlign w:val="bottom"/>
            <w:tcBorders>
              <w:bottom w:val="single" w:sz="8" w:color="004054"/>
            </w:tcBorders>
            <w:shd w:val="clear" w:color="auto" w:fill="004054"/>
          </w:tcPr>
          <w:p>
            <w:pPr>
              <w:spacing w:after="0"/>
              <w:rPr>
                <w:sz w:val="21"/>
                <w:szCs w:val="21"/>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8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Gross expense</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2,180</w:t>
            </w:r>
          </w:p>
        </w:tc>
        <w:tc>
          <w:tcPr>
            <w:tcW w:w="440" w:type="dxa"/>
            <w:vAlign w:val="bottom"/>
            <w:tcBorders>
              <w:bottom w:val="single" w:sz="8" w:color="EBFBFF"/>
            </w:tcBorders>
            <w:shd w:val="clear" w:color="auto" w:fill="EBFBFF"/>
          </w:tcPr>
          <w:p>
            <w:pPr>
              <w:jc w:val="right"/>
              <w:ind w:right="236"/>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10,323</w:t>
            </w:r>
          </w:p>
        </w:tc>
        <w:tc>
          <w:tcPr>
            <w:tcW w:w="20" w:type="dxa"/>
            <w:vAlign w:val="bottom"/>
          </w:tcPr>
          <w:p>
            <w:pPr>
              <w:spacing w:after="0"/>
              <w:rPr>
                <w:sz w:val="21"/>
                <w:szCs w:val="21"/>
                <w:color w:val="auto"/>
              </w:rPr>
            </w:pPr>
          </w:p>
        </w:tc>
      </w:tr>
      <w:tr>
        <w:trPr>
          <w:trHeight w:val="247"/>
        </w:trPr>
        <w:tc>
          <w:tcPr>
            <w:tcW w:w="8360" w:type="dxa"/>
            <w:vAlign w:val="bottom"/>
          </w:tcPr>
          <w:p>
            <w:pPr>
              <w:ind w:left="20"/>
              <w:spacing w:after="0"/>
              <w:rPr>
                <w:sz w:val="20"/>
                <w:szCs w:val="20"/>
                <w:color w:val="auto"/>
              </w:rPr>
            </w:pPr>
            <w:r>
              <w:rPr>
                <w:rFonts w:ascii="Arial" w:cs="Arial" w:eastAsia="Arial" w:hAnsi="Arial"/>
                <w:sz w:val="18"/>
                <w:szCs w:val="18"/>
                <w:color w:val="51555C"/>
              </w:rPr>
              <w:t>Offsetting insurance recoveries</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3"/>
        </w:trPr>
        <w:tc>
          <w:tcPr>
            <w:tcW w:w="836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83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Net expense</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2,180</w:t>
            </w:r>
          </w:p>
        </w:tc>
        <w:tc>
          <w:tcPr>
            <w:tcW w:w="440" w:type="dxa"/>
            <w:vAlign w:val="bottom"/>
            <w:tcBorders>
              <w:bottom w:val="single" w:sz="8" w:color="EBFBFF"/>
            </w:tcBorders>
            <w:shd w:val="clear" w:color="auto" w:fill="EBFBFF"/>
          </w:tcPr>
          <w:p>
            <w:pPr>
              <w:jc w:val="right"/>
              <w:ind w:right="236"/>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10,323</w:t>
            </w:r>
          </w:p>
        </w:tc>
        <w:tc>
          <w:tcPr>
            <w:tcW w:w="20" w:type="dxa"/>
            <w:vAlign w:val="bottom"/>
          </w:tcPr>
          <w:p>
            <w:pPr>
              <w:spacing w:after="0"/>
              <w:rPr>
                <w:sz w:val="21"/>
                <w:szCs w:val="21"/>
                <w:color w:val="auto"/>
              </w:rPr>
            </w:pPr>
          </w:p>
        </w:tc>
      </w:tr>
      <w:tr>
        <w:trPr>
          <w:trHeight w:val="20"/>
        </w:trPr>
        <w:tc>
          <w:tcPr>
            <w:tcW w:w="836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-693420</wp:posOffset>
            </wp:positionV>
            <wp:extent cx="18427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our cumulative expenses, insurance recoveries recognized and insurance recoveries received as 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30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004054"/>
            </w:tcBorders>
            <w:shd w:val="clear" w:color="auto" w:fill="004054"/>
          </w:tcPr>
          <w:p>
            <w:pPr>
              <w:spacing w:after="0"/>
              <w:rPr>
                <w:sz w:val="17"/>
                <w:szCs w:val="17"/>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00" w:type="dxa"/>
            <w:vAlign w:val="bottom"/>
            <w:tcBorders>
              <w:bottom w:val="single" w:sz="8" w:color="004054"/>
            </w:tcBorders>
            <w:shd w:val="clear" w:color="auto" w:fill="004054"/>
          </w:tcPr>
          <w:p>
            <w:pPr>
              <w:spacing w:after="0"/>
              <w:rPr>
                <w:sz w:val="17"/>
                <w:szCs w:val="17"/>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0"/>
        </w:trPr>
        <w:tc>
          <w:tcPr>
            <w:tcW w:w="8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gross expense</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ind w:left="300"/>
              <w:spacing w:after="0"/>
              <w:rPr>
                <w:sz w:val="20"/>
                <w:szCs w:val="20"/>
                <w:color w:val="auto"/>
              </w:rPr>
            </w:pPr>
            <w:r>
              <w:rPr>
                <w:rFonts w:ascii="Arial" w:cs="Arial" w:eastAsia="Arial" w:hAnsi="Arial"/>
                <w:sz w:val="18"/>
                <w:szCs w:val="18"/>
                <w:color w:val="51555C"/>
              </w:rPr>
              <w:t>177,311</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175,131</w:t>
            </w:r>
          </w:p>
        </w:tc>
        <w:tc>
          <w:tcPr>
            <w:tcW w:w="20" w:type="dxa"/>
            <w:vAlign w:val="bottom"/>
          </w:tcPr>
          <w:p>
            <w:pPr>
              <w:spacing w:after="0"/>
              <w:rPr>
                <w:sz w:val="21"/>
                <w:szCs w:val="21"/>
                <w:color w:val="auto"/>
              </w:rPr>
            </w:pPr>
          </w:p>
        </w:tc>
      </w:tr>
      <w:tr>
        <w:trPr>
          <w:trHeight w:val="247"/>
        </w:trPr>
        <w:tc>
          <w:tcPr>
            <w:tcW w:w="8360" w:type="dxa"/>
            <w:vAlign w:val="bottom"/>
          </w:tcPr>
          <w:p>
            <w:pPr>
              <w:ind w:left="20"/>
              <w:spacing w:after="0"/>
              <w:rPr>
                <w:sz w:val="20"/>
                <w:szCs w:val="20"/>
                <w:color w:val="auto"/>
              </w:rPr>
            </w:pPr>
            <w:r>
              <w:rPr>
                <w:rFonts w:ascii="Arial" w:cs="Arial" w:eastAsia="Arial" w:hAnsi="Arial"/>
                <w:sz w:val="18"/>
                <w:szCs w:val="18"/>
                <w:color w:val="51555C"/>
              </w:rPr>
              <w:t>Cumulative offsetting insurance recoveries recognized</w:t>
            </w:r>
          </w:p>
        </w:tc>
        <w:tc>
          <w:tcPr>
            <w:tcW w:w="42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51555C"/>
              </w:rPr>
              <w:t>(50,000)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(50,000)</w:t>
            </w:r>
          </w:p>
        </w:tc>
        <w:tc>
          <w:tcPr>
            <w:tcW w:w="20" w:type="dxa"/>
            <w:vAlign w:val="bottom"/>
          </w:tcPr>
          <w:p>
            <w:pPr>
              <w:spacing w:after="0"/>
              <w:rPr>
                <w:sz w:val="21"/>
                <w:szCs w:val="21"/>
                <w:color w:val="auto"/>
              </w:rPr>
            </w:pPr>
          </w:p>
        </w:tc>
      </w:tr>
      <w:tr>
        <w:trPr>
          <w:trHeight w:val="23"/>
        </w:trPr>
        <w:tc>
          <w:tcPr>
            <w:tcW w:w="8360" w:type="dxa"/>
            <w:vAlign w:val="bottom"/>
            <w:tcBorders>
              <w:bottom w:val="single" w:sz="8" w:color="EBFBFF"/>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30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3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Cumulative net expense</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ind w:left="300"/>
              <w:spacing w:after="0"/>
              <w:rPr>
                <w:sz w:val="20"/>
                <w:szCs w:val="20"/>
                <w:color w:val="auto"/>
              </w:rPr>
            </w:pPr>
            <w:r>
              <w:rPr>
                <w:rFonts w:ascii="Arial" w:cs="Arial" w:eastAsia="Arial" w:hAnsi="Arial"/>
                <w:sz w:val="18"/>
                <w:szCs w:val="18"/>
                <w:color w:val="51555C"/>
              </w:rPr>
              <w:t>127,311</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125,131</w:t>
            </w:r>
          </w:p>
        </w:tc>
        <w:tc>
          <w:tcPr>
            <w:tcW w:w="20" w:type="dxa"/>
            <w:vAlign w:val="bottom"/>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420" w:type="dxa"/>
            <w:vAlign w:val="bottom"/>
            <w:tcBorders>
              <w:top w:val="single" w:sz="8" w:color="51555C"/>
            </w:tcBorders>
          </w:tcPr>
          <w:p>
            <w:pPr>
              <w:spacing w:after="0"/>
              <w:rPr>
                <w:sz w:val="21"/>
                <w:szCs w:val="21"/>
                <w:color w:val="auto"/>
              </w:rPr>
            </w:pPr>
          </w:p>
        </w:tc>
        <w:tc>
          <w:tcPr>
            <w:tcW w:w="1020" w:type="dxa"/>
            <w:vAlign w:val="bottom"/>
            <w:tcBorders>
              <w:top w:val="single" w:sz="8" w:color="51555C"/>
            </w:tcBorders>
          </w:tcPr>
          <w:p>
            <w:pPr>
              <w:spacing w:after="0"/>
              <w:rPr>
                <w:sz w:val="21"/>
                <w:szCs w:val="21"/>
                <w:color w:val="auto"/>
              </w:rPr>
            </w:pPr>
          </w:p>
        </w:tc>
        <w:tc>
          <w:tcPr>
            <w:tcW w:w="300" w:type="dxa"/>
            <w:vAlign w:val="bottom"/>
            <w:tcBorders>
              <w:top w:val="single" w:sz="8" w:color="51555C"/>
            </w:tcBorders>
          </w:tcPr>
          <w:p>
            <w:pPr>
              <w:spacing w:after="0"/>
              <w:rPr>
                <w:sz w:val="21"/>
                <w:szCs w:val="21"/>
                <w:color w:val="auto"/>
              </w:rPr>
            </w:pPr>
          </w:p>
        </w:tc>
        <w:tc>
          <w:tcPr>
            <w:tcW w:w="1140" w:type="dxa"/>
            <w:vAlign w:val="bottom"/>
            <w:tcBorders>
              <w:top w:val="single" w:sz="8" w:color="51555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8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offsetting insurance recoveries received</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ind w:left="320"/>
              <w:spacing w:after="0"/>
              <w:rPr>
                <w:sz w:val="20"/>
                <w:szCs w:val="20"/>
                <w:color w:val="auto"/>
              </w:rPr>
            </w:pPr>
            <w:r>
              <w:rPr>
                <w:rFonts w:ascii="Arial" w:cs="Arial" w:eastAsia="Arial" w:hAnsi="Arial"/>
                <w:sz w:val="18"/>
                <w:szCs w:val="18"/>
                <w:color w:val="51555C"/>
              </w:rPr>
              <w:t>(50,000)</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(50,000)</w:t>
            </w:r>
          </w:p>
        </w:tc>
        <w:tc>
          <w:tcPr>
            <w:tcW w:w="20" w:type="dxa"/>
            <w:vAlign w:val="bottom"/>
          </w:tcPr>
          <w:p>
            <w:pPr>
              <w:spacing w:after="0"/>
              <w:rPr>
                <w:sz w:val="21"/>
                <w:szCs w:val="21"/>
                <w:color w:val="auto"/>
              </w:rPr>
            </w:pPr>
          </w:p>
        </w:tc>
      </w:tr>
      <w:tr>
        <w:trPr>
          <w:trHeight w:val="20"/>
        </w:trPr>
        <w:tc>
          <w:tcPr>
            <w:tcW w:w="836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Recorded expenses have consisted primarily of payments to third-party service providers and consultants, including legal fees, settlement of the previously disclosed SEC investigation, multi-state Attorneys General investigation and Attorney General of the State of California investigation,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unaudited, condensed consolidated statements of comprehensive income and as operating activities on our unaudited, condensed consolidated statements of cash flows. Total costs related to the Security Incident exceeded the limit of our insurance coverage during the first quarter of 2022. We expect to continue to incur expenses related to our response to the Security Incident, resolution of legal proceedings, claims and investigations, including those discussed below, and our efforts to further enhance our cybersecurity measures. For the three months ended March 31, 2025, we incurred net pre-tax expenses of $2.2 million related to the Security Incident, which included $1.1 million for ongoing legal fees and additional accruals of loss contingencies of $ 1.1 million. During the three months ended March 31, 2025, we had net cash outlays which were insignificant related to the Security Incident for ongoing legal fees and the settlement of putative consumer class actions cases in Canada discussed below. In line with our policy, legal fees are expensed as incurred.</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March 31, 2025, we have recorded approximately $1.6 million in aggregate liabilities for loss contingencies based primarily on recent negotiations with certain plaintiffs and customers related to the Security Incident that we believed we could reasonably estimate in accordance with our loss contingency procedures described above. Our liabilities for loss contingencies are recorded in accrued expenses and other current liabilities on our unaudited, condensed consolidated balance sheets. It is reasonably possible that our estimated actual losses may change in the near term for those matters,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211455</wp:posOffset>
            </wp:positionV>
            <wp:extent cx="65976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17</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believe that they are not reasonably likely, either separately or in the aggregate, to have a material adverse impact on our results of operations, cash flows or financial condition.</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There may be other Security Incident-related matters, which could, separately or in the aggregate, result in an adverse judgment, settlement, fine, penalty or other resolution, the amount, scope and timing of which we are currently unable to predict.</w:t>
      </w:r>
    </w:p>
    <w:p>
      <w:pPr>
        <w:spacing w:after="0" w:line="9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51555C"/>
        </w:rPr>
        <w:t xml:space="preserve">Customer claims. </w:t>
      </w:r>
      <w:r>
        <w:rPr>
          <w:rFonts w:ascii="Arial" w:cs="Arial" w:eastAsia="Arial" w:hAnsi="Arial"/>
          <w:sz w:val="18"/>
          <w:szCs w:val="18"/>
          <w:color w:val="51555C"/>
        </w:rPr>
        <w:t>We believe that substantially all specific requests from customers for reimbursement of expenses incurred by them</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related to the Security Incident, have been fully resolved and closed or are inactive and have been abandoned by the customers. We also believe that substantially all reservations of the right to seek expense recovery in the future that we received from customers or their attorneys in the U.S., U.K. and Canada related to the Security Incident, none of which resulted in claims submitted to us, have been abandoned by the customers and that all claims or proposed claims on behalf of a number of U.K. data subjects received by us, have been fully resolved and closed or are inactive and have been abandoned by the data subjects. In addition, insurance companies representing various customers’ interests through subrogation claims contacted us, and certain insurance companies filed subrogation claims in court, all of which are now considered by us to be resolved or inactive and abandoned by the insurance companies.</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51555C"/>
        </w:rPr>
        <w:t xml:space="preserve">Customer constituent class actions. </w:t>
      </w:r>
      <w:r>
        <w:rPr>
          <w:rFonts w:ascii="Arial" w:cs="Arial" w:eastAsia="Arial" w:hAnsi="Arial"/>
          <w:sz w:val="18"/>
          <w:szCs w:val="18"/>
          <w:color w:val="51555C"/>
        </w:rPr>
        <w:t>Presently, we are a defendant in cases in U.S. federal courts (which have been consolidated under</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multi district litigation to a single federal court) alleging harm from the Security Incident. The plaintiffs in these cases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2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On May 14, 2024, the United States District Court for the District of South Carolina issued a memorandum opinion and order that, among other things, denied the multi district litigation plaintiffs' motion for class certification. On July 30, 2024, the Fourth Circuit Court of Appeals denied the plaintiffs' petition for permission to appeal the Court's ruling. While this litigation remains ongoing, we believe that it is not reasonably likely to have a material adverse impact on our results of operations, cash flows or financial condition.</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In December 2024 and January 2025, judges in Ontario and British Columbia, respectively, approved a settlement between us and plaintiffs in putative consumer class actions cases in Canada. In January 2025, the insignificant settlement was paid to Canadian charities designated in the settlement agreement as cy pres recipients.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51555C"/>
        </w:rPr>
        <w:t xml:space="preserve">Governmental investigations. </w:t>
      </w:r>
      <w:r>
        <w:rPr>
          <w:rFonts w:ascii="Arial" w:cs="Arial" w:eastAsia="Arial" w:hAnsi="Arial"/>
          <w:sz w:val="18"/>
          <w:szCs w:val="18"/>
          <w:color w:val="51555C"/>
        </w:rPr>
        <w:t>As previously disclosed, we are subject to an ongoing investigation by the U.S. Department of Health and</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Human Services. We also responded to inquiries from the Office of the Australian Information Commissioner in September 2020 and the Office of the Privacy Commissioner of Canada in October 2020. Although we have not received notices of the termination of any of these inquiries and investigations, we believe that these matters are no longer active.</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For more information about the completed government investigations and related actions, see Note 11 to our audited consolidated financial statements contained in our Annual Report on Form 10-K filed with the SEC on February 21, 2025.</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9.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51555C"/>
        </w:rPr>
        <w:t>Our income tax provision (benefit) and effective income tax rates, including the effects of period-specific events,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100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814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100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81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tcBorders>
              <w:bottom w:val="single" w:sz="8" w:color="004054"/>
            </w:tcBorders>
            <w:shd w:val="clear" w:color="auto" w:fill="004054"/>
          </w:tcPr>
          <w:p>
            <w:pPr>
              <w:spacing w:after="0"/>
              <w:rPr>
                <w:sz w:val="21"/>
                <w:szCs w:val="21"/>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20" w:type="dxa"/>
            <w:vAlign w:val="bottom"/>
            <w:tcBorders>
              <w:bottom w:val="single" w:sz="8" w:color="004054"/>
            </w:tcBorders>
            <w:shd w:val="clear" w:color="auto" w:fill="004054"/>
          </w:tcPr>
          <w:p>
            <w:pPr>
              <w:spacing w:after="0"/>
              <w:rPr>
                <w:sz w:val="21"/>
                <w:szCs w:val="21"/>
                <w:color w:val="auto"/>
              </w:rPr>
            </w:pP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8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Income tax provision (benefit)</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ind w:right="156"/>
              <w:spacing w:after="0"/>
              <w:rPr>
                <w:sz w:val="20"/>
                <w:szCs w:val="20"/>
                <w:color w:val="auto"/>
              </w:rPr>
            </w:pPr>
            <w:r>
              <w:rPr>
                <w:rFonts w:ascii="Arial" w:cs="Arial" w:eastAsia="Arial" w:hAnsi="Arial"/>
                <w:sz w:val="18"/>
                <w:szCs w:val="18"/>
                <w:color w:val="51555C"/>
              </w:rPr>
              <w:t>723</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shd w:val="clear" w:color="auto" w:fill="EBFBFF"/>
          </w:tcPr>
          <w:p>
            <w:pPr>
              <w:jc w:val="right"/>
              <w:ind w:right="101"/>
              <w:spacing w:after="0"/>
              <w:rPr>
                <w:sz w:val="20"/>
                <w:szCs w:val="20"/>
                <w:color w:val="auto"/>
              </w:rPr>
            </w:pPr>
            <w:r>
              <w:rPr>
                <w:rFonts w:ascii="Arial" w:cs="Arial" w:eastAsia="Arial" w:hAnsi="Arial"/>
                <w:sz w:val="18"/>
                <w:szCs w:val="18"/>
                <w:color w:val="51555C"/>
              </w:rPr>
              <w:t>(1,456)</w:t>
            </w:r>
          </w:p>
        </w:tc>
        <w:tc>
          <w:tcPr>
            <w:tcW w:w="20" w:type="dxa"/>
            <w:vAlign w:val="bottom"/>
          </w:tcPr>
          <w:p>
            <w:pPr>
              <w:spacing w:after="0"/>
              <w:rPr>
                <w:sz w:val="21"/>
                <w:szCs w:val="21"/>
                <w:color w:val="auto"/>
              </w:rPr>
            </w:pP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51555C"/>
              </w:rPr>
              <w:t>Effective income tax rate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12.9 %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(38.4)%</w:t>
            </w:r>
          </w:p>
        </w:tc>
        <w:tc>
          <w:tcPr>
            <w:tcW w:w="20" w:type="dxa"/>
            <w:vAlign w:val="bottom"/>
          </w:tcPr>
          <w:p>
            <w:pPr>
              <w:spacing w:after="0"/>
              <w:rPr>
                <w:sz w:val="21"/>
                <w:szCs w:val="21"/>
                <w:color w:val="auto"/>
              </w:rPr>
            </w:pPr>
          </w:p>
        </w:tc>
      </w:tr>
      <w:tr>
        <w:trPr>
          <w:trHeight w:val="23"/>
        </w:trPr>
        <w:tc>
          <w:tcPr>
            <w:tcW w:w="8140" w:type="dxa"/>
            <w:vAlign w:val="bottom"/>
            <w:tcBorders>
              <w:bottom w:val="single" w:sz="8" w:color="0CD973"/>
            </w:tcBorders>
          </w:tcPr>
          <w:p>
            <w:pPr>
              <w:spacing w:after="0"/>
              <w:rPr>
                <w:sz w:val="2"/>
                <w:szCs w:val="2"/>
                <w:color w:val="auto"/>
              </w:rPr>
            </w:pPr>
          </w:p>
        </w:tc>
        <w:tc>
          <w:tcPr>
            <w:tcW w:w="54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4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-513715</wp:posOffset>
            </wp:positionV>
            <wp:extent cx="19799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increase in our effective income tax rate for the three months ended March 31, 2025 when compared to the same period in 2024 was primarily due to the impact of reduced current year stock-based compensation benefit. Additionally, the current year effective tax rate was unfavorably impacted by a valuation allowance against our net U.S. deferred tax assets.</w:t>
      </w:r>
    </w:p>
    <w:p>
      <w:pPr>
        <w:spacing w:after="0" w:line="29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651510" cy="171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10.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Stock repurchase program</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37 in this report.</w:t>
      </w:r>
    </w:p>
    <w:p>
      <w:pPr>
        <w:spacing w:after="0" w:line="12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We account for purchases of treasury stock under the cost method. On July 16, 2024, our Board of Directors reauthorized, expanded and replenished our stock repurchase program by expanding the total capacity under the program to $800.0 million available for repurchases.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During the three months ended March 31, 2025, we repurchased an aggregate of 1,513,022 shares for $100.0 million. The remaining amount available to purchase stock under the approved stock repurchase program was $544.5 million as of March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Changes in accumulated other comprehensive (loss) income by component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 xml:space="preserve">The changes in accumulated other comprehensive </w:t>
      </w:r>
      <w:r>
        <w:rPr>
          <w:rFonts w:ascii="Arial" w:cs="Arial" w:eastAsia="Arial" w:hAnsi="Arial"/>
          <w:sz w:val="18"/>
          <w:szCs w:val="18"/>
          <w:b w:val="1"/>
          <w:bCs w:val="1"/>
          <w:color w:val="51555C"/>
        </w:rPr>
        <w:t>(loss) income</w:t>
      </w:r>
      <w:r>
        <w:rPr>
          <w:rFonts w:ascii="Arial" w:cs="Arial" w:eastAsia="Arial" w:hAnsi="Arial"/>
          <w:sz w:val="18"/>
          <w:szCs w:val="18"/>
          <w:color w:val="51555C"/>
        </w:rPr>
        <w:t xml:space="preserve"> by component,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20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894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8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8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280" w:type="dxa"/>
            <w:vAlign w:val="bottom"/>
            <w:tcBorders>
              <w:bottom w:val="single" w:sz="8" w:color="004054"/>
            </w:tcBorders>
            <w:shd w:val="clear" w:color="auto" w:fill="004054"/>
          </w:tcPr>
          <w:p>
            <w:pPr>
              <w:spacing w:after="0"/>
              <w:rPr>
                <w:sz w:val="21"/>
                <w:szCs w:val="21"/>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80" w:type="dxa"/>
            <w:vAlign w:val="bottom"/>
            <w:tcBorders>
              <w:bottom w:val="single" w:sz="8" w:color="004054"/>
            </w:tcBorders>
            <w:shd w:val="clear" w:color="auto" w:fill="004054"/>
          </w:tcPr>
          <w:p>
            <w:pPr>
              <w:spacing w:after="0"/>
              <w:rPr>
                <w:sz w:val="21"/>
                <w:szCs w:val="21"/>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70"/>
        </w:trPr>
        <w:tc>
          <w:tcPr>
            <w:tcW w:w="89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loss, beginning of period</w:t>
            </w:r>
          </w:p>
        </w:tc>
        <w:tc>
          <w:tcPr>
            <w:tcW w:w="28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(4,869)</w:t>
            </w:r>
          </w:p>
        </w:tc>
        <w:tc>
          <w:tcPr>
            <w:tcW w:w="28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(1,688)</w:t>
            </w:r>
          </w:p>
        </w:tc>
        <w:tc>
          <w:tcPr>
            <w:tcW w:w="20" w:type="dxa"/>
            <w:vAlign w:val="bottom"/>
          </w:tcPr>
          <w:p>
            <w:pPr>
              <w:spacing w:after="0"/>
              <w:rPr>
                <w:sz w:val="23"/>
                <w:szCs w:val="23"/>
                <w:color w:val="auto"/>
              </w:rPr>
            </w:pPr>
          </w:p>
        </w:tc>
      </w:tr>
      <w:tr>
        <w:trPr>
          <w:trHeight w:val="263"/>
        </w:trPr>
        <w:tc>
          <w:tcPr>
            <w:tcW w:w="8940" w:type="dxa"/>
            <w:vAlign w:val="bottom"/>
          </w:tcPr>
          <w:p>
            <w:pPr>
              <w:ind w:left="20"/>
              <w:spacing w:after="0"/>
              <w:rPr>
                <w:sz w:val="20"/>
                <w:szCs w:val="20"/>
                <w:color w:val="auto"/>
              </w:rPr>
            </w:pPr>
            <w:r>
              <w:rPr>
                <w:rFonts w:ascii="Arial" w:cs="Arial" w:eastAsia="Arial" w:hAnsi="Arial"/>
                <w:sz w:val="18"/>
                <w:szCs w:val="18"/>
                <w:b w:val="1"/>
                <w:bCs w:val="1"/>
                <w:color w:val="51555C"/>
              </w:rPr>
              <w:t>By component:</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8940" w:type="dxa"/>
            <w:vAlign w:val="bottom"/>
            <w:shd w:val="clear" w:color="auto" w:fill="EBFBFF"/>
          </w:tcPr>
          <w:p>
            <w:pPr>
              <w:ind w:left="140"/>
              <w:spacing w:after="0"/>
              <w:rPr>
                <w:sz w:val="20"/>
                <w:szCs w:val="20"/>
                <w:color w:val="auto"/>
              </w:rPr>
            </w:pPr>
            <w:r>
              <w:rPr>
                <w:rFonts w:ascii="Arial" w:cs="Arial" w:eastAsia="Arial" w:hAnsi="Arial"/>
                <w:sz w:val="18"/>
                <w:szCs w:val="18"/>
                <w:b w:val="1"/>
                <w:bCs w:val="1"/>
                <w:color w:val="51555C"/>
              </w:rPr>
              <w:t>Gains and losses on cash flow hedges:</w:t>
            </w:r>
          </w:p>
        </w:tc>
        <w:tc>
          <w:tcPr>
            <w:tcW w:w="280" w:type="dxa"/>
            <w:vAlign w:val="bottom"/>
            <w:shd w:val="clear" w:color="auto" w:fill="EBFBFF"/>
          </w:tcPr>
          <w:p>
            <w:pPr>
              <w:spacing w:after="0"/>
              <w:rPr>
                <w:sz w:val="24"/>
                <w:szCs w:val="24"/>
                <w:color w:val="auto"/>
              </w:rPr>
            </w:pPr>
          </w:p>
        </w:tc>
        <w:tc>
          <w:tcPr>
            <w:tcW w:w="88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86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89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7,799</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8,158</w:t>
            </w:r>
          </w:p>
        </w:tc>
        <w:tc>
          <w:tcPr>
            <w:tcW w:w="20" w:type="dxa"/>
            <w:vAlign w:val="bottom"/>
          </w:tcPr>
          <w:p>
            <w:pPr>
              <w:spacing w:after="0"/>
              <w:rPr>
                <w:sz w:val="21"/>
                <w:szCs w:val="21"/>
                <w:color w:val="auto"/>
              </w:rPr>
            </w:pPr>
          </w:p>
        </w:tc>
      </w:tr>
      <w:tr>
        <w:trPr>
          <w:trHeight w:val="23"/>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94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color w:val="51555C"/>
              </w:rPr>
              <w:t>Other comprehensive (loss) income before reclassifications, net of tax effects of $2,763 and $(2,966)</w:t>
            </w:r>
          </w:p>
        </w:tc>
        <w:tc>
          <w:tcPr>
            <w:tcW w:w="280" w:type="dxa"/>
            <w:vAlign w:val="bottom"/>
            <w:tcBorders>
              <w:bottom w:val="single" w:sz="8" w:color="EBFBFF"/>
            </w:tcBorders>
            <w:shd w:val="clear" w:color="auto" w:fill="EBFBFF"/>
          </w:tcPr>
          <w:p>
            <w:pPr>
              <w:spacing w:after="0"/>
              <w:rPr>
                <w:sz w:val="24"/>
                <w:szCs w:val="24"/>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(2,714)</w:t>
            </w:r>
          </w:p>
        </w:tc>
        <w:tc>
          <w:tcPr>
            <w:tcW w:w="280" w:type="dxa"/>
            <w:vAlign w:val="bottom"/>
            <w:tcBorders>
              <w:bottom w:val="single" w:sz="8" w:color="EBFBFF"/>
            </w:tcBorders>
            <w:shd w:val="clear" w:color="auto" w:fill="EBFBFF"/>
          </w:tcPr>
          <w:p>
            <w:pPr>
              <w:spacing w:after="0"/>
              <w:rPr>
                <w:sz w:val="24"/>
                <w:szCs w:val="24"/>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8,121</w:t>
            </w:r>
          </w:p>
        </w:tc>
        <w:tc>
          <w:tcPr>
            <w:tcW w:w="20" w:type="dxa"/>
            <w:vAlign w:val="bottom"/>
          </w:tcPr>
          <w:p>
            <w:pPr>
              <w:spacing w:after="0"/>
              <w:rPr>
                <w:sz w:val="24"/>
                <w:szCs w:val="24"/>
                <w:color w:val="auto"/>
              </w:rPr>
            </w:pPr>
          </w:p>
        </w:tc>
      </w:tr>
      <w:tr>
        <w:trPr>
          <w:trHeight w:val="247"/>
        </w:trPr>
        <w:tc>
          <w:tcPr>
            <w:tcW w:w="8940" w:type="dxa"/>
            <w:vAlign w:val="bottom"/>
          </w:tcPr>
          <w:p>
            <w:pPr>
              <w:ind w:left="460"/>
              <w:spacing w:after="0"/>
              <w:rPr>
                <w:sz w:val="20"/>
                <w:szCs w:val="20"/>
                <w:color w:val="auto"/>
              </w:rPr>
            </w:pPr>
            <w:r>
              <w:rPr>
                <w:rFonts w:ascii="Arial" w:cs="Arial" w:eastAsia="Arial" w:hAnsi="Arial"/>
                <w:sz w:val="18"/>
                <w:szCs w:val="18"/>
                <w:color w:val="51555C"/>
              </w:rPr>
              <w:t>Amounts reclassified from accumulated other comprehensive (loss) income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(1,215)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(5,507)</w:t>
            </w:r>
          </w:p>
        </w:tc>
        <w:tc>
          <w:tcPr>
            <w:tcW w:w="20" w:type="dxa"/>
            <w:vAlign w:val="bottom"/>
          </w:tcPr>
          <w:p>
            <w:pPr>
              <w:spacing w:after="0"/>
              <w:rPr>
                <w:sz w:val="21"/>
                <w:szCs w:val="21"/>
                <w:color w:val="auto"/>
              </w:rPr>
            </w:pPr>
          </w:p>
        </w:tc>
      </w:tr>
      <w:tr>
        <w:trPr>
          <w:trHeight w:val="23"/>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94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8"/>
                <w:szCs w:val="18"/>
                <w:color w:val="51555C"/>
              </w:rPr>
              <w:t>Tax (benefit) expense included in provision for income taxes</w:t>
            </w:r>
          </w:p>
        </w:tc>
        <w:tc>
          <w:tcPr>
            <w:tcW w:w="280" w:type="dxa"/>
            <w:vAlign w:val="bottom"/>
            <w:tcBorders>
              <w:bottom w:val="single" w:sz="8" w:color="EBFBFF"/>
            </w:tcBorders>
            <w:shd w:val="clear" w:color="auto" w:fill="EBFBFF"/>
          </w:tcPr>
          <w:p>
            <w:pPr>
              <w:spacing w:after="0"/>
              <w:rPr>
                <w:sz w:val="23"/>
                <w:szCs w:val="23"/>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(2,763)</w:t>
            </w:r>
          </w:p>
        </w:tc>
        <w:tc>
          <w:tcPr>
            <w:tcW w:w="28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1,481</w:t>
            </w:r>
          </w:p>
        </w:tc>
        <w:tc>
          <w:tcPr>
            <w:tcW w:w="20" w:type="dxa"/>
            <w:vAlign w:val="bottom"/>
          </w:tcPr>
          <w:p>
            <w:pPr>
              <w:spacing w:after="0"/>
              <w:rPr>
                <w:sz w:val="23"/>
                <w:szCs w:val="23"/>
                <w:color w:val="auto"/>
              </w:rPr>
            </w:pPr>
          </w:p>
        </w:tc>
      </w:tr>
      <w:tr>
        <w:trPr>
          <w:trHeight w:val="240"/>
        </w:trPr>
        <w:tc>
          <w:tcPr>
            <w:tcW w:w="8940" w:type="dxa"/>
            <w:vAlign w:val="bottom"/>
          </w:tcPr>
          <w:p>
            <w:pPr>
              <w:ind w:left="360"/>
              <w:spacing w:after="0"/>
              <w:rPr>
                <w:sz w:val="20"/>
                <w:szCs w:val="20"/>
                <w:color w:val="auto"/>
              </w:rPr>
            </w:pPr>
            <w:r>
              <w:rPr>
                <w:rFonts w:ascii="Arial" w:cs="Arial" w:eastAsia="Arial" w:hAnsi="Arial"/>
                <w:sz w:val="18"/>
                <w:szCs w:val="18"/>
                <w:color w:val="51555C"/>
              </w:rPr>
              <w:t>Total amounts reclassified from accumulated other comprehensive (loss) income</w:t>
            </w:r>
          </w:p>
        </w:tc>
        <w:tc>
          <w:tcPr>
            <w:tcW w:w="280" w:type="dxa"/>
            <w:vAlign w:val="bottom"/>
            <w:tcBorders>
              <w:top w:val="single" w:sz="8" w:color="51555C"/>
            </w:tcBorders>
          </w:tcPr>
          <w:p>
            <w:pPr>
              <w:spacing w:after="0"/>
              <w:rPr>
                <w:sz w:val="20"/>
                <w:szCs w:val="20"/>
                <w:color w:val="auto"/>
              </w:rPr>
            </w:pPr>
          </w:p>
        </w:tc>
        <w:tc>
          <w:tcPr>
            <w:tcW w:w="8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(3,978)</w:t>
            </w:r>
          </w:p>
        </w:tc>
        <w:tc>
          <w:tcPr>
            <w:tcW w:w="28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(4,026)</w:t>
            </w:r>
          </w:p>
        </w:tc>
        <w:tc>
          <w:tcPr>
            <w:tcW w:w="20" w:type="dxa"/>
            <w:vAlign w:val="bottom"/>
          </w:tcPr>
          <w:p>
            <w:pPr>
              <w:spacing w:after="0"/>
              <w:rPr>
                <w:sz w:val="20"/>
                <w:szCs w:val="20"/>
                <w:color w:val="auto"/>
              </w:rPr>
            </w:pPr>
          </w:p>
        </w:tc>
      </w:tr>
      <w:tr>
        <w:trPr>
          <w:trHeight w:val="23"/>
        </w:trPr>
        <w:tc>
          <w:tcPr>
            <w:tcW w:w="89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94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Net current-period other comprehensive (loss) income</w:t>
            </w:r>
          </w:p>
        </w:tc>
        <w:tc>
          <w:tcPr>
            <w:tcW w:w="280" w:type="dxa"/>
            <w:vAlign w:val="bottom"/>
            <w:tcBorders>
              <w:bottom w:val="single" w:sz="8" w:color="EBFBFF"/>
            </w:tcBorders>
            <w:shd w:val="clear" w:color="auto" w:fill="EBFBFF"/>
          </w:tcPr>
          <w:p>
            <w:pPr>
              <w:spacing w:after="0"/>
              <w:rPr>
                <w:sz w:val="22"/>
                <w:szCs w:val="22"/>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(6,692)</w:t>
            </w:r>
          </w:p>
        </w:tc>
        <w:tc>
          <w:tcPr>
            <w:tcW w:w="28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4,095</w:t>
            </w:r>
          </w:p>
        </w:tc>
        <w:tc>
          <w:tcPr>
            <w:tcW w:w="20" w:type="dxa"/>
            <w:vAlign w:val="bottom"/>
          </w:tcPr>
          <w:p>
            <w:pPr>
              <w:spacing w:after="0"/>
              <w:rPr>
                <w:sz w:val="22"/>
                <w:szCs w:val="22"/>
                <w:color w:val="auto"/>
              </w:rPr>
            </w:pPr>
          </w:p>
        </w:tc>
      </w:tr>
      <w:tr>
        <w:trPr>
          <w:trHeight w:val="240"/>
        </w:trPr>
        <w:tc>
          <w:tcPr>
            <w:tcW w:w="89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balance, end of period</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1,107</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12,253</w:t>
            </w:r>
          </w:p>
        </w:tc>
        <w:tc>
          <w:tcPr>
            <w:tcW w:w="20" w:type="dxa"/>
            <w:vAlign w:val="bottom"/>
          </w:tcPr>
          <w:p>
            <w:pPr>
              <w:spacing w:after="0"/>
              <w:rPr>
                <w:sz w:val="20"/>
                <w:szCs w:val="20"/>
                <w:color w:val="auto"/>
              </w:rPr>
            </w:pPr>
          </w:p>
        </w:tc>
      </w:tr>
      <w:tr>
        <w:trPr>
          <w:trHeight w:val="23"/>
        </w:trPr>
        <w:tc>
          <w:tcPr>
            <w:tcW w:w="89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940" w:type="dxa"/>
            <w:vAlign w:val="bottom"/>
            <w:shd w:val="clear" w:color="auto" w:fill="EBFBFF"/>
          </w:tcPr>
          <w:p>
            <w:pPr>
              <w:ind w:left="140"/>
              <w:spacing w:after="0"/>
              <w:rPr>
                <w:sz w:val="20"/>
                <w:szCs w:val="20"/>
                <w:color w:val="auto"/>
              </w:rPr>
            </w:pPr>
            <w:r>
              <w:rPr>
                <w:rFonts w:ascii="Arial" w:cs="Arial" w:eastAsia="Arial" w:hAnsi="Arial"/>
                <w:sz w:val="18"/>
                <w:szCs w:val="18"/>
                <w:b w:val="1"/>
                <w:bCs w:val="1"/>
                <w:color w:val="51555C"/>
              </w:rPr>
              <w:t>Foreign currency translation adjustment:</w:t>
            </w:r>
          </w:p>
        </w:tc>
        <w:tc>
          <w:tcPr>
            <w:tcW w:w="280" w:type="dxa"/>
            <w:vAlign w:val="bottom"/>
            <w:shd w:val="clear" w:color="auto" w:fill="EBFBFF"/>
          </w:tcPr>
          <w:p>
            <w:pPr>
              <w:spacing w:after="0"/>
              <w:rPr>
                <w:sz w:val="21"/>
                <w:szCs w:val="21"/>
                <w:color w:val="auto"/>
              </w:rPr>
            </w:pPr>
          </w:p>
        </w:tc>
        <w:tc>
          <w:tcPr>
            <w:tcW w:w="88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89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(12,668)</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(9,846)</w:t>
            </w:r>
          </w:p>
        </w:tc>
        <w:tc>
          <w:tcPr>
            <w:tcW w:w="20" w:type="dxa"/>
            <w:vAlign w:val="bottom"/>
          </w:tcPr>
          <w:p>
            <w:pPr>
              <w:spacing w:after="0"/>
              <w:rPr>
                <w:sz w:val="21"/>
                <w:szCs w:val="21"/>
                <w:color w:val="auto"/>
              </w:rPr>
            </w:pPr>
          </w:p>
        </w:tc>
      </w:tr>
      <w:tr>
        <w:trPr>
          <w:trHeight w:val="23"/>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9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Translation adjustment</w:t>
            </w:r>
          </w:p>
        </w:tc>
        <w:tc>
          <w:tcPr>
            <w:tcW w:w="280" w:type="dxa"/>
            <w:vAlign w:val="bottom"/>
            <w:tcBorders>
              <w:bottom w:val="single" w:sz="8" w:color="EBFBFF"/>
            </w:tcBorders>
            <w:shd w:val="clear" w:color="auto" w:fill="EBFBFF"/>
          </w:tcPr>
          <w:p>
            <w:pPr>
              <w:spacing w:after="0"/>
              <w:rPr>
                <w:sz w:val="23"/>
                <w:szCs w:val="23"/>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3,259</w:t>
            </w:r>
          </w:p>
        </w:tc>
        <w:tc>
          <w:tcPr>
            <w:tcW w:w="28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(1,185)</w:t>
            </w:r>
          </w:p>
        </w:tc>
        <w:tc>
          <w:tcPr>
            <w:tcW w:w="20" w:type="dxa"/>
            <w:vAlign w:val="bottom"/>
          </w:tcPr>
          <w:p>
            <w:pPr>
              <w:spacing w:after="0"/>
              <w:rPr>
                <w:sz w:val="23"/>
                <w:szCs w:val="23"/>
                <w:color w:val="auto"/>
              </w:rPr>
            </w:pPr>
          </w:p>
        </w:tc>
      </w:tr>
      <w:tr>
        <w:trPr>
          <w:trHeight w:val="240"/>
        </w:trPr>
        <w:tc>
          <w:tcPr>
            <w:tcW w:w="89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balance, end of period</w:t>
            </w:r>
          </w:p>
        </w:tc>
        <w:tc>
          <w:tcPr>
            <w:tcW w:w="280" w:type="dxa"/>
            <w:vAlign w:val="bottom"/>
            <w:tcBorders>
              <w:top w:val="single" w:sz="8" w:color="51555C"/>
            </w:tcBorders>
          </w:tcPr>
          <w:p>
            <w:pPr>
              <w:spacing w:after="0"/>
              <w:rPr>
                <w:sz w:val="20"/>
                <w:szCs w:val="20"/>
                <w:color w:val="auto"/>
              </w:rPr>
            </w:pPr>
          </w:p>
        </w:tc>
        <w:tc>
          <w:tcPr>
            <w:tcW w:w="8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(9,409)</w:t>
            </w:r>
          </w:p>
        </w:tc>
        <w:tc>
          <w:tcPr>
            <w:tcW w:w="28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(11,031)</w:t>
            </w:r>
          </w:p>
        </w:tc>
        <w:tc>
          <w:tcPr>
            <w:tcW w:w="20" w:type="dxa"/>
            <w:vAlign w:val="bottom"/>
          </w:tcPr>
          <w:p>
            <w:pPr>
              <w:spacing w:after="0"/>
              <w:rPr>
                <w:sz w:val="20"/>
                <w:szCs w:val="20"/>
                <w:color w:val="auto"/>
              </w:rPr>
            </w:pPr>
          </w:p>
        </w:tc>
      </w:tr>
      <w:tr>
        <w:trPr>
          <w:trHeight w:val="23"/>
        </w:trPr>
        <w:tc>
          <w:tcPr>
            <w:tcW w:w="89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9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(loss) income, end of period</w:t>
            </w:r>
          </w:p>
        </w:tc>
        <w:tc>
          <w:tcPr>
            <w:tcW w:w="280" w:type="dxa"/>
            <w:vAlign w:val="bottom"/>
            <w:tcBorders>
              <w:bottom w:val="single" w:sz="8" w:color="0CD973"/>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(8,302)</w:t>
            </w:r>
          </w:p>
        </w:tc>
        <w:tc>
          <w:tcPr>
            <w:tcW w:w="280" w:type="dxa"/>
            <w:vAlign w:val="bottom"/>
            <w:tcBorders>
              <w:bottom w:val="single" w:sz="8" w:color="0CD973"/>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1,222</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-2819400</wp:posOffset>
            </wp:positionV>
            <wp:extent cx="1465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11.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213360</wp:posOffset>
            </wp:positionV>
            <wp:extent cx="65976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used by our CEO to make key operating decisions, such as the allocation of budget between costs of revenues and our different operating expense categories.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Our other segment items include amortization, interest expense, other income, net, and income tax provision (benefit) on our consolidated statements of comprehensive income.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12.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Transaction price allocated to the remaining performance obligations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As of March 31, 2025, approximately $1.2 billion of revenue under contract is expected to be recognized from remaining performance obligations. We expect to recognize revenue on approximately 50% of these remaining performance obligations over the next 12 months, with the remainder recognized thereafter.</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applied the practical expedient in ASC 606-10-50-14 and have excluded the value of unsatisfied performance obligations for which we recognize revenue at the amount to which we have the right to invoice for services performed (transactional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Contract balances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Our contract assets as of March 31, 2025 and December 31, 2024 were insignificant. Our closing balances of deferred revenue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520" w:type="dxa"/>
            <w:vAlign w:val="bottom"/>
            <w:tcBorders>
              <w:bottom w:val="single" w:sz="8" w:color="004054"/>
            </w:tcBorders>
            <w:shd w:val="clear" w:color="auto" w:fill="004054"/>
          </w:tcPr>
          <w:p>
            <w:pPr>
              <w:spacing w:after="0"/>
              <w:rPr>
                <w:sz w:val="17"/>
                <w:szCs w:val="17"/>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420" w:type="dxa"/>
            <w:vAlign w:val="bottom"/>
            <w:tcBorders>
              <w:bottom w:val="single" w:sz="8" w:color="004054"/>
            </w:tcBorders>
            <w:shd w:val="clear" w:color="auto" w:fill="004054"/>
          </w:tcPr>
          <w:p>
            <w:pPr>
              <w:spacing w:after="0"/>
              <w:rPr>
                <w:sz w:val="17"/>
                <w:szCs w:val="17"/>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0"/>
        </w:trPr>
        <w:tc>
          <w:tcPr>
            <w:tcW w:w="79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Total deferred revenue</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332,242</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361,544</w:t>
            </w:r>
          </w:p>
        </w:tc>
        <w:tc>
          <w:tcPr>
            <w:tcW w:w="20" w:type="dxa"/>
            <w:vAlign w:val="bottom"/>
          </w:tcPr>
          <w:p>
            <w:pPr>
              <w:spacing w:after="0"/>
              <w:rPr>
                <w:sz w:val="21"/>
                <w:szCs w:val="21"/>
                <w:color w:val="auto"/>
              </w:rPr>
            </w:pPr>
          </w:p>
        </w:tc>
      </w:tr>
      <w:tr>
        <w:trPr>
          <w:trHeight w:val="20"/>
        </w:trPr>
        <w:tc>
          <w:tcPr>
            <w:tcW w:w="792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decrease in deferred revenue during the three months ended March 31, 2025 was primarily due to a seasonal decrease in customer contract billings. 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three months ended March 31, 2025 that was included in the deferred revenue balance at the beginning of the period was approximately $159 million. The amount of revenue recognized during the three months ended March 31, 2025 from performance obligations satisfied in prior periods was insignificant.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Disaggregation of revenue</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shd w:val="clear" w:color="auto" w:fill="004054"/>
          </w:tcPr>
          <w:p>
            <w:pPr>
              <w:spacing w:after="0"/>
              <w:rPr>
                <w:sz w:val="17"/>
                <w:szCs w:val="17"/>
                <w:color w:val="auto"/>
              </w:rPr>
            </w:pPr>
          </w:p>
        </w:tc>
        <w:tc>
          <w:tcPr>
            <w:tcW w:w="632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1600" w:type="dxa"/>
            <w:vAlign w:val="bottom"/>
            <w:shd w:val="clear" w:color="auto" w:fill="004054"/>
          </w:tcPr>
          <w:p>
            <w:pPr>
              <w:spacing w:after="0"/>
              <w:rPr>
                <w:sz w:val="17"/>
                <w:szCs w:val="17"/>
                <w:color w:val="auto"/>
              </w:rPr>
            </w:pPr>
          </w:p>
        </w:tc>
        <w:tc>
          <w:tcPr>
            <w:tcW w:w="632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16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320" w:type="dxa"/>
            <w:vAlign w:val="bottom"/>
            <w:tcBorders>
              <w:bottom w:val="single" w:sz="8" w:color="004054"/>
            </w:tcBorders>
            <w:shd w:val="clear" w:color="auto" w:fill="004054"/>
          </w:tcPr>
          <w:p>
            <w:pPr>
              <w:spacing w:after="0"/>
              <w:rPr>
                <w:sz w:val="21"/>
                <w:szCs w:val="21"/>
                <w:color w:val="auto"/>
              </w:rPr>
            </w:pPr>
          </w:p>
        </w:tc>
        <w:tc>
          <w:tcPr>
            <w:tcW w:w="520" w:type="dxa"/>
            <w:vAlign w:val="bottom"/>
            <w:tcBorders>
              <w:bottom w:val="single" w:sz="8" w:color="004054"/>
            </w:tcBorders>
            <w:shd w:val="clear" w:color="auto" w:fill="004054"/>
          </w:tcPr>
          <w:p>
            <w:pPr>
              <w:spacing w:after="0"/>
              <w:rPr>
                <w:sz w:val="21"/>
                <w:szCs w:val="21"/>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80" w:type="dxa"/>
            <w:vAlign w:val="bottom"/>
            <w:tcBorders>
              <w:bottom w:val="single" w:sz="8" w:color="004054"/>
            </w:tcBorders>
            <w:shd w:val="clear" w:color="auto" w:fill="004054"/>
          </w:tcPr>
          <w:p>
            <w:pPr>
              <w:spacing w:after="0"/>
              <w:rPr>
                <w:sz w:val="21"/>
                <w:szCs w:val="21"/>
                <w:color w:val="auto"/>
              </w:rPr>
            </w:pP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1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684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229,217</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238,109</w:t>
            </w:r>
          </w:p>
        </w:tc>
        <w:tc>
          <w:tcPr>
            <w:tcW w:w="20" w:type="dxa"/>
            <w:vAlign w:val="bottom"/>
          </w:tcPr>
          <w:p>
            <w:pPr>
              <w:spacing w:after="0"/>
              <w:rPr>
                <w:sz w:val="21"/>
                <w:szCs w:val="21"/>
                <w:color w:val="auto"/>
              </w:rPr>
            </w:pPr>
          </w:p>
        </w:tc>
      </w:tr>
      <w:tr>
        <w:trPr>
          <w:trHeight w:val="247"/>
        </w:trPr>
        <w:tc>
          <w:tcPr>
            <w:tcW w:w="1600" w:type="dxa"/>
            <w:vAlign w:val="bottom"/>
          </w:tcPr>
          <w:p>
            <w:pPr>
              <w:ind w:left="20"/>
              <w:spacing w:after="0"/>
              <w:rPr>
                <w:sz w:val="20"/>
                <w:szCs w:val="20"/>
                <w:color w:val="auto"/>
              </w:rPr>
            </w:pPr>
            <w:r>
              <w:rPr>
                <w:rFonts w:ascii="Arial" w:cs="Arial" w:eastAsia="Arial" w:hAnsi="Arial"/>
                <w:sz w:val="18"/>
                <w:szCs w:val="18"/>
                <w:color w:val="51555C"/>
              </w:rPr>
              <w:t>United Kingdom</w:t>
            </w:r>
          </w:p>
        </w:tc>
        <w:tc>
          <w:tcPr>
            <w:tcW w:w="6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26,122</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26,129</w:t>
            </w:r>
          </w:p>
        </w:tc>
        <w:tc>
          <w:tcPr>
            <w:tcW w:w="20" w:type="dxa"/>
            <w:vAlign w:val="bottom"/>
          </w:tcPr>
          <w:p>
            <w:pPr>
              <w:spacing w:after="0"/>
              <w:rPr>
                <w:sz w:val="21"/>
                <w:szCs w:val="21"/>
                <w:color w:val="auto"/>
              </w:rPr>
            </w:pPr>
          </w:p>
        </w:tc>
      </w:tr>
      <w:tr>
        <w:trPr>
          <w:trHeight w:val="23"/>
        </w:trPr>
        <w:tc>
          <w:tcPr>
            <w:tcW w:w="16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countries</w:t>
            </w:r>
          </w:p>
        </w:tc>
        <w:tc>
          <w:tcPr>
            <w:tcW w:w="6320" w:type="dxa"/>
            <w:vAlign w:val="bottom"/>
            <w:tcBorders>
              <w:bottom w:val="single" w:sz="8" w:color="EBFBFF"/>
            </w:tcBorders>
            <w:shd w:val="clear" w:color="auto" w:fill="EBFBFF"/>
          </w:tcPr>
          <w:p>
            <w:pPr>
              <w:spacing w:after="0"/>
              <w:rPr>
                <w:sz w:val="23"/>
                <w:szCs w:val="23"/>
                <w:color w:val="auto"/>
              </w:rPr>
            </w:pPr>
          </w:p>
        </w:tc>
        <w:tc>
          <w:tcPr>
            <w:tcW w:w="5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15,322</w:t>
            </w:r>
          </w:p>
        </w:tc>
        <w:tc>
          <w:tcPr>
            <w:tcW w:w="180" w:type="dxa"/>
            <w:vAlign w:val="bottom"/>
            <w:tcBorders>
              <w:bottom w:val="single" w:sz="8" w:color="EBFBFF"/>
            </w:tcBorders>
            <w:shd w:val="clear" w:color="auto" w:fill="EBFBFF"/>
          </w:tcPr>
          <w:p>
            <w:pPr>
              <w:spacing w:after="0"/>
              <w:rPr>
                <w:sz w:val="23"/>
                <w:szCs w:val="23"/>
                <w:color w:val="auto"/>
              </w:rPr>
            </w:pP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15,012</w:t>
            </w:r>
          </w:p>
        </w:tc>
        <w:tc>
          <w:tcPr>
            <w:tcW w:w="20" w:type="dxa"/>
            <w:vAlign w:val="bottom"/>
          </w:tcPr>
          <w:p>
            <w:pPr>
              <w:spacing w:after="0"/>
              <w:rPr>
                <w:sz w:val="23"/>
                <w:szCs w:val="23"/>
                <w:color w:val="auto"/>
              </w:rPr>
            </w:pPr>
          </w:p>
        </w:tc>
      </w:tr>
      <w:tr>
        <w:trPr>
          <w:trHeight w:val="240"/>
        </w:trPr>
        <w:tc>
          <w:tcPr>
            <w:tcW w:w="1600" w:type="dxa"/>
            <w:vAlign w:val="bottom"/>
          </w:tcPr>
          <w:p>
            <w:pPr>
              <w:ind w:left="140"/>
              <w:spacing w:after="0"/>
              <w:rPr>
                <w:sz w:val="20"/>
                <w:szCs w:val="20"/>
                <w:color w:val="auto"/>
              </w:rPr>
            </w:pPr>
            <w:r>
              <w:rPr>
                <w:rFonts w:ascii="Arial" w:cs="Arial" w:eastAsia="Arial" w:hAnsi="Arial"/>
                <w:sz w:val="18"/>
                <w:szCs w:val="18"/>
                <w:color w:val="51555C"/>
              </w:rPr>
              <w:t>Total revenue</w:t>
            </w:r>
          </w:p>
        </w:tc>
        <w:tc>
          <w:tcPr>
            <w:tcW w:w="6320" w:type="dxa"/>
            <w:vAlign w:val="bottom"/>
          </w:tcPr>
          <w:p>
            <w:pPr>
              <w:spacing w:after="0"/>
              <w:rPr>
                <w:sz w:val="20"/>
                <w:szCs w:val="20"/>
                <w:color w:val="auto"/>
              </w:rPr>
            </w:pPr>
          </w:p>
        </w:tc>
        <w:tc>
          <w:tcPr>
            <w:tcW w:w="52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270,661</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4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279,250</w:t>
            </w:r>
          </w:p>
        </w:tc>
        <w:tc>
          <w:tcPr>
            <w:tcW w:w="20" w:type="dxa"/>
            <w:vAlign w:val="bottom"/>
          </w:tcPr>
          <w:p>
            <w:pPr>
              <w:spacing w:after="0"/>
              <w:rPr>
                <w:sz w:val="20"/>
                <w:szCs w:val="20"/>
                <w:color w:val="auto"/>
              </w:rPr>
            </w:pPr>
          </w:p>
        </w:tc>
      </w:tr>
      <w:tr>
        <w:trPr>
          <w:trHeight w:val="23"/>
        </w:trPr>
        <w:tc>
          <w:tcPr>
            <w:tcW w:w="1600" w:type="dxa"/>
            <w:vAlign w:val="bottom"/>
            <w:tcBorders>
              <w:bottom w:val="single" w:sz="8" w:color="0CD973"/>
            </w:tcBorders>
          </w:tcPr>
          <w:p>
            <w:pPr>
              <w:spacing w:after="0"/>
              <w:rPr>
                <w:sz w:val="2"/>
                <w:szCs w:val="2"/>
                <w:color w:val="auto"/>
              </w:rPr>
            </w:pPr>
          </w:p>
        </w:tc>
        <w:tc>
          <w:tcPr>
            <w:tcW w:w="6320" w:type="dxa"/>
            <w:vAlign w:val="bottom"/>
            <w:tcBorders>
              <w:bottom w:val="single" w:sz="8" w:color="0CD973"/>
            </w:tcBorders>
          </w:tcPr>
          <w:p>
            <w:pPr>
              <w:spacing w:after="0"/>
              <w:rPr>
                <w:sz w:val="2"/>
                <w:szCs w:val="2"/>
                <w:color w:val="auto"/>
              </w:rPr>
            </w:pPr>
          </w:p>
        </w:tc>
        <w:tc>
          <w:tcPr>
            <w:tcW w:w="52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4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88"/>
        </w:trPr>
        <w:tc>
          <w:tcPr>
            <w:tcW w:w="1600" w:type="dxa"/>
            <w:vAlign w:val="bottom"/>
          </w:tcPr>
          <w:p>
            <w:pPr>
              <w:ind w:left="20"/>
              <w:spacing w:after="0"/>
              <w:rPr>
                <w:sz w:val="20"/>
                <w:szCs w:val="20"/>
                <w:color w:val="auto"/>
              </w:rPr>
            </w:pPr>
            <w:r>
              <w:rPr>
                <w:rFonts w:ascii="Arial" w:cs="Arial" w:eastAsia="Arial" w:hAnsi="Arial"/>
                <w:sz w:val="14"/>
                <w:szCs w:val="14"/>
                <w:color w:val="51555C"/>
              </w:rPr>
              <w:t>20</w:t>
            </w:r>
          </w:p>
        </w:tc>
        <w:tc>
          <w:tcPr>
            <w:tcW w:w="6840" w:type="dxa"/>
            <w:vAlign w:val="bottom"/>
            <w:gridSpan w:val="2"/>
          </w:tcPr>
          <w:p>
            <w:pPr>
              <w:jc w:val="right"/>
              <w:ind w:right="4810"/>
              <w:spacing w:after="0"/>
              <w:rPr>
                <w:sz w:val="20"/>
                <w:szCs w:val="20"/>
                <w:color w:val="auto"/>
              </w:rPr>
            </w:pPr>
            <w:r>
              <w:rPr>
                <w:rFonts w:ascii="Arial" w:cs="Arial" w:eastAsia="Arial" w:hAnsi="Arial"/>
                <w:sz w:val="14"/>
                <w:szCs w:val="14"/>
                <w:color w:val="51555C"/>
              </w:rPr>
              <w:t>First Quarter 2025 Form 10-Q</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160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-1525270</wp:posOffset>
            </wp:positionV>
            <wp:extent cx="21170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revenue by type: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shd w:val="clear" w:color="auto" w:fill="004054"/>
          </w:tcPr>
          <w:p>
            <w:pPr>
              <w:spacing w:after="0"/>
              <w:rPr>
                <w:sz w:val="17"/>
                <w:szCs w:val="17"/>
                <w:color w:val="auto"/>
              </w:rPr>
            </w:pPr>
          </w:p>
        </w:tc>
        <w:tc>
          <w:tcPr>
            <w:tcW w:w="288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6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5040" w:type="dxa"/>
            <w:vAlign w:val="bottom"/>
            <w:shd w:val="clear" w:color="auto" w:fill="004054"/>
          </w:tcPr>
          <w:p>
            <w:pPr>
              <w:spacing w:after="0"/>
              <w:rPr>
                <w:sz w:val="17"/>
                <w:szCs w:val="17"/>
                <w:color w:val="auto"/>
              </w:rPr>
            </w:pPr>
          </w:p>
        </w:tc>
        <w:tc>
          <w:tcPr>
            <w:tcW w:w="288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6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4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252"/>
        </w:trPr>
        <w:tc>
          <w:tcPr>
            <w:tcW w:w="50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80" w:type="dxa"/>
            <w:vAlign w:val="bottom"/>
            <w:tcBorders>
              <w:bottom w:val="single" w:sz="8" w:color="004054"/>
            </w:tcBorders>
            <w:shd w:val="clear" w:color="auto" w:fill="004054"/>
          </w:tcPr>
          <w:p>
            <w:pPr>
              <w:spacing w:after="0"/>
              <w:rPr>
                <w:sz w:val="21"/>
                <w:szCs w:val="21"/>
                <w:color w:val="auto"/>
              </w:rPr>
            </w:pPr>
          </w:p>
        </w:tc>
        <w:tc>
          <w:tcPr>
            <w:tcW w:w="520" w:type="dxa"/>
            <w:vAlign w:val="bottom"/>
            <w:tcBorders>
              <w:bottom w:val="single" w:sz="8" w:color="004054"/>
            </w:tcBorders>
            <w:shd w:val="clear" w:color="auto" w:fill="004054"/>
          </w:tcPr>
          <w:p>
            <w:pPr>
              <w:spacing w:after="0"/>
              <w:rPr>
                <w:sz w:val="21"/>
                <w:szCs w:val="21"/>
                <w:color w:val="auto"/>
              </w:rPr>
            </w:pP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60" w:type="dxa"/>
            <w:vAlign w:val="bottom"/>
            <w:tcBorders>
              <w:bottom w:val="single" w:sz="8" w:color="004054"/>
            </w:tcBorders>
            <w:shd w:val="clear" w:color="auto" w:fill="004054"/>
          </w:tcPr>
          <w:p>
            <w:pPr>
              <w:spacing w:after="0"/>
              <w:rPr>
                <w:sz w:val="21"/>
                <w:szCs w:val="21"/>
                <w:color w:val="auto"/>
              </w:rPr>
            </w:pP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50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Contractual recurring</w:t>
            </w:r>
          </w:p>
        </w:tc>
        <w:tc>
          <w:tcPr>
            <w:tcW w:w="3400" w:type="dxa"/>
            <w:vAlign w:val="bottom"/>
            <w:tcBorders>
              <w:bottom w:val="single" w:sz="8" w:color="EBFBFF"/>
            </w:tcBorders>
            <w:gridSpan w:val="2"/>
            <w:shd w:val="clear" w:color="auto" w:fill="EBFBFF"/>
          </w:tcPr>
          <w:p>
            <w:pPr>
              <w:jc w:val="right"/>
              <w:ind w:right="400"/>
              <w:spacing w:after="0"/>
              <w:rPr>
                <w:sz w:val="20"/>
                <w:szCs w:val="20"/>
                <w:color w:val="auto"/>
              </w:rPr>
            </w:pPr>
            <w:r>
              <w:rPr>
                <w:rFonts w:ascii="Arial" w:cs="Arial" w:eastAsia="Arial" w:hAnsi="Arial"/>
                <w:sz w:val="18"/>
                <w:szCs w:val="18"/>
                <w:color w:val="51555C"/>
              </w:rPr>
              <w:t>$</w:t>
            </w:r>
          </w:p>
        </w:tc>
        <w:tc>
          <w:tcPr>
            <w:tcW w:w="116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175,936</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190,855</w:t>
            </w:r>
          </w:p>
        </w:tc>
        <w:tc>
          <w:tcPr>
            <w:tcW w:w="20" w:type="dxa"/>
            <w:vAlign w:val="bottom"/>
          </w:tcPr>
          <w:p>
            <w:pPr>
              <w:spacing w:after="0"/>
              <w:rPr>
                <w:sz w:val="21"/>
                <w:szCs w:val="21"/>
                <w:color w:val="auto"/>
              </w:rPr>
            </w:pPr>
          </w:p>
        </w:tc>
      </w:tr>
      <w:tr>
        <w:trPr>
          <w:trHeight w:val="247"/>
        </w:trPr>
        <w:tc>
          <w:tcPr>
            <w:tcW w:w="5040" w:type="dxa"/>
            <w:vAlign w:val="bottom"/>
          </w:tcPr>
          <w:p>
            <w:pPr>
              <w:ind w:left="20"/>
              <w:spacing w:after="0"/>
              <w:rPr>
                <w:sz w:val="20"/>
                <w:szCs w:val="20"/>
                <w:color w:val="auto"/>
              </w:rPr>
            </w:pPr>
            <w:r>
              <w:rPr>
                <w:rFonts w:ascii="Arial" w:cs="Arial" w:eastAsia="Arial" w:hAnsi="Arial"/>
                <w:sz w:val="18"/>
                <w:szCs w:val="18"/>
                <w:color w:val="51555C"/>
              </w:rPr>
              <w:t>Transactional recurring</w:t>
            </w:r>
          </w:p>
        </w:tc>
        <w:tc>
          <w:tcPr>
            <w:tcW w:w="2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51555C"/>
              </w:rPr>
              <w:t>88,114</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80,663</w:t>
            </w:r>
          </w:p>
        </w:tc>
        <w:tc>
          <w:tcPr>
            <w:tcW w:w="20" w:type="dxa"/>
            <w:vAlign w:val="bottom"/>
          </w:tcPr>
          <w:p>
            <w:pPr>
              <w:spacing w:after="0"/>
              <w:rPr>
                <w:sz w:val="21"/>
                <w:szCs w:val="21"/>
                <w:color w:val="auto"/>
              </w:rPr>
            </w:pPr>
          </w:p>
        </w:tc>
      </w:tr>
      <w:tr>
        <w:trPr>
          <w:trHeight w:val="23"/>
        </w:trPr>
        <w:tc>
          <w:tcPr>
            <w:tcW w:w="5040" w:type="dxa"/>
            <w:vAlign w:val="bottom"/>
            <w:tcBorders>
              <w:bottom w:val="single" w:sz="8" w:color="EBFBFF"/>
            </w:tcBorders>
          </w:tcPr>
          <w:p>
            <w:pPr>
              <w:spacing w:after="0"/>
              <w:rPr>
                <w:sz w:val="2"/>
                <w:szCs w:val="2"/>
                <w:color w:val="auto"/>
              </w:rPr>
            </w:pPr>
          </w:p>
        </w:tc>
        <w:tc>
          <w:tcPr>
            <w:tcW w:w="288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6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4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0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recurring revenue</w:t>
            </w:r>
          </w:p>
        </w:tc>
        <w:tc>
          <w:tcPr>
            <w:tcW w:w="3400" w:type="dxa"/>
            <w:vAlign w:val="bottom"/>
            <w:tcBorders>
              <w:bottom w:val="single" w:sz="8" w:color="EBFBFF"/>
            </w:tcBorders>
            <w:gridSpan w:val="2"/>
            <w:shd w:val="clear" w:color="auto" w:fill="EBFBFF"/>
          </w:tcPr>
          <w:p>
            <w:pPr>
              <w:jc w:val="right"/>
              <w:ind w:right="400"/>
              <w:spacing w:after="0"/>
              <w:rPr>
                <w:sz w:val="20"/>
                <w:szCs w:val="20"/>
                <w:color w:val="auto"/>
              </w:rPr>
            </w:pPr>
            <w:r>
              <w:rPr>
                <w:rFonts w:ascii="Arial" w:cs="Arial" w:eastAsia="Arial" w:hAnsi="Arial"/>
                <w:sz w:val="18"/>
                <w:szCs w:val="18"/>
                <w:color w:val="51555C"/>
              </w:rPr>
              <w:t>$</w:t>
            </w:r>
          </w:p>
        </w:tc>
        <w:tc>
          <w:tcPr>
            <w:tcW w:w="116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264,050</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271,518</w:t>
            </w:r>
          </w:p>
        </w:tc>
        <w:tc>
          <w:tcPr>
            <w:tcW w:w="20" w:type="dxa"/>
            <w:vAlign w:val="bottom"/>
          </w:tcPr>
          <w:p>
            <w:pPr>
              <w:spacing w:after="0"/>
              <w:rPr>
                <w:sz w:val="21"/>
                <w:szCs w:val="21"/>
                <w:color w:val="auto"/>
              </w:rPr>
            </w:pPr>
          </w:p>
        </w:tc>
      </w:tr>
      <w:tr>
        <w:trPr>
          <w:trHeight w:val="247"/>
        </w:trPr>
        <w:tc>
          <w:tcPr>
            <w:tcW w:w="5040" w:type="dxa"/>
            <w:vAlign w:val="bottom"/>
          </w:tcPr>
          <w:p>
            <w:pPr>
              <w:ind w:left="140"/>
              <w:spacing w:after="0"/>
              <w:rPr>
                <w:sz w:val="20"/>
                <w:szCs w:val="20"/>
                <w:color w:val="auto"/>
              </w:rPr>
            </w:pPr>
            <w:r>
              <w:rPr>
                <w:rFonts w:ascii="Arial" w:cs="Arial" w:eastAsia="Arial" w:hAnsi="Arial"/>
                <w:sz w:val="18"/>
                <w:szCs w:val="18"/>
                <w:color w:val="51555C"/>
              </w:rPr>
              <w:t>One-time services and other</w:t>
            </w:r>
          </w:p>
        </w:tc>
        <w:tc>
          <w:tcPr>
            <w:tcW w:w="2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51555C"/>
              </w:rPr>
              <w:t>6,611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51555C"/>
              </w:rPr>
              <w:t>7,732</w:t>
            </w:r>
          </w:p>
        </w:tc>
        <w:tc>
          <w:tcPr>
            <w:tcW w:w="20" w:type="dxa"/>
            <w:vAlign w:val="bottom"/>
          </w:tcPr>
          <w:p>
            <w:pPr>
              <w:spacing w:after="0"/>
              <w:rPr>
                <w:sz w:val="21"/>
                <w:szCs w:val="21"/>
                <w:color w:val="auto"/>
              </w:rPr>
            </w:pPr>
          </w:p>
        </w:tc>
      </w:tr>
      <w:tr>
        <w:trPr>
          <w:trHeight w:val="23"/>
        </w:trPr>
        <w:tc>
          <w:tcPr>
            <w:tcW w:w="5040" w:type="dxa"/>
            <w:vAlign w:val="bottom"/>
            <w:tcBorders>
              <w:bottom w:val="single" w:sz="8" w:color="EBFBFF"/>
            </w:tcBorders>
          </w:tcPr>
          <w:p>
            <w:pPr>
              <w:spacing w:after="0"/>
              <w:rPr>
                <w:sz w:val="2"/>
                <w:szCs w:val="2"/>
                <w:color w:val="auto"/>
              </w:rPr>
            </w:pPr>
          </w:p>
        </w:tc>
        <w:tc>
          <w:tcPr>
            <w:tcW w:w="288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6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4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504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Total revenue</w:t>
            </w:r>
          </w:p>
        </w:tc>
        <w:tc>
          <w:tcPr>
            <w:tcW w:w="3400" w:type="dxa"/>
            <w:vAlign w:val="bottom"/>
            <w:tcBorders>
              <w:bottom w:val="single" w:sz="8" w:color="EBFBFF"/>
            </w:tcBorders>
            <w:gridSpan w:val="2"/>
            <w:shd w:val="clear" w:color="auto" w:fill="EBFBFF"/>
          </w:tcPr>
          <w:p>
            <w:pPr>
              <w:jc w:val="right"/>
              <w:ind w:right="400"/>
              <w:spacing w:after="0"/>
              <w:rPr>
                <w:sz w:val="20"/>
                <w:szCs w:val="20"/>
                <w:color w:val="auto"/>
              </w:rPr>
            </w:pPr>
            <w:r>
              <w:rPr>
                <w:rFonts w:ascii="Arial" w:cs="Arial" w:eastAsia="Arial" w:hAnsi="Arial"/>
                <w:sz w:val="18"/>
                <w:szCs w:val="18"/>
                <w:color w:val="51555C"/>
              </w:rPr>
              <w:t>$</w:t>
            </w:r>
          </w:p>
        </w:tc>
        <w:tc>
          <w:tcPr>
            <w:tcW w:w="116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270,661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279,250</w:t>
            </w:r>
          </w:p>
        </w:tc>
        <w:tc>
          <w:tcPr>
            <w:tcW w:w="20" w:type="dxa"/>
            <w:vAlign w:val="bottom"/>
          </w:tcPr>
          <w:p>
            <w:pPr>
              <w:spacing w:after="0"/>
              <w:rPr>
                <w:sz w:val="22"/>
                <w:szCs w:val="22"/>
                <w:color w:val="auto"/>
              </w:rPr>
            </w:pPr>
          </w:p>
        </w:tc>
      </w:tr>
      <w:tr>
        <w:trPr>
          <w:trHeight w:val="688"/>
        </w:trPr>
        <w:tc>
          <w:tcPr>
            <w:tcW w:w="5040" w:type="dxa"/>
            <w:vAlign w:val="bottom"/>
            <w:tcBorders>
              <w:top w:val="single" w:sz="8" w:color="0CD973"/>
            </w:tcBorders>
          </w:tcPr>
          <w:p>
            <w:pPr>
              <w:spacing w:after="0"/>
              <w:rPr>
                <w:sz w:val="24"/>
                <w:szCs w:val="24"/>
                <w:color w:val="auto"/>
              </w:rPr>
            </w:pPr>
          </w:p>
        </w:tc>
        <w:tc>
          <w:tcPr>
            <w:tcW w:w="4560" w:type="dxa"/>
            <w:vAlign w:val="bottom"/>
            <w:tcBorders>
              <w:top w:val="single" w:sz="8" w:color="0CD973"/>
            </w:tcBorders>
            <w:gridSpan w:val="3"/>
          </w:tcPr>
          <w:p>
            <w:pPr>
              <w:jc w:val="right"/>
              <w:spacing w:after="0"/>
              <w:rPr>
                <w:sz w:val="20"/>
                <w:szCs w:val="20"/>
                <w:color w:val="auto"/>
              </w:rPr>
            </w:pPr>
            <w:r>
              <w:rPr>
                <w:rFonts w:ascii="Arial" w:cs="Arial" w:eastAsia="Arial" w:hAnsi="Arial"/>
                <w:sz w:val="14"/>
                <w:szCs w:val="14"/>
                <w:color w:val="51555C"/>
              </w:rPr>
              <w:t>First Quarter 2025 Form 10-Q</w:t>
            </w:r>
          </w:p>
        </w:tc>
        <w:tc>
          <w:tcPr>
            <w:tcW w:w="160" w:type="dxa"/>
            <w:vAlign w:val="bottom"/>
            <w:tcBorders>
              <w:top w:val="single" w:sz="8" w:color="0CD973"/>
            </w:tcBorders>
          </w:tcPr>
          <w:p>
            <w:pPr>
              <w:spacing w:after="0"/>
              <w:rPr>
                <w:sz w:val="24"/>
                <w:szCs w:val="24"/>
                <w:color w:val="auto"/>
              </w:rPr>
            </w:pPr>
          </w:p>
        </w:tc>
        <w:tc>
          <w:tcPr>
            <w:tcW w:w="1480" w:type="dxa"/>
            <w:vAlign w:val="bottom"/>
            <w:tcBorders>
              <w:top w:val="single" w:sz="8" w:color="0CD973"/>
            </w:tcBorders>
          </w:tcPr>
          <w:p>
            <w:pPr>
              <w:jc w:val="right"/>
              <w:spacing w:after="0"/>
              <w:rPr>
                <w:sz w:val="20"/>
                <w:szCs w:val="20"/>
                <w:color w:val="auto"/>
              </w:rPr>
            </w:pPr>
            <w:r>
              <w:rPr>
                <w:rFonts w:ascii="Arial" w:cs="Arial" w:eastAsia="Arial" w:hAnsi="Arial"/>
                <w:sz w:val="14"/>
                <w:szCs w:val="14"/>
                <w:color w:val="51555C"/>
              </w:rPr>
              <w:t>21</w:t>
            </w:r>
          </w:p>
        </w:tc>
        <w:tc>
          <w:tcPr>
            <w:tcW w:w="20" w:type="dxa"/>
            <w:vAlign w:val="bottom"/>
          </w:tcPr>
          <w:p>
            <w:pPr>
              <w:spacing w:after="0"/>
              <w:rPr>
                <w:sz w:val="24"/>
                <w:szCs w:val="24"/>
                <w:color w:val="auto"/>
              </w:rPr>
            </w:pPr>
          </w:p>
        </w:tc>
      </w:tr>
      <w:tr>
        <w:trPr>
          <w:trHeight w:val="312"/>
        </w:trPr>
        <w:tc>
          <w:tcPr>
            <w:tcW w:w="50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-1696720</wp:posOffset>
            </wp:positionV>
            <wp:extent cx="21170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170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5976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0"/>
        <w:spacing w:after="0" w:line="298" w:lineRule="auto"/>
        <w:rPr>
          <w:sz w:val="20"/>
          <w:szCs w:val="20"/>
          <w:color w:val="auto"/>
        </w:rPr>
      </w:pPr>
      <w:r>
        <w:rPr>
          <w:rFonts w:ascii="Arial" w:cs="Arial" w:eastAsia="Arial" w:hAnsi="Arial"/>
          <w:sz w:val="29"/>
          <w:szCs w:val="29"/>
          <w:b w:val="1"/>
          <w:bCs w:val="1"/>
          <w:color w:val="004054"/>
        </w:rPr>
        <w:t>ITEM 2. MANAGEMENT'S DISCUSSION AND ANALYSIS OF FINANCIAL CONDITION AND RESULTS OF OPERATIONS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51555C"/>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Our revenue is primarily generated from the following sources: (i) charging for the use of our software solutions in cloud and hosted environments; and (ii) providing payment and transaction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Business Update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business has proven its resilience during challenging times. The social impact market has been a consistent grower for many decades, through recessions, business upturns and downturns, and even through the COVID-19 global pandemic. We understand there are concerns about federal grant funding in the U.S. and how it potentially impacts our customers. But similar to COVID-19, we believe this uncertainty only makes our software more critical to our customer’s operations, enabling them to improve fundraising outcomes and to undertake or sharpen their own cost-management initiatives. To be clear, our solutions are not in the funds flow from federal agencies, but are used for fundraising from individual donors, which is even more critical now.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51555C"/>
        </w:rPr>
        <w:t>Blackbaud has undertaken a number of operational initiatives that we believe set us up to perform well, even in a challenging market.</w:t>
      </w:r>
    </w:p>
    <w:p>
      <w:pPr>
        <w:spacing w:after="0" w:line="117" w:lineRule="exact"/>
        <w:rPr>
          <w:sz w:val="20"/>
          <w:szCs w:val="20"/>
          <w:color w:val="auto"/>
        </w:rPr>
      </w:pPr>
    </w:p>
    <w:p>
      <w:pPr>
        <w:jc w:val="both"/>
        <w:ind w:left="660" w:hanging="328"/>
        <w:spacing w:after="0" w:line="268" w:lineRule="auto"/>
        <w:tabs>
          <w:tab w:leader="none" w:pos="628"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 2023, we began transitioning our contractual revenue contracts from primarily 1-year to primarily 3-year renewal terms. This modernized approach to contract terms provides increased visibility and consistency for two-thirds of our revenue base and provides better predictability for our customers.</w:t>
      </w:r>
    </w:p>
    <w:p>
      <w:pPr>
        <w:spacing w:after="0" w:line="62" w:lineRule="exact"/>
        <w:rPr>
          <w:rFonts w:ascii="Arial" w:cs="Arial" w:eastAsia="Arial" w:hAnsi="Arial"/>
          <w:sz w:val="18"/>
          <w:szCs w:val="18"/>
          <w:color w:val="51555C"/>
        </w:rPr>
      </w:pPr>
    </w:p>
    <w:p>
      <w:pPr>
        <w:ind w:left="660" w:right="20" w:hanging="328"/>
        <w:spacing w:after="0" w:line="287" w:lineRule="auto"/>
        <w:tabs>
          <w:tab w:leader="none" w:pos="628"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Over the past several years, we have transitioned the majority of our products and customers to leading public cloud service providers, while shutting down many of our private data centers, with only two of our own data centers remaining.</w:t>
      </w:r>
    </w:p>
    <w:p>
      <w:pPr>
        <w:spacing w:after="0" w:line="44"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We continue to innovate through the use of AI to not only empower our customers but also improve our own internal productivity.</w:t>
      </w:r>
    </w:p>
    <w:p>
      <w:pPr>
        <w:spacing w:after="0" w:line="117" w:lineRule="exact"/>
        <w:rPr>
          <w:rFonts w:ascii="Arial" w:cs="Arial" w:eastAsia="Arial" w:hAnsi="Arial"/>
          <w:sz w:val="18"/>
          <w:szCs w:val="18"/>
          <w:color w:val="51555C"/>
        </w:rPr>
      </w:pPr>
    </w:p>
    <w:p>
      <w:pPr>
        <w:ind w:left="660" w:hanging="328"/>
        <w:spacing w:after="0" w:line="287" w:lineRule="auto"/>
        <w:tabs>
          <w:tab w:leader="none" w:pos="628"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And lastly, we have right-sized our operations by rationalizing office leases and renegotiating a number of our significant vendor contracts.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Despite a strong focus on reducing expenses, we continue to invest aggressively in innovation and our extensive developer network to help our customers raise more money while enhancing and streamlining their operations. Our innovation and end to end workflows continue to be a competitive differentiator and drive sales. We are supporting this initiative through enhancements in sales and marketing programs and we continue to identify, experiment, and scale a range of successful solutions across marketing, customer success, and engineering to be an active innovator through applied AI.</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In February 2025, we announced that we intend to repurchase during 2025 between 3% and 5% of our outstanding common stock as of December 31, 2024 under our stock repurchase program. During the three months ended March 31, 2025, we repurchased 1,513,022 shares for $100.0 million. Including net share settlement of employee stock compensation, this represents approximately 4.2% of the Company's common stock outstanding as of December 31, 2024. The remaining amount available to purchase stock under our stock repurchase program was $544.5 million as of March 31, 2025.</w:t>
      </w:r>
    </w:p>
    <w:p>
      <w:pPr>
        <w:spacing w:after="0" w:line="30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651510" cy="1714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Financial Summary</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51555C"/>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51555C"/>
                <w:w w:val="99"/>
              </w:rPr>
              <w:t>Income from operations ($M)</w:t>
            </w:r>
          </w:p>
        </w:tc>
      </w:tr>
      <w:tr>
        <w:trPr>
          <w:trHeight w:val="23"/>
        </w:trPr>
        <w:tc>
          <w:tcPr>
            <w:tcW w:w="4280" w:type="dxa"/>
            <w:vAlign w:val="bottom"/>
            <w:tcBorders>
              <w:bottom w:val="single" w:sz="8" w:color="51555C"/>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51555C"/>
            </w:tcBorders>
          </w:tcPr>
          <w:p>
            <w:pPr>
              <w:spacing w:after="0"/>
              <w:rPr>
                <w:sz w:val="2"/>
                <w:szCs w:val="2"/>
                <w:color w:val="auto"/>
              </w:rPr>
            </w:pPr>
          </w:p>
        </w:tc>
      </w:tr>
      <w:tr>
        <w:trPr>
          <w:trHeight w:val="223"/>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51555C"/>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180340</wp:posOffset>
            </wp:positionV>
            <wp:extent cx="5700395" cy="142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Revenue decreased by $8.6 million during the three months ended March 31, 2025, when compared to the same period in 2024, driven largely by the following:</w:t>
      </w:r>
    </w:p>
    <w:p>
      <w:pPr>
        <w:spacing w:after="0" w:line="99" w:lineRule="exact"/>
        <w:rPr>
          <w:sz w:val="20"/>
          <w:szCs w:val="20"/>
          <w:color w:val="auto"/>
        </w:rPr>
      </w:pPr>
    </w:p>
    <w:p>
      <w:pPr>
        <w:ind w:left="700" w:right="20" w:hanging="351"/>
        <w:spacing w:after="0" w:line="186" w:lineRule="auto"/>
        <w:tabs>
          <w:tab w:leader="none" w:pos="700" w:val="left"/>
        </w:tabs>
        <w:numPr>
          <w:ilvl w:val="0"/>
          <w:numId w:val="14"/>
        </w:numPr>
        <w:rPr>
          <w:rFonts w:ascii="Arial" w:cs="Arial" w:eastAsia="Arial" w:hAnsi="Arial"/>
          <w:sz w:val="34"/>
          <w:szCs w:val="34"/>
          <w:color w:val="51555C"/>
          <w:vertAlign w:val="superscript"/>
        </w:rPr>
      </w:pPr>
      <w:r>
        <w:rPr>
          <w:rFonts w:ascii="Arial" w:cs="Arial" w:eastAsia="Arial" w:hAnsi="Arial"/>
          <w:sz w:val="17"/>
          <w:szCs w:val="17"/>
          <w:color w:val="51555C"/>
        </w:rPr>
        <w:t>Decrease in contractual recurring revenue of $14.9 million, $22.1 million of which was related to our sale of EVERFI; partially offset by the positive impact of our pricing initiatives and the performance of our cloud solutions</w:t>
      </w:r>
    </w:p>
    <w:p>
      <w:pPr>
        <w:spacing w:after="0" w:line="86" w:lineRule="exact"/>
        <w:rPr>
          <w:sz w:val="20"/>
          <w:szCs w:val="20"/>
          <w:color w:val="auto"/>
        </w:rPr>
      </w:pPr>
    </w:p>
    <w:p>
      <w:pPr>
        <w:ind w:left="700" w:right="20" w:hanging="373"/>
        <w:spacing w:after="0" w:line="186" w:lineRule="auto"/>
        <w:tabs>
          <w:tab w:leader="none" w:pos="700" w:val="left"/>
        </w:tabs>
        <w:numPr>
          <w:ilvl w:val="0"/>
          <w:numId w:val="15"/>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transactional recurring revenue of $7.5 million primarily due to increases in volume for our Blackbaud Integrated Payments and Blackbaud Tuition Management and, to a lesser extent, positive results related to pricing initiatives</w:t>
      </w:r>
    </w:p>
    <w:p>
      <w:pPr>
        <w:ind w:left="700" w:hanging="351"/>
        <w:spacing w:after="0" w:line="188" w:lineRule="auto"/>
        <w:tabs>
          <w:tab w:leader="none" w:pos="700" w:val="left"/>
        </w:tabs>
        <w:numPr>
          <w:ilvl w:val="0"/>
          <w:numId w:val="16"/>
        </w:numPr>
        <w:rPr>
          <w:rFonts w:ascii="Arial" w:cs="Arial" w:eastAsia="Arial" w:hAnsi="Arial"/>
          <w:sz w:val="36"/>
          <w:szCs w:val="36"/>
          <w:color w:val="51555C"/>
          <w:vertAlign w:val="superscript"/>
        </w:rPr>
      </w:pPr>
      <w:r>
        <w:rPr>
          <w:rFonts w:ascii="Arial" w:cs="Arial" w:eastAsia="Arial" w:hAnsi="Arial"/>
          <w:sz w:val="18"/>
          <w:szCs w:val="18"/>
          <w:color w:val="51555C"/>
        </w:rPr>
        <w:t>Decrease in one-time consulting revenue of $1.1 million primarily due to our sale of EVERFI Limited in March 2024</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Income from operations increased by $9.7 million during the three months ended March 31, 2025, when compared to the same period in 2024, driven largely by the following:</w:t>
      </w:r>
    </w:p>
    <w:p>
      <w:pPr>
        <w:spacing w:after="0" w:line="32" w:lineRule="exact"/>
        <w:rPr>
          <w:sz w:val="20"/>
          <w:szCs w:val="20"/>
          <w:color w:val="auto"/>
        </w:rPr>
      </w:pPr>
    </w:p>
    <w:p>
      <w:pPr>
        <w:ind w:left="700" w:hanging="445"/>
        <w:spacing w:after="0"/>
        <w:tabs>
          <w:tab w:leader="none" w:pos="700" w:val="left"/>
        </w:tabs>
        <w:numPr>
          <w:ilvl w:val="0"/>
          <w:numId w:val="17"/>
        </w:numPr>
        <w:rPr>
          <w:rFonts w:ascii="Arial" w:cs="Arial" w:eastAsia="Arial" w:hAnsi="Arial"/>
          <w:sz w:val="36"/>
          <w:szCs w:val="36"/>
          <w:color w:val="51555C"/>
          <w:vertAlign w:val="superscript"/>
        </w:rPr>
      </w:pPr>
      <w:r>
        <w:rPr>
          <w:rFonts w:ascii="Arial" w:cs="Arial" w:eastAsia="Arial" w:hAnsi="Arial"/>
          <w:sz w:val="18"/>
          <w:szCs w:val="18"/>
          <w:color w:val="51555C"/>
        </w:rPr>
        <w:t>Decrease in compensation costs other than stock-based compensation of $12.4 million primarily due to our sale of EVERFI</w:t>
      </w:r>
    </w:p>
    <w:p>
      <w:pPr>
        <w:spacing w:after="0" w:line="49" w:lineRule="exact"/>
        <w:rPr>
          <w:rFonts w:ascii="Arial" w:cs="Arial" w:eastAsia="Arial" w:hAnsi="Arial"/>
          <w:sz w:val="36"/>
          <w:szCs w:val="36"/>
          <w:color w:val="51555C"/>
          <w:vertAlign w:val="superscript"/>
        </w:rPr>
      </w:pPr>
    </w:p>
    <w:p>
      <w:pPr>
        <w:ind w:left="700" w:right="340" w:hanging="445"/>
        <w:spacing w:after="0" w:line="266" w:lineRule="auto"/>
        <w:tabs>
          <w:tab w:leader="none" w:pos="700" w:val="left"/>
        </w:tabs>
        <w:numPr>
          <w:ilvl w:val="0"/>
          <w:numId w:val="17"/>
        </w:numPr>
        <w:rPr>
          <w:rFonts w:ascii="Arial" w:cs="Arial" w:eastAsia="Arial" w:hAnsi="Arial"/>
          <w:sz w:val="18"/>
          <w:szCs w:val="18"/>
          <w:color w:val="51555C"/>
        </w:rPr>
      </w:pPr>
      <w:r>
        <w:rPr>
          <w:rFonts w:ascii="Arial" w:cs="Arial" w:eastAsia="Arial" w:hAnsi="Arial"/>
          <w:sz w:val="18"/>
          <w:szCs w:val="18"/>
          <w:color w:val="51555C"/>
        </w:rPr>
        <w:t>Decrease in stock-based compensation expense of $11.4 million primarily due to a decrease in the grant date fair value of equity award grants, and to a lesser extent, our sale of EVERFI</w:t>
      </w:r>
    </w:p>
    <w:p>
      <w:pPr>
        <w:ind w:left="700" w:hanging="445"/>
        <w:spacing w:after="0" w:line="187" w:lineRule="auto"/>
        <w:tabs>
          <w:tab w:leader="none" w:pos="700" w:val="left"/>
        </w:tabs>
        <w:numPr>
          <w:ilvl w:val="0"/>
          <w:numId w:val="17"/>
        </w:numPr>
        <w:rPr>
          <w:rFonts w:ascii="Arial" w:cs="Arial" w:eastAsia="Arial" w:hAnsi="Arial"/>
          <w:sz w:val="36"/>
          <w:szCs w:val="36"/>
          <w:color w:val="51555C"/>
          <w:vertAlign w:val="superscript"/>
        </w:rPr>
      </w:pPr>
      <w:r>
        <w:rPr>
          <w:rFonts w:ascii="Arial" w:cs="Arial" w:eastAsia="Arial" w:hAnsi="Arial"/>
          <w:sz w:val="18"/>
          <w:szCs w:val="18"/>
          <w:color w:val="51555C"/>
        </w:rPr>
        <w:t>Decrease in Security Incident-related expenses of $8.1 million. See "Security Incident update" below.</w:t>
      </w:r>
    </w:p>
    <w:p>
      <w:pPr>
        <w:spacing w:after="0" w:line="104" w:lineRule="exact"/>
        <w:rPr>
          <w:rFonts w:ascii="Arial" w:cs="Arial" w:eastAsia="Arial" w:hAnsi="Arial"/>
          <w:sz w:val="36"/>
          <w:szCs w:val="36"/>
          <w:color w:val="51555C"/>
          <w:vertAlign w:val="superscript"/>
        </w:rPr>
      </w:pPr>
    </w:p>
    <w:p>
      <w:pPr>
        <w:ind w:left="700" w:right="20" w:hanging="445"/>
        <w:spacing w:after="0" w:line="182" w:lineRule="auto"/>
        <w:tabs>
          <w:tab w:leader="none" w:pos="700" w:val="left"/>
        </w:tabs>
        <w:numPr>
          <w:ilvl w:val="0"/>
          <w:numId w:val="17"/>
        </w:numPr>
        <w:rPr>
          <w:rFonts w:ascii="Arial" w:cs="Arial" w:eastAsia="Arial" w:hAnsi="Arial"/>
          <w:sz w:val="33"/>
          <w:szCs w:val="33"/>
          <w:color w:val="51555C"/>
          <w:vertAlign w:val="superscript"/>
        </w:rPr>
      </w:pPr>
      <w:r>
        <w:rPr>
          <w:rFonts w:ascii="Arial" w:cs="Arial" w:eastAsia="Arial" w:hAnsi="Arial"/>
          <w:sz w:val="17"/>
          <w:szCs w:val="17"/>
          <w:color w:val="51555C"/>
        </w:rPr>
        <w:t>Decrease in amortization of intangible assets from business combinations of $8.0 million due to the previously disclosed material impairment charge related to our EVERFI asset group in December 2024, which primarily included finite-lived intangible assets</w:t>
      </w:r>
    </w:p>
    <w:p>
      <w:pPr>
        <w:ind w:left="700" w:hanging="445"/>
        <w:spacing w:after="0" w:line="187" w:lineRule="auto"/>
        <w:tabs>
          <w:tab w:leader="none" w:pos="700" w:val="left"/>
        </w:tabs>
        <w:numPr>
          <w:ilvl w:val="0"/>
          <w:numId w:val="17"/>
        </w:numPr>
        <w:rPr>
          <w:rFonts w:ascii="Arial" w:cs="Arial" w:eastAsia="Arial" w:hAnsi="Arial"/>
          <w:sz w:val="36"/>
          <w:szCs w:val="36"/>
          <w:color w:val="51555C"/>
          <w:vertAlign w:val="superscript"/>
        </w:rPr>
      </w:pPr>
      <w:r>
        <w:rPr>
          <w:rFonts w:ascii="Arial" w:cs="Arial" w:eastAsia="Arial" w:hAnsi="Arial"/>
          <w:sz w:val="18"/>
          <w:szCs w:val="18"/>
          <w:color w:val="51555C"/>
        </w:rPr>
        <w:t>Decrease in third-party contractor costs of $3.0 million primarily due to our sale of EVERFI</w:t>
      </w:r>
    </w:p>
    <w:p>
      <w:pPr>
        <w:spacing w:after="0" w:line="87" w:lineRule="exact"/>
        <w:rPr>
          <w:sz w:val="20"/>
          <w:szCs w:val="20"/>
          <w:color w:val="auto"/>
        </w:rPr>
      </w:pPr>
    </w:p>
    <w:p>
      <w:pPr>
        <w:ind w:left="700" w:right="20" w:hanging="445"/>
        <w:spacing w:after="0" w:line="186" w:lineRule="auto"/>
        <w:tabs>
          <w:tab w:leader="none" w:pos="700" w:val="left"/>
        </w:tabs>
        <w:numPr>
          <w:ilvl w:val="0"/>
          <w:numId w:val="18"/>
        </w:numPr>
        <w:rPr>
          <w:rFonts w:ascii="Arial" w:cs="Arial" w:eastAsia="Arial" w:hAnsi="Arial"/>
          <w:sz w:val="34"/>
          <w:szCs w:val="34"/>
          <w:color w:val="51555C"/>
          <w:vertAlign w:val="superscript"/>
        </w:rPr>
      </w:pPr>
      <w:r>
        <w:rPr>
          <w:rFonts w:ascii="Arial" w:cs="Arial" w:eastAsia="Arial" w:hAnsi="Arial"/>
          <w:sz w:val="17"/>
          <w:szCs w:val="17"/>
          <w:color w:val="51555C"/>
        </w:rPr>
        <w:t>Increase in acquisition and disposition-related costs within general and administrative expenses of $22.9 million primarily related to our release in February 2025 from our lease for office space in Washington, DC</w:t>
      </w:r>
    </w:p>
    <w:p>
      <w:pPr>
        <w:ind w:left="700" w:hanging="445"/>
        <w:spacing w:after="0" w:line="187" w:lineRule="auto"/>
        <w:tabs>
          <w:tab w:leader="none" w:pos="70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Decrease in total revenue, as described above</w:t>
      </w:r>
    </w:p>
    <w:p>
      <w:pPr>
        <w:spacing w:after="0" w:line="104" w:lineRule="exact"/>
        <w:rPr>
          <w:rFonts w:ascii="Arial" w:cs="Arial" w:eastAsia="Arial" w:hAnsi="Arial"/>
          <w:sz w:val="36"/>
          <w:szCs w:val="36"/>
          <w:color w:val="51555C"/>
          <w:vertAlign w:val="superscript"/>
        </w:rPr>
      </w:pPr>
    </w:p>
    <w:p>
      <w:pPr>
        <w:ind w:left="700" w:right="20" w:hanging="445"/>
        <w:spacing w:after="0" w:line="182" w:lineRule="auto"/>
        <w:tabs>
          <w:tab w:leader="none" w:pos="700" w:val="left"/>
        </w:tabs>
        <w:numPr>
          <w:ilvl w:val="0"/>
          <w:numId w:val="18"/>
        </w:numPr>
        <w:rPr>
          <w:rFonts w:ascii="Arial" w:cs="Arial" w:eastAsia="Arial" w:hAnsi="Arial"/>
          <w:sz w:val="33"/>
          <w:szCs w:val="33"/>
          <w:color w:val="51555C"/>
          <w:vertAlign w:val="superscript"/>
        </w:rPr>
      </w:pPr>
      <w:r>
        <w:rPr>
          <w:rFonts w:ascii="Arial" w:cs="Arial" w:eastAsia="Arial" w:hAnsi="Arial"/>
          <w:sz w:val="17"/>
          <w:szCs w:val="17"/>
          <w:color w:val="51555C"/>
        </w:rPr>
        <w:t>Increase in transaction-based costs of $2.3 million related to the increase in the volume of transactions for which we process payments and, to a lesser extent, increases in vendor rates</w:t>
      </w:r>
    </w:p>
    <w:p>
      <w:pPr>
        <w:spacing w:after="0" w:line="86" w:lineRule="exact"/>
        <w:rPr>
          <w:rFonts w:ascii="Arial" w:cs="Arial" w:eastAsia="Arial" w:hAnsi="Arial"/>
          <w:sz w:val="33"/>
          <w:szCs w:val="33"/>
          <w:color w:val="51555C"/>
          <w:vertAlign w:val="superscript"/>
        </w:rPr>
      </w:pPr>
    </w:p>
    <w:p>
      <w:pPr>
        <w:ind w:left="700" w:right="20" w:hanging="445"/>
        <w:spacing w:after="0" w:line="186" w:lineRule="auto"/>
        <w:tabs>
          <w:tab w:leader="none" w:pos="700" w:val="left"/>
        </w:tabs>
        <w:numPr>
          <w:ilvl w:val="0"/>
          <w:numId w:val="18"/>
        </w:numPr>
        <w:rPr>
          <w:rFonts w:ascii="Arial" w:cs="Arial" w:eastAsia="Arial" w:hAnsi="Arial"/>
          <w:sz w:val="34"/>
          <w:szCs w:val="34"/>
          <w:color w:val="51555C"/>
          <w:vertAlign w:val="superscript"/>
        </w:rPr>
      </w:pPr>
      <w:r>
        <w:rPr>
          <w:rFonts w:ascii="Arial" w:cs="Arial" w:eastAsia="Arial" w:hAnsi="Arial"/>
          <w:sz w:val="17"/>
          <w:szCs w:val="17"/>
          <w:color w:val="51555C"/>
        </w:rPr>
        <w:t>Increase in corporate costs of $1.5 million primarily related to an increase in bad debt expense and a smaller, favorable impact from the release of certain accrued tax liabilities due to favorable state sales tax rulings in 2025 compared to 2024</w:t>
      </w:r>
    </w:p>
    <w:p>
      <w:pPr>
        <w:spacing w:after="0" w:line="200" w:lineRule="exact"/>
        <w:rPr>
          <w:sz w:val="20"/>
          <w:szCs w:val="20"/>
          <w:color w:val="auto"/>
        </w:rPr>
      </w:pP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We are continuing to make critical investments in the business in areas such as innovation, cybersecurity, and our continued shift of cloud infrastructure to leading public cloud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As a remote-first workforce company, we also continuously evaluate opportunities to shift various business units or functions to lower-cost jurisdictions, including internationally, and may do so if and when we determine that it would reduce costs without negatively impacting the quality of our products and services.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51555C"/>
        </w:rPr>
        <w:t>Gross dollar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726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205105</wp:posOffset>
            </wp:positionV>
            <wp:extent cx="2280285" cy="131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recurring subscription contracts are typically for a term of three years at contract inception.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March 31, 2025, our gross dollar retention was approximately 92%. This gross dollar retention rate increased over our rate for the twelve months ended December 31, 2024 primarily due to our sale of EVERFI. We are continually investing in innovation, which we believe will generate strong gross dollar retention over the long-term.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Balance sheet and cash flow</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At March 31, 2025, our cash and cash equivalents were $37.2 million. Under the 2024 Credit Facilities, the carrying amount of our debt was $1.1 billion and our net leverage ratio was 2.91 to 1.00.</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During the three months ended March 31, 2025, we generated $ 1.4 million in cash from operations, had a net increase in borrowings of $130.7 million, returned $ 100.0 million to stockholders by way of share repurchases and had aggregate cash outlays of $13.7 million for purchases of property and equipment and capitalized software development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Security Incident update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As discussed in Note 8 to our unaudited, condensed consolidated financial statements in this report, total costs related to the Security Incident exceeded the limit of our insurance coverage in the first quarter of 2022. Accordingly, the Security Incident has negatively impacted, and we expect it to continue for the foreseeable future to negatively impact, our GAAP profitability and GAAP cash flow (see discussion regarding non-GAAP free cash flow and non-GAAP adjusted free cash flow on page 34). For the three months ended March 31, 2025, we incurred net pre-tax expenses of $2.2 million related to the Security Incident, which included $1.1 million for ongoing legal fees and additional accruals for loss contingencies of $1.1 million. During the three months ended March 31, 2025, we had cash outlays which were insignificant related to the Security Incident for ongoing legal fees and the settlement of putative consumer class actions cases in Canada. In line with our policy, legal fees are expensed as incurred.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As of March 31, 2025, we have recorded approximately $1.6 million in aggregate liabilities for loss contingencies based primarily on recent negotiations with certain plaintiffs and customers related to the Security Incident that we believed we could reasonably estimate in accordance with our loss contingency procedures described above and as more fully described in Note 8. It is reasonably possible that our estimated actual losses may change in the near term for those matters, but we believe that they are not reasonably likely, either separately or in the aggregate, to have a material adverse impact on our results of operations, cash flows or financial condition.</w:t>
      </w:r>
    </w:p>
    <w:p>
      <w:pPr>
        <w:spacing w:after="0" w:line="31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65151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There may be other Security Incident-related matters, which could, separately or in the aggregate, result in an adverse judgment, settlement, fine, penalty or other resolution, the amount, scope and timing of which we are currently unable to predict.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Comparison of the three months ended March 31, 2025 and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Disposition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As previously disclosed, on December 31, 2024, we disposed of our EVERFI business, formerly a wholly-owned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Reclassifications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Revenue and Cost of Revenue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Gross profit ($M)</w:t>
            </w:r>
          </w:p>
        </w:tc>
      </w:tr>
      <w:tr>
        <w:trPr>
          <w:trHeight w:val="237"/>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3"/>
        </w:trPr>
        <w:tc>
          <w:tcPr>
            <w:tcW w:w="278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51555C"/>
            </w:tcBorders>
          </w:tcPr>
          <w:p>
            <w:pPr>
              <w:spacing w:after="0"/>
              <w:rPr>
                <w:sz w:val="2"/>
                <w:szCs w:val="2"/>
                <w:color w:val="auto"/>
              </w:rPr>
            </w:pPr>
          </w:p>
        </w:tc>
      </w:tr>
      <w:tr>
        <w:trPr>
          <w:trHeight w:val="223"/>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51555C"/>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51555C"/>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12155" cy="142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51555C"/>
        </w:rPr>
        <w:t>Our revenue includes three components: contractual recurring, transactional recurring and one-time services and other.</w:t>
      </w:r>
    </w:p>
    <w:p>
      <w:pPr>
        <w:spacing w:after="0" w:line="171" w:lineRule="exact"/>
        <w:rPr>
          <w:sz w:val="20"/>
          <w:szCs w:val="20"/>
          <w:color w:val="auto"/>
        </w:rPr>
      </w:pPr>
    </w:p>
    <w:p>
      <w:pPr>
        <w:jc w:val="both"/>
        <w:ind w:left="660" w:hanging="328"/>
        <w:spacing w:after="0" w:line="268" w:lineRule="auto"/>
        <w:tabs>
          <w:tab w:leader="none" w:pos="628" w:val="left"/>
        </w:tabs>
        <w:numPr>
          <w:ilvl w:val="0"/>
          <w:numId w:val="19"/>
        </w:numPr>
        <w:rPr>
          <w:rFonts w:ascii="Arial" w:cs="Arial" w:eastAsia="Arial" w:hAnsi="Arial"/>
          <w:sz w:val="18"/>
          <w:szCs w:val="18"/>
          <w:color w:val="51555C"/>
        </w:rPr>
      </w:pPr>
      <w:r>
        <w:rPr>
          <w:rFonts w:ascii="Arial" w:cs="Arial" w:eastAsia="Arial" w:hAnsi="Arial"/>
          <w:sz w:val="18"/>
          <w:szCs w:val="18"/>
          <w:color w:val="51555C"/>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spacing w:after="0" w:line="116" w:lineRule="exact"/>
        <w:rPr>
          <w:rFonts w:ascii="Arial" w:cs="Arial" w:eastAsia="Arial" w:hAnsi="Arial"/>
          <w:sz w:val="18"/>
          <w:szCs w:val="18"/>
          <w:color w:val="51555C"/>
        </w:rPr>
      </w:pPr>
    </w:p>
    <w:p>
      <w:pPr>
        <w:ind w:left="660" w:hanging="328"/>
        <w:spacing w:after="0" w:line="287" w:lineRule="auto"/>
        <w:tabs>
          <w:tab w:leader="none" w:pos="628" w:val="left"/>
        </w:tabs>
        <w:numPr>
          <w:ilvl w:val="0"/>
          <w:numId w:val="19"/>
        </w:numPr>
        <w:rPr>
          <w:rFonts w:ascii="Arial" w:cs="Arial" w:eastAsia="Arial" w:hAnsi="Arial"/>
          <w:sz w:val="18"/>
          <w:szCs w:val="18"/>
          <w:color w:val="51555C"/>
        </w:rPr>
      </w:pPr>
      <w:r>
        <w:rPr>
          <w:rFonts w:ascii="Arial" w:cs="Arial" w:eastAsia="Arial" w:hAnsi="Arial"/>
          <w:sz w:val="18"/>
          <w:szCs w:val="18"/>
          <w:color w:val="51555C"/>
        </w:rPr>
        <w:t>Transactional recurring revenue is comprised of transaction fees associated with the use of our solutions, including donation processing, tuition management, consumer giving and event-based usage.</w:t>
      </w:r>
    </w:p>
    <w:p>
      <w:pPr>
        <w:spacing w:after="0" w:line="98" w:lineRule="exact"/>
        <w:rPr>
          <w:rFonts w:ascii="Arial" w:cs="Arial" w:eastAsia="Arial" w:hAnsi="Arial"/>
          <w:sz w:val="18"/>
          <w:szCs w:val="18"/>
          <w:color w:val="51555C"/>
        </w:rPr>
      </w:pPr>
    </w:p>
    <w:p>
      <w:pPr>
        <w:ind w:left="660" w:hanging="328"/>
        <w:spacing w:after="0" w:line="287" w:lineRule="auto"/>
        <w:tabs>
          <w:tab w:leader="none" w:pos="628" w:val="left"/>
        </w:tabs>
        <w:numPr>
          <w:ilvl w:val="0"/>
          <w:numId w:val="19"/>
        </w:numPr>
        <w:rPr>
          <w:rFonts w:ascii="Arial" w:cs="Arial" w:eastAsia="Arial" w:hAnsi="Arial"/>
          <w:sz w:val="18"/>
          <w:szCs w:val="18"/>
          <w:color w:val="51555C"/>
        </w:rPr>
      </w:pPr>
      <w:r>
        <w:rPr>
          <w:rFonts w:ascii="Arial" w:cs="Arial" w:eastAsia="Arial" w:hAnsi="Arial"/>
          <w:sz w:val="18"/>
          <w:szCs w:val="18"/>
          <w:color w:val="51555C"/>
        </w:rPr>
        <w:t>One-time services and other revenue is comprised of fees for one-time consulting, analytic and onsite training services, and fees for retained and managed services contracts that we do not expect to have a term consistent with our cloud solution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25</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Revenue decreased by $8.6 million, or 3.1%, during the three months ended March 31, 2025, when compared to the same period in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changes in revenue, see "Revenue" above starting on page 23 in this report.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Cost of revenue decreased by $11.4 million, or 9.0%, during the three months ended March 31, 2025, when compared to the same period in 2024, driven primarily by the following:</w:t>
      </w:r>
    </w:p>
    <w:p>
      <w:pPr>
        <w:spacing w:after="0" w:line="99" w:lineRule="exact"/>
        <w:rPr>
          <w:sz w:val="20"/>
          <w:szCs w:val="20"/>
          <w:color w:val="auto"/>
        </w:rPr>
      </w:pPr>
    </w:p>
    <w:p>
      <w:pPr>
        <w:ind w:left="700" w:right="60" w:hanging="351"/>
        <w:spacing w:after="0" w:line="186" w:lineRule="auto"/>
        <w:tabs>
          <w:tab w:leader="none" w:pos="700" w:val="left"/>
        </w:tabs>
        <w:numPr>
          <w:ilvl w:val="0"/>
          <w:numId w:val="20"/>
        </w:numPr>
        <w:rPr>
          <w:rFonts w:ascii="Arial" w:cs="Arial" w:eastAsia="Arial" w:hAnsi="Arial"/>
          <w:sz w:val="34"/>
          <w:szCs w:val="34"/>
          <w:color w:val="51555C"/>
          <w:vertAlign w:val="superscript"/>
        </w:rPr>
      </w:pPr>
      <w:r>
        <w:rPr>
          <w:rFonts w:ascii="Arial" w:cs="Arial" w:eastAsia="Arial" w:hAnsi="Arial"/>
          <w:sz w:val="17"/>
          <w:szCs w:val="17"/>
          <w:color w:val="51555C"/>
        </w:rPr>
        <w:t>Decrease in amortization of intangible assets from business combinations of $7.6 million due to the previously disclosed material impairment charge related to our EVERFI asset group in December 2024, which primarily included finite-lived intangible assets</w:t>
      </w:r>
    </w:p>
    <w:p>
      <w:pPr>
        <w:ind w:left="700" w:hanging="351"/>
        <w:spacing w:after="0" w:line="187" w:lineRule="auto"/>
        <w:tabs>
          <w:tab w:leader="none" w:pos="700" w:val="left"/>
        </w:tabs>
        <w:numPr>
          <w:ilvl w:val="0"/>
          <w:numId w:val="20"/>
        </w:numPr>
        <w:rPr>
          <w:rFonts w:ascii="Arial" w:cs="Arial" w:eastAsia="Arial" w:hAnsi="Arial"/>
          <w:sz w:val="36"/>
          <w:szCs w:val="36"/>
          <w:color w:val="51555C"/>
          <w:vertAlign w:val="superscript"/>
        </w:rPr>
      </w:pPr>
      <w:r>
        <w:rPr>
          <w:rFonts w:ascii="Arial" w:cs="Arial" w:eastAsia="Arial" w:hAnsi="Arial"/>
          <w:sz w:val="18"/>
          <w:szCs w:val="18"/>
          <w:color w:val="51555C"/>
        </w:rPr>
        <w:t>Decrease in compensation costs of $2.9 million primarily due to our sale of EVERFI</w:t>
      </w:r>
    </w:p>
    <w:p>
      <w:pPr>
        <w:spacing w:after="0" w:line="104" w:lineRule="exact"/>
        <w:rPr>
          <w:rFonts w:ascii="Arial" w:cs="Arial" w:eastAsia="Arial" w:hAnsi="Arial"/>
          <w:sz w:val="36"/>
          <w:szCs w:val="36"/>
          <w:color w:val="51555C"/>
          <w:vertAlign w:val="superscript"/>
        </w:rPr>
      </w:pPr>
    </w:p>
    <w:p>
      <w:pPr>
        <w:ind w:left="700" w:hanging="351"/>
        <w:spacing w:after="0" w:line="184" w:lineRule="auto"/>
        <w:tabs>
          <w:tab w:leader="none" w:pos="700" w:val="left"/>
        </w:tabs>
        <w:numPr>
          <w:ilvl w:val="0"/>
          <w:numId w:val="20"/>
        </w:numPr>
        <w:rPr>
          <w:rFonts w:ascii="Arial" w:cs="Arial" w:eastAsia="Arial" w:hAnsi="Arial"/>
          <w:sz w:val="25"/>
          <w:szCs w:val="25"/>
          <w:color w:val="51555C"/>
          <w:vertAlign w:val="superscript"/>
        </w:rPr>
      </w:pPr>
      <w:r>
        <w:rPr>
          <w:rFonts w:ascii="Arial" w:cs="Arial" w:eastAsia="Arial" w:hAnsi="Arial"/>
          <w:sz w:val="14"/>
          <w:szCs w:val="14"/>
          <w:color w:val="51555C"/>
        </w:rPr>
        <w:t>Decrease in allocated overhead costs of $1.6 million primarily related to the decreased headcount from our sale of EVERFI</w:t>
      </w:r>
    </w:p>
    <w:p>
      <w:pPr>
        <w:spacing w:after="0" w:line="86" w:lineRule="exact"/>
        <w:rPr>
          <w:sz w:val="20"/>
          <w:szCs w:val="20"/>
          <w:color w:val="auto"/>
        </w:rPr>
      </w:pPr>
    </w:p>
    <w:p>
      <w:pPr>
        <w:ind w:left="700" w:right="60" w:hanging="373"/>
        <w:spacing w:after="0" w:line="186" w:lineRule="auto"/>
        <w:tabs>
          <w:tab w:leader="none" w:pos="700" w:val="left"/>
        </w:tabs>
        <w:numPr>
          <w:ilvl w:val="0"/>
          <w:numId w:val="21"/>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transaction-based costs of $2.0 million related to the increase in the volume of transactions for which we process payments and, to a lesser extent, increases in vendor rates</w:t>
      </w:r>
    </w:p>
    <w:p>
      <w:pPr>
        <w:spacing w:after="0" w:line="2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Gross margin increased by 280 basis points for the three months ended March 31, 2025, when compared to the same period in 2024, primarily due to the decreases in cost of revenue outpacing the decreases in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40" w:type="dxa"/>
            <w:vAlign w:val="bottom"/>
          </w:tcPr>
          <w:p>
            <w:pPr>
              <w:spacing w:after="0"/>
              <w:rPr>
                <w:sz w:val="20"/>
                <w:szCs w:val="20"/>
                <w:color w:val="auto"/>
              </w:rPr>
            </w:pPr>
            <w:r>
              <w:rPr>
                <w:rFonts w:ascii="Arial" w:cs="Arial" w:eastAsia="Arial" w:hAnsi="Arial"/>
                <w:sz w:val="18"/>
                <w:szCs w:val="18"/>
                <w:b w:val="1"/>
                <w:bCs w:val="1"/>
                <w:color w:val="51555C"/>
              </w:rPr>
              <w:t>Operating Expenses</w:t>
            </w:r>
          </w:p>
        </w:tc>
        <w:tc>
          <w:tcPr>
            <w:tcW w:w="42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552"/>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51555C"/>
                <w:w w:val="99"/>
              </w:rPr>
              <w:t>Sales, marketing and</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51555C"/>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w w:val="98"/>
              </w:rPr>
              <w:t>General and</w:t>
            </w:r>
          </w:p>
        </w:tc>
      </w:tr>
      <w:tr>
        <w:trPr>
          <w:trHeight w:val="237"/>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51555C"/>
                <w:w w:val="99"/>
              </w:rPr>
              <w:t>customer success ($M)</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51555C"/>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rPr>
              <w:t>administrative ($M)</w:t>
            </w:r>
          </w:p>
        </w:tc>
      </w:tr>
      <w:tr>
        <w:trPr>
          <w:trHeight w:val="23"/>
        </w:trPr>
        <w:tc>
          <w:tcPr>
            <w:tcW w:w="2540" w:type="dxa"/>
            <w:vAlign w:val="bottom"/>
            <w:tcBorders>
              <w:bottom w:val="single" w:sz="8" w:color="51555C"/>
            </w:tcBorders>
          </w:tcPr>
          <w:p>
            <w:pPr>
              <w:spacing w:after="0"/>
              <w:rPr>
                <w:sz w:val="2"/>
                <w:szCs w:val="2"/>
                <w:color w:val="auto"/>
              </w:rPr>
            </w:pPr>
          </w:p>
        </w:tc>
        <w:tc>
          <w:tcPr>
            <w:tcW w:w="4200" w:type="dxa"/>
            <w:vAlign w:val="bottom"/>
            <w:tcBorders>
              <w:bottom w:val="single" w:sz="8" w:color="51555C"/>
            </w:tcBorders>
          </w:tcPr>
          <w:p>
            <w:pPr>
              <w:spacing w:after="0"/>
              <w:rPr>
                <w:sz w:val="2"/>
                <w:szCs w:val="2"/>
                <w:color w:val="auto"/>
              </w:rPr>
            </w:pPr>
          </w:p>
        </w:tc>
        <w:tc>
          <w:tcPr>
            <w:tcW w:w="2480" w:type="dxa"/>
            <w:vAlign w:val="bottom"/>
            <w:tcBorders>
              <w:bottom w:val="single" w:sz="8" w:color="51555C"/>
            </w:tcBorders>
          </w:tcPr>
          <w:p>
            <w:pPr>
              <w:spacing w:after="0"/>
              <w:rPr>
                <w:sz w:val="2"/>
                <w:szCs w:val="2"/>
                <w:color w:val="auto"/>
              </w:rPr>
            </w:pPr>
          </w:p>
        </w:tc>
      </w:tr>
      <w:tr>
        <w:trPr>
          <w:trHeight w:val="223"/>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51555C"/>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12155" cy="1423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Sales, marketing and customer success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We see a large market opportunity in the long-term and will continue to make investments to drive sales effectiveness. We have also implemented software tools to enhance our digital footprint and drive lead generation. The enhancements we are</w:t>
      </w:r>
    </w:p>
    <w:p>
      <w:pPr>
        <w:spacing w:after="0" w:line="27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65151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making in our go-to-market approach are intended to reduce our average customer acquisition cost per customer as well as the related payback period while increasing sales velocity.</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Sales, marketing and customer success expense decreased by $6.2 million or 12.2%, during the three months ended March 31, 2025, when compared to the same period in 2024. The decreases in dollars and as a percentage of revenue were primarily driven by the following:</w:t>
      </w:r>
    </w:p>
    <w:p>
      <w:pPr>
        <w:spacing w:after="0" w:line="45" w:lineRule="exact"/>
        <w:rPr>
          <w:sz w:val="20"/>
          <w:szCs w:val="20"/>
          <w:color w:val="auto"/>
        </w:rPr>
      </w:pPr>
    </w:p>
    <w:p>
      <w:pPr>
        <w:ind w:left="720" w:hanging="350"/>
        <w:spacing w:after="0"/>
        <w:tabs>
          <w:tab w:leader="none" w:pos="720" w:val="left"/>
        </w:tabs>
        <w:numPr>
          <w:ilvl w:val="0"/>
          <w:numId w:val="22"/>
        </w:numPr>
        <w:rPr>
          <w:rFonts w:ascii="Arial" w:cs="Arial" w:eastAsia="Arial" w:hAnsi="Arial"/>
          <w:sz w:val="18"/>
          <w:szCs w:val="18"/>
          <w:color w:val="51555C"/>
        </w:rPr>
      </w:pPr>
      <w:r>
        <w:rPr>
          <w:rFonts w:ascii="Arial" w:cs="Arial" w:eastAsia="Arial" w:hAnsi="Arial"/>
          <w:sz w:val="18"/>
          <w:szCs w:val="18"/>
          <w:color w:val="51555C"/>
        </w:rPr>
        <w:t>Decrease in compensation costs of $4.2 million primarily related to our sale of EVERFI</w:t>
      </w:r>
    </w:p>
    <w:p>
      <w:pPr>
        <w:spacing w:after="0" w:line="31" w:lineRule="exact"/>
        <w:rPr>
          <w:rFonts w:ascii="Arial" w:cs="Arial" w:eastAsia="Arial" w:hAnsi="Arial"/>
          <w:sz w:val="18"/>
          <w:szCs w:val="18"/>
          <w:color w:val="51555C"/>
        </w:rPr>
      </w:pPr>
    </w:p>
    <w:p>
      <w:pPr>
        <w:ind w:left="720" w:hanging="350"/>
        <w:spacing w:after="0" w:line="187" w:lineRule="auto"/>
        <w:tabs>
          <w:tab w:leader="none" w:pos="72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Decrease in advertising costs of $1.3 million primarily due to our sale of EVERFI</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Research and development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continue to make investments to delight our customers with innovative and secure cloud solutions. We also continue to invest heavily in the security of our solutions. Research and development expenses decreased by $9.2 million or 21.6%, during the three months ended March 31, 2025, when compared to the same period in 2024. The decreases in dollars and as a percentage of revenue were primarily driven by the following:</w:t>
      </w:r>
    </w:p>
    <w:p>
      <w:pPr>
        <w:ind w:left="720" w:hanging="350"/>
        <w:spacing w:after="0" w:line="209" w:lineRule="auto"/>
        <w:tabs>
          <w:tab w:leader="none" w:pos="720" w:val="left"/>
        </w:tabs>
        <w:numPr>
          <w:ilvl w:val="0"/>
          <w:numId w:val="23"/>
        </w:numPr>
        <w:rPr>
          <w:rFonts w:ascii="Arial" w:cs="Arial" w:eastAsia="Arial" w:hAnsi="Arial"/>
          <w:sz w:val="36"/>
          <w:szCs w:val="36"/>
          <w:color w:val="51555C"/>
          <w:vertAlign w:val="superscript"/>
        </w:rPr>
      </w:pPr>
      <w:r>
        <w:rPr>
          <w:rFonts w:ascii="Arial" w:cs="Arial" w:eastAsia="Arial" w:hAnsi="Arial"/>
          <w:sz w:val="18"/>
          <w:szCs w:val="18"/>
          <w:color w:val="51555C"/>
        </w:rPr>
        <w:t>Decrease in compensation costs of $7.8 million primarily related to our sale of EVERFI</w:t>
      </w:r>
    </w:p>
    <w:p>
      <w:pPr>
        <w:spacing w:after="0" w:line="103" w:lineRule="exact"/>
        <w:rPr>
          <w:rFonts w:ascii="Arial" w:cs="Arial" w:eastAsia="Arial" w:hAnsi="Arial"/>
          <w:sz w:val="36"/>
          <w:szCs w:val="36"/>
          <w:color w:val="51555C"/>
          <w:vertAlign w:val="superscript"/>
        </w:rPr>
      </w:pPr>
    </w:p>
    <w:p>
      <w:pPr>
        <w:ind w:left="720" w:hanging="350"/>
        <w:spacing w:after="0" w:line="184" w:lineRule="auto"/>
        <w:tabs>
          <w:tab w:leader="none" w:pos="720" w:val="left"/>
        </w:tabs>
        <w:numPr>
          <w:ilvl w:val="0"/>
          <w:numId w:val="23"/>
        </w:numPr>
        <w:rPr>
          <w:rFonts w:ascii="Arial" w:cs="Arial" w:eastAsia="Arial" w:hAnsi="Arial"/>
          <w:sz w:val="25"/>
          <w:szCs w:val="25"/>
          <w:color w:val="51555C"/>
          <w:vertAlign w:val="superscript"/>
        </w:rPr>
      </w:pPr>
      <w:r>
        <w:rPr>
          <w:rFonts w:ascii="Arial" w:cs="Arial" w:eastAsia="Arial" w:hAnsi="Arial"/>
          <w:sz w:val="14"/>
          <w:szCs w:val="14"/>
          <w:color w:val="51555C"/>
        </w:rPr>
        <w:t>Decrease in third-party contractor costs of $2.3 million primarily related to our sale of EVERFI</w:t>
      </w:r>
    </w:p>
    <w:p>
      <w:pPr>
        <w:spacing w:after="0" w:line="86" w:lineRule="exact"/>
        <w:rPr>
          <w:sz w:val="20"/>
          <w:szCs w:val="20"/>
          <w:color w:val="auto"/>
        </w:rPr>
      </w:pPr>
    </w:p>
    <w:p>
      <w:pPr>
        <w:ind w:left="720" w:right="40" w:hanging="373"/>
        <w:spacing w:after="0" w:line="186" w:lineRule="auto"/>
        <w:tabs>
          <w:tab w:leader="none" w:pos="720" w:val="left"/>
        </w:tabs>
        <w:numPr>
          <w:ilvl w:val="0"/>
          <w:numId w:val="24"/>
        </w:numPr>
        <w:rPr>
          <w:rFonts w:ascii="Arial" w:cs="Arial" w:eastAsia="Arial" w:hAnsi="Arial"/>
          <w:sz w:val="34"/>
          <w:szCs w:val="34"/>
          <w:color w:val="51555C"/>
          <w:vertAlign w:val="superscript"/>
        </w:rPr>
      </w:pPr>
      <w:r>
        <w:rPr>
          <w:rFonts w:ascii="Arial" w:cs="Arial" w:eastAsia="Arial" w:hAnsi="Arial"/>
          <w:sz w:val="17"/>
          <w:szCs w:val="17"/>
          <w:color w:val="51555C"/>
        </w:rPr>
        <w:t>Decrease in software development costs of $1.3 million, that were required to be capitalized under GAAP, primarily due to our sale of EVERFI</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Not included in research and development expense for the three months ended March 31, 2025 and 2024 were $12.4 million and $13.7 million, respectively, of qualifying costs associated with software development activities that are required to be capitalized under GAAP, such as those for our cloud solutions. Qualifying capitalized development costs associated with our cloud solutions are subsequently amortized to cost of revenue over the related assets' estimated useful life, which generally range from three to seven years. 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General and administrative</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costs, acquisition-related expenses and other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27</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General and administrative expense increased by $8.9 million, or 18.7%, three months ended March 31, 2025, when compared to the same period in 2024. The increases in dollars and as a percentage of revenue were primarily driven by the following:</w:t>
      </w:r>
    </w:p>
    <w:p>
      <w:pPr>
        <w:spacing w:after="0" w:line="99" w:lineRule="exact"/>
        <w:rPr>
          <w:sz w:val="20"/>
          <w:szCs w:val="20"/>
          <w:color w:val="auto"/>
        </w:rPr>
      </w:pPr>
    </w:p>
    <w:p>
      <w:pPr>
        <w:ind w:left="700" w:right="40" w:hanging="373"/>
        <w:spacing w:after="0" w:line="186" w:lineRule="auto"/>
        <w:tabs>
          <w:tab w:leader="none" w:pos="700" w:val="left"/>
        </w:tabs>
        <w:numPr>
          <w:ilvl w:val="0"/>
          <w:numId w:val="25"/>
        </w:numPr>
        <w:rPr>
          <w:rFonts w:ascii="Arial" w:cs="Arial" w:eastAsia="Arial" w:hAnsi="Arial"/>
          <w:sz w:val="34"/>
          <w:szCs w:val="34"/>
          <w:color w:val="51555C"/>
          <w:vertAlign w:val="superscript"/>
        </w:rPr>
      </w:pPr>
      <w:r>
        <w:rPr>
          <w:rFonts w:ascii="Arial" w:cs="Arial" w:eastAsia="Arial" w:hAnsi="Arial"/>
          <w:sz w:val="17"/>
          <w:szCs w:val="17"/>
          <w:color w:val="51555C"/>
        </w:rPr>
        <w:t>Increase in acquisition and disposition-related costs of $22.9 million primarily related to our release from our lease for office space in Washington, DC</w:t>
      </w:r>
    </w:p>
    <w:p>
      <w:pPr>
        <w:spacing w:after="0" w:line="31" w:lineRule="exact"/>
        <w:rPr>
          <w:rFonts w:ascii="Arial" w:cs="Arial" w:eastAsia="Arial" w:hAnsi="Arial"/>
          <w:sz w:val="34"/>
          <w:szCs w:val="34"/>
          <w:color w:val="51555C"/>
          <w:vertAlign w:val="superscript"/>
        </w:rPr>
      </w:pPr>
    </w:p>
    <w:p>
      <w:pPr>
        <w:jc w:val="both"/>
        <w:ind w:left="700" w:right="20" w:hanging="373"/>
        <w:spacing w:after="0" w:line="268" w:lineRule="auto"/>
        <w:tabs>
          <w:tab w:leader="none" w:pos="700" w:val="left"/>
        </w:tabs>
        <w:numPr>
          <w:ilvl w:val="0"/>
          <w:numId w:val="25"/>
        </w:numPr>
        <w:rPr>
          <w:rFonts w:ascii="Arial" w:cs="Arial" w:eastAsia="Arial" w:hAnsi="Arial"/>
          <w:sz w:val="18"/>
          <w:szCs w:val="18"/>
          <w:color w:val="51555C"/>
        </w:rPr>
      </w:pPr>
      <w:r>
        <w:rPr>
          <w:rFonts w:ascii="Arial" w:cs="Arial" w:eastAsia="Arial" w:hAnsi="Arial"/>
          <w:sz w:val="18"/>
          <w:szCs w:val="18"/>
          <w:color w:val="51555C"/>
        </w:rPr>
        <w:t>Decrease in total costs allocated from general and administrative expense of $1.8 million primarily related to the decreased headcount from our sale of EVERFI. Depreciation, facilities and IT support costs are pooled and recorded to general and administrative expense and allocated to other lines of our statements of comprehensive income based on headcount.</w:t>
      </w:r>
    </w:p>
    <w:p>
      <w:pPr>
        <w:spacing w:after="0" w:line="63" w:lineRule="exact"/>
        <w:rPr>
          <w:sz w:val="20"/>
          <w:szCs w:val="20"/>
          <w:color w:val="auto"/>
        </w:rPr>
      </w:pPr>
    </w:p>
    <w:p>
      <w:pPr>
        <w:ind w:left="700" w:right="40" w:hanging="351"/>
        <w:spacing w:after="0" w:line="186" w:lineRule="auto"/>
        <w:tabs>
          <w:tab w:leader="none" w:pos="700" w:val="left"/>
        </w:tabs>
        <w:numPr>
          <w:ilvl w:val="0"/>
          <w:numId w:val="26"/>
        </w:numPr>
        <w:rPr>
          <w:rFonts w:ascii="Arial" w:cs="Arial" w:eastAsia="Arial" w:hAnsi="Arial"/>
          <w:sz w:val="34"/>
          <w:szCs w:val="34"/>
          <w:color w:val="51555C"/>
          <w:vertAlign w:val="superscript"/>
        </w:rPr>
      </w:pPr>
      <w:r>
        <w:rPr>
          <w:rFonts w:ascii="Arial" w:cs="Arial" w:eastAsia="Arial" w:hAnsi="Arial"/>
          <w:sz w:val="17"/>
          <w:szCs w:val="17"/>
          <w:color w:val="51555C"/>
        </w:rPr>
        <w:t>Decrease in Security Incident-related expenses of $8.1 million largely related to decreases in loss contingency accruals. See "Security Incident update" on page 24</w:t>
      </w:r>
    </w:p>
    <w:p>
      <w:pPr>
        <w:spacing w:after="0" w:line="85" w:lineRule="exact"/>
        <w:rPr>
          <w:rFonts w:ascii="Arial" w:cs="Arial" w:eastAsia="Arial" w:hAnsi="Arial"/>
          <w:sz w:val="34"/>
          <w:szCs w:val="34"/>
          <w:color w:val="51555C"/>
          <w:vertAlign w:val="superscript"/>
        </w:rPr>
      </w:pPr>
    </w:p>
    <w:p>
      <w:pPr>
        <w:ind w:left="700" w:right="20" w:hanging="351"/>
        <w:spacing w:after="0" w:line="186" w:lineRule="auto"/>
        <w:tabs>
          <w:tab w:leader="none" w:pos="700" w:val="left"/>
        </w:tabs>
        <w:numPr>
          <w:ilvl w:val="0"/>
          <w:numId w:val="26"/>
        </w:numPr>
        <w:rPr>
          <w:rFonts w:ascii="Arial" w:cs="Arial" w:eastAsia="Arial" w:hAnsi="Arial"/>
          <w:sz w:val="34"/>
          <w:szCs w:val="34"/>
          <w:color w:val="51555C"/>
          <w:vertAlign w:val="superscript"/>
        </w:rPr>
      </w:pPr>
      <w:r>
        <w:rPr>
          <w:rFonts w:ascii="Arial" w:cs="Arial" w:eastAsia="Arial" w:hAnsi="Arial"/>
          <w:sz w:val="17"/>
          <w:szCs w:val="17"/>
          <w:color w:val="51555C"/>
        </w:rPr>
        <w:t>Decrease in stock-based compensation costs of $7.4 million primarily due to a decrease in the grant date fair value of equity award grants, and to a lesser extent, our sale of EVERFI</w:t>
      </w:r>
    </w:p>
    <w:p>
      <w:pPr>
        <w:ind w:left="700" w:hanging="351"/>
        <w:spacing w:after="0" w:line="187" w:lineRule="auto"/>
        <w:tabs>
          <w:tab w:leader="none" w:pos="700" w:val="left"/>
        </w:tabs>
        <w:numPr>
          <w:ilvl w:val="0"/>
          <w:numId w:val="26"/>
        </w:numPr>
        <w:rPr>
          <w:rFonts w:ascii="Arial" w:cs="Arial" w:eastAsia="Arial" w:hAnsi="Arial"/>
          <w:sz w:val="36"/>
          <w:szCs w:val="36"/>
          <w:color w:val="51555C"/>
          <w:vertAlign w:val="superscript"/>
        </w:rPr>
      </w:pPr>
      <w:r>
        <w:rPr>
          <w:rFonts w:ascii="Arial" w:cs="Arial" w:eastAsia="Arial" w:hAnsi="Arial"/>
          <w:sz w:val="18"/>
          <w:szCs w:val="18"/>
          <w:color w:val="51555C"/>
        </w:rPr>
        <w:t>Decrease in compensation costs other than stock-based compensation of $1.5 million primarily due to our sale of EVERFI</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Interest Expense</w:t>
      </w:r>
    </w:p>
    <w:p>
      <w:pPr>
        <w:spacing w:after="0" w:line="281"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23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180975</wp:posOffset>
            </wp:positionV>
            <wp:extent cx="1937385" cy="1423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increase in interest expense in dollars and as a percentage of total revenue during the three months ended March 31, 2025, when compared to the same period in 2024, was primarily due to our incremental borrowings to fund stock repurchases during 2024 and 2025 and the expiration of favorable interest rate swaps in October 2024. We currently expect interest expense for the full year 2025 to be approximately $65 million to $69 million.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pacing w:after="0" w:line="30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651510" cy="1714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Income</w:t>
      </w:r>
    </w:p>
    <w:p>
      <w:pPr>
        <w:spacing w:after="0" w:line="281" w:lineRule="exact"/>
        <w:rPr>
          <w:sz w:val="20"/>
          <w:szCs w:val="20"/>
          <w:color w:val="auto"/>
        </w:rPr>
      </w:pPr>
    </w:p>
    <w:p>
      <w:pPr>
        <w:jc w:val="center"/>
        <w:ind w:right="7120"/>
        <w:spacing w:after="0"/>
        <w:rPr>
          <w:sz w:val="20"/>
          <w:szCs w:val="20"/>
          <w:color w:val="auto"/>
        </w:rPr>
      </w:pPr>
      <w:r>
        <w:rPr>
          <w:rFonts w:ascii="Arial" w:cs="Arial" w:eastAsia="Arial" w:hAnsi="Arial"/>
          <w:sz w:val="18"/>
          <w:szCs w:val="18"/>
          <w:i w:val="1"/>
          <w:iCs w:val="1"/>
          <w:color w:val="51555C"/>
        </w:rPr>
        <w:t>Other income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231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51555C"/>
        </w:rPr>
        <w:t>Percentages indicate other income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189230</wp:posOffset>
            </wp:positionV>
            <wp:extent cx="1937385" cy="142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decrease in other income in dollars and as a percentage of total revenue during the three months ended March 31, 2025, when compared to the same period in 2024, was primarily due to current year losses in currency revaluation compared to prior year gains. See Note 5 to our unaudited, condensed consolidated financial statements in this report for more information regarding our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The table below compares the components of deferred revenue from our unaudited, condensed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5"/>
        </w:trPr>
        <w:tc>
          <w:tcPr>
            <w:tcW w:w="7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tcBorders>
              <w:bottom w:val="single" w:sz="8" w:color="004054"/>
            </w:tcBorders>
            <w:shd w:val="clear" w:color="auto" w:fill="004054"/>
          </w:tcPr>
          <w:p>
            <w:pPr>
              <w:spacing w:after="0"/>
              <w:rPr>
                <w:sz w:val="17"/>
                <w:szCs w:val="17"/>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60" w:type="dxa"/>
            <w:vAlign w:val="bottom"/>
            <w:tcBorders>
              <w:bottom w:val="single" w:sz="8" w:color="004054"/>
            </w:tcBorders>
            <w:shd w:val="clear" w:color="auto" w:fill="004054"/>
          </w:tcPr>
          <w:p>
            <w:pPr>
              <w:spacing w:after="0"/>
              <w:rPr>
                <w:sz w:val="17"/>
                <w:szCs w:val="17"/>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4"/>
        </w:trPr>
        <w:tc>
          <w:tcPr>
            <w:tcW w:w="73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Deferred revenue</w:t>
            </w:r>
            <w:r>
              <w:rPr>
                <w:rFonts w:ascii="Arial" w:cs="Arial" w:eastAsia="Arial" w:hAnsi="Arial"/>
                <w:sz w:val="23"/>
                <w:szCs w:val="23"/>
                <w:color w:val="51555C"/>
                <w:vertAlign w:val="superscript"/>
              </w:rPr>
              <w:t>(1)</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9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332.2</w:t>
            </w:r>
          </w:p>
        </w:tc>
        <w:tc>
          <w:tcPr>
            <w:tcW w:w="260" w:type="dxa"/>
            <w:vAlign w:val="bottom"/>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361.5</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(8.1)%</w:t>
            </w:r>
          </w:p>
        </w:tc>
        <w:tc>
          <w:tcPr>
            <w:tcW w:w="20" w:type="dxa"/>
            <w:vAlign w:val="bottom"/>
          </w:tcPr>
          <w:p>
            <w:pPr>
              <w:spacing w:after="0"/>
              <w:rPr>
                <w:sz w:val="24"/>
                <w:szCs w:val="24"/>
                <w:color w:val="auto"/>
              </w:rPr>
            </w:pPr>
          </w:p>
        </w:tc>
      </w:tr>
      <w:tr>
        <w:trPr>
          <w:trHeight w:val="247"/>
        </w:trPr>
        <w:tc>
          <w:tcPr>
            <w:tcW w:w="7360" w:type="dxa"/>
            <w:vAlign w:val="bottom"/>
          </w:tcPr>
          <w:p>
            <w:pPr>
              <w:ind w:left="140"/>
              <w:spacing w:after="0"/>
              <w:rPr>
                <w:sz w:val="20"/>
                <w:szCs w:val="20"/>
                <w:color w:val="auto"/>
              </w:rPr>
            </w:pPr>
            <w:r>
              <w:rPr>
                <w:rFonts w:ascii="Arial" w:cs="Arial" w:eastAsia="Arial" w:hAnsi="Arial"/>
                <w:sz w:val="18"/>
                <w:szCs w:val="18"/>
                <w:color w:val="51555C"/>
              </w:rPr>
              <w:t>Less: Long-term portion</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6.0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2.0</w:t>
            </w:r>
          </w:p>
        </w:tc>
        <w:tc>
          <w:tcPr>
            <w:tcW w:w="1140" w:type="dxa"/>
            <w:vAlign w:val="bottom"/>
          </w:tcPr>
          <w:p>
            <w:pPr>
              <w:jc w:val="right"/>
              <w:spacing w:after="0"/>
              <w:rPr>
                <w:sz w:val="20"/>
                <w:szCs w:val="20"/>
                <w:color w:val="auto"/>
              </w:rPr>
            </w:pPr>
            <w:r>
              <w:rPr>
                <w:rFonts w:ascii="Arial" w:cs="Arial" w:eastAsia="Arial" w:hAnsi="Arial"/>
                <w:sz w:val="18"/>
                <w:szCs w:val="18"/>
                <w:color w:val="51555C"/>
              </w:rPr>
              <w:t>199.4 %</w:t>
            </w:r>
          </w:p>
        </w:tc>
        <w:tc>
          <w:tcPr>
            <w:tcW w:w="20" w:type="dxa"/>
            <w:vAlign w:val="bottom"/>
          </w:tcPr>
          <w:p>
            <w:pPr>
              <w:spacing w:after="0"/>
              <w:rPr>
                <w:sz w:val="21"/>
                <w:szCs w:val="21"/>
                <w:color w:val="auto"/>
              </w:rPr>
            </w:pPr>
          </w:p>
        </w:tc>
      </w:tr>
      <w:tr>
        <w:trPr>
          <w:trHeight w:val="23"/>
        </w:trPr>
        <w:tc>
          <w:tcPr>
            <w:tcW w:w="7360" w:type="dxa"/>
            <w:vAlign w:val="bottom"/>
            <w:tcBorders>
              <w:bottom w:val="single" w:sz="8" w:color="EBFBFF"/>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114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36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8"/>
                <w:szCs w:val="18"/>
                <w:color w:val="51555C"/>
              </w:rPr>
              <w:t>Current portion</w:t>
            </w:r>
            <w:r>
              <w:rPr>
                <w:rFonts w:ascii="Arial" w:cs="Arial" w:eastAsia="Arial" w:hAnsi="Arial"/>
                <w:sz w:val="23"/>
                <w:szCs w:val="23"/>
                <w:color w:val="51555C"/>
                <w:vertAlign w:val="superscript"/>
              </w:rPr>
              <w:t>(1)</w:t>
            </w:r>
          </w:p>
        </w:tc>
        <w:tc>
          <w:tcPr>
            <w:tcW w:w="400" w:type="dxa"/>
            <w:vAlign w:val="bottom"/>
            <w:tcBorders>
              <w:bottom w:val="single" w:sz="8" w:color="0CD973"/>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326.2</w:t>
            </w:r>
          </w:p>
        </w:tc>
        <w:tc>
          <w:tcPr>
            <w:tcW w:w="260" w:type="dxa"/>
            <w:vAlign w:val="bottom"/>
            <w:tcBorders>
              <w:bottom w:val="single" w:sz="8" w:color="0CD973"/>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359.5</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(9.3)%</w:t>
            </w:r>
          </w:p>
        </w:tc>
        <w:tc>
          <w:tcPr>
            <w:tcW w:w="20" w:type="dxa"/>
            <w:vAlign w:val="bottom"/>
          </w:tcPr>
          <w:p>
            <w:pPr>
              <w:spacing w:after="0"/>
              <w:rPr>
                <w:sz w:val="24"/>
                <w:szCs w:val="24"/>
                <w:color w:val="auto"/>
              </w:rPr>
            </w:pPr>
          </w:p>
        </w:tc>
      </w:tr>
    </w:tbl>
    <w:p>
      <w:pPr>
        <w:spacing w:after="0" w:line="8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deferred revenue or current portion of deferred revenue due to rounding.</w:t>
      </w:r>
    </w:p>
    <w:p>
      <w:pPr>
        <w:spacing w:after="0" w:line="1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generally invoice our customers with recurring revenue contracts in annual cycles 30 days prior to the end of each one-year period.</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decrease in deferred revenue during the three months ended March 31, 2025 was primarily due to a seasonal decrease in customer contract billings. Historically, due to the timing of customer budget cycles, we have an increase in billings and customer contract renewals at or near the beginning of our third quarter. Generally, our lowest balance of deferred revenue during the year is at the end of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205740</wp:posOffset>
            </wp:positionV>
            <wp:extent cx="65976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Income Taxes</w:t>
      </w:r>
    </w:p>
    <w:p>
      <w:pPr>
        <w:spacing w:after="0" w:line="200" w:lineRule="exact"/>
        <w:rPr>
          <w:sz w:val="20"/>
          <w:szCs w:val="20"/>
          <w:color w:val="auto"/>
        </w:rPr>
      </w:pPr>
    </w:p>
    <w:p>
      <w:pPr>
        <w:spacing w:after="0" w:line="297"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51555C"/>
        </w:rPr>
        <w:t>Income tax provision (benefit)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231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51555C"/>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189230</wp:posOffset>
            </wp:positionV>
            <wp:extent cx="1937385" cy="1423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increase in our effective income tax rate for the three months ended March 31, 2025 when compared to the same period in 2024 was primarily due to the impact of reduced current year stock-based compensation benefit. Additionally, the current year effective tax rate was unfavorably impacted by a valuation allowance against our net U.S. deferred tax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30</w:t>
      </w:r>
      <w:r>
        <w:rPr>
          <w:sz w:val="20"/>
          <w:szCs w:val="20"/>
          <w:color w:val="auto"/>
        </w:rPr>
        <w:tab/>
      </w:r>
      <w:r>
        <w:rPr>
          <w:sz w:val="1"/>
          <w:szCs w:val="1"/>
          <w:color w:val="auto"/>
        </w:rPr>
        <w:drawing>
          <wp:inline distT="0" distB="0" distL="0" distR="0">
            <wp:extent cx="651510" cy="1714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24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96"/>
        </w:trPr>
        <w:tc>
          <w:tcPr>
            <w:tcW w:w="84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10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52"/>
        </w:trPr>
        <w:tc>
          <w:tcPr>
            <w:tcW w:w="8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80" w:type="dxa"/>
            <w:vAlign w:val="bottom"/>
            <w:tcBorders>
              <w:bottom w:val="single" w:sz="8" w:color="004054"/>
            </w:tcBorders>
            <w:shd w:val="clear" w:color="auto" w:fill="004054"/>
          </w:tcPr>
          <w:p>
            <w:pPr>
              <w:spacing w:after="0"/>
              <w:rPr>
                <w:sz w:val="21"/>
                <w:szCs w:val="21"/>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80" w:type="dxa"/>
            <w:vAlign w:val="bottom"/>
            <w:tcBorders>
              <w:bottom w:val="single" w:sz="8" w:color="004054"/>
            </w:tcBorders>
            <w:shd w:val="clear" w:color="auto" w:fill="004054"/>
          </w:tcPr>
          <w:p>
            <w:pPr>
              <w:spacing w:after="0"/>
              <w:rPr>
                <w:sz w:val="21"/>
                <w:szCs w:val="21"/>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30"/>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2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270.7</w:t>
            </w:r>
          </w:p>
        </w:tc>
        <w:tc>
          <w:tcPr>
            <w:tcW w:w="2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279.3</w:t>
            </w:r>
          </w:p>
        </w:tc>
      </w:tr>
      <w:tr>
        <w:trPr>
          <w:trHeight w:val="34"/>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2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155.8</w:t>
            </w:r>
          </w:p>
        </w:tc>
        <w:tc>
          <w:tcPr>
            <w:tcW w:w="2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153.0</w:t>
            </w:r>
          </w:p>
        </w:tc>
      </w:tr>
      <w:tr>
        <w:trPr>
          <w:trHeight w:val="222"/>
        </w:trPr>
        <w:tc>
          <w:tcPr>
            <w:tcW w:w="848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57.6 %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54.8 %</w:t>
            </w:r>
          </w:p>
        </w:tc>
      </w:tr>
      <w:tr>
        <w:trPr>
          <w:trHeight w:val="237"/>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spacing w:after="0"/>
              <w:rPr>
                <w:sz w:val="20"/>
                <w:szCs w:val="20"/>
                <w:color w:val="auto"/>
              </w:rPr>
            </w:pP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spacing w:after="0"/>
              <w:rPr>
                <w:sz w:val="20"/>
                <w:szCs w:val="20"/>
                <w:color w:val="auto"/>
              </w:rPr>
            </w:pPr>
          </w:p>
        </w:tc>
      </w:tr>
      <w:tr>
        <w:trPr>
          <w:trHeight w:val="208"/>
        </w:trPr>
        <w:tc>
          <w:tcPr>
            <w:tcW w:w="848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8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2.7</w:t>
            </w:r>
          </w:p>
        </w:tc>
        <w:tc>
          <w:tcPr>
            <w:tcW w:w="28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3.8</w:t>
            </w:r>
          </w:p>
        </w:tc>
      </w:tr>
      <w:tr>
        <w:trPr>
          <w:trHeight w:val="22"/>
        </w:trPr>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84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80" w:type="dxa"/>
            <w:vAlign w:val="bottom"/>
            <w:tcBorders>
              <w:bottom w:val="single" w:sz="8" w:color="EBFBFF"/>
            </w:tcBorders>
            <w:shd w:val="clear" w:color="auto" w:fill="EBFBFF"/>
          </w:tcPr>
          <w:p>
            <w:pPr>
              <w:spacing w:after="0"/>
              <w:rPr>
                <w:sz w:val="19"/>
                <w:szCs w:val="19"/>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7.1</w:t>
            </w:r>
          </w:p>
        </w:tc>
        <w:tc>
          <w:tcPr>
            <w:tcW w:w="280" w:type="dxa"/>
            <w:vAlign w:val="bottom"/>
            <w:tcBorders>
              <w:bottom w:val="single" w:sz="8" w:color="EBFBFF"/>
            </w:tcBorders>
            <w:shd w:val="clear" w:color="auto" w:fill="EBFBFF"/>
          </w:tcPr>
          <w:p>
            <w:pPr>
              <w:spacing w:after="0"/>
              <w:rPr>
                <w:sz w:val="19"/>
                <w:szCs w:val="19"/>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14.7</w:t>
            </w:r>
          </w:p>
        </w:tc>
      </w:tr>
      <w:tr>
        <w:trPr>
          <w:trHeight w:val="223"/>
        </w:trPr>
        <w:tc>
          <w:tcPr>
            <w:tcW w:w="848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80" w:type="dxa"/>
            <w:vAlign w:val="bottom"/>
            <w:tcBorders>
              <w:top w:val="single" w:sz="8" w:color="51555C"/>
              <w:bottom w:val="single" w:sz="8" w:color="51555C"/>
            </w:tcBorders>
          </w:tcPr>
          <w:p>
            <w:pPr>
              <w:spacing w:after="0"/>
              <w:rPr>
                <w:sz w:val="19"/>
                <w:szCs w:val="19"/>
                <w:color w:val="auto"/>
              </w:rPr>
            </w:pPr>
          </w:p>
        </w:tc>
        <w:tc>
          <w:tcPr>
            <w:tcW w:w="110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9.8</w:t>
            </w:r>
          </w:p>
        </w:tc>
        <w:tc>
          <w:tcPr>
            <w:tcW w:w="280" w:type="dxa"/>
            <w:vAlign w:val="bottom"/>
            <w:tcBorders>
              <w:top w:val="single" w:sz="8" w:color="51555C"/>
              <w:bottom w:val="single" w:sz="8" w:color="51555C"/>
            </w:tcBorders>
          </w:tcPr>
          <w:p>
            <w:pPr>
              <w:spacing w:after="0"/>
              <w:rPr>
                <w:sz w:val="19"/>
                <w:szCs w:val="19"/>
                <w:color w:val="auto"/>
              </w:rPr>
            </w:pPr>
          </w:p>
        </w:tc>
        <w:tc>
          <w:tcPr>
            <w:tcW w:w="110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18.4</w:t>
            </w:r>
          </w:p>
        </w:tc>
      </w:tr>
      <w:tr>
        <w:trPr>
          <w:trHeight w:val="223"/>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gross profit</w:t>
            </w:r>
            <w:r>
              <w:rPr>
                <w:rFonts w:ascii="Arial" w:cs="Arial" w:eastAsia="Arial" w:hAnsi="Arial"/>
                <w:sz w:val="18"/>
                <w:szCs w:val="18"/>
                <w:b w:val="1"/>
                <w:bCs w:val="1"/>
                <w:color w:val="51555C"/>
                <w:vertAlign w:val="superscript"/>
              </w:rPr>
              <w:t>(1)</w:t>
            </w:r>
          </w:p>
        </w:tc>
        <w:tc>
          <w:tcPr>
            <w:tcW w:w="2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165.6</w:t>
            </w:r>
          </w:p>
        </w:tc>
        <w:tc>
          <w:tcPr>
            <w:tcW w:w="2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171.5</w:t>
            </w:r>
          </w:p>
        </w:tc>
      </w:tr>
      <w:tr>
        <w:trPr>
          <w:trHeight w:val="215"/>
        </w:trPr>
        <w:tc>
          <w:tcPr>
            <w:tcW w:w="8480" w:type="dxa"/>
            <w:vAlign w:val="bottom"/>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61.2 %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61.4 %</w:t>
            </w:r>
          </w:p>
        </w:tc>
      </w:tr>
      <w:tr>
        <w:trPr>
          <w:trHeight w:val="62"/>
        </w:trPr>
        <w:tc>
          <w:tcPr>
            <w:tcW w:w="8480" w:type="dxa"/>
            <w:vAlign w:val="bottom"/>
            <w:shd w:val="clear" w:color="auto" w:fill="EBFBFF"/>
          </w:tcPr>
          <w:p>
            <w:pPr>
              <w:spacing w:after="0"/>
              <w:rPr>
                <w:sz w:val="5"/>
                <w:szCs w:val="5"/>
                <w:color w:val="auto"/>
              </w:rPr>
            </w:pPr>
          </w:p>
        </w:tc>
        <w:tc>
          <w:tcPr>
            <w:tcW w:w="280" w:type="dxa"/>
            <w:vAlign w:val="bottom"/>
            <w:shd w:val="clear" w:color="auto" w:fill="EBFBFF"/>
          </w:tcPr>
          <w:p>
            <w:pPr>
              <w:spacing w:after="0"/>
              <w:rPr>
                <w:sz w:val="5"/>
                <w:szCs w:val="5"/>
                <w:color w:val="auto"/>
              </w:rPr>
            </w:pPr>
          </w:p>
        </w:tc>
        <w:tc>
          <w:tcPr>
            <w:tcW w:w="1100" w:type="dxa"/>
            <w:vAlign w:val="bottom"/>
            <w:shd w:val="clear" w:color="auto" w:fill="EBFBFF"/>
          </w:tcPr>
          <w:p>
            <w:pPr>
              <w:spacing w:after="0"/>
              <w:rPr>
                <w:sz w:val="5"/>
                <w:szCs w:val="5"/>
                <w:color w:val="auto"/>
              </w:rPr>
            </w:pPr>
          </w:p>
        </w:tc>
        <w:tc>
          <w:tcPr>
            <w:tcW w:w="280" w:type="dxa"/>
            <w:vAlign w:val="bottom"/>
            <w:shd w:val="clear" w:color="auto" w:fill="EBFBFF"/>
          </w:tcPr>
          <w:p>
            <w:pPr>
              <w:spacing w:after="0"/>
              <w:rPr>
                <w:sz w:val="5"/>
                <w:szCs w:val="5"/>
                <w:color w:val="auto"/>
              </w:rPr>
            </w:pPr>
          </w:p>
        </w:tc>
        <w:tc>
          <w:tcPr>
            <w:tcW w:w="1100" w:type="dxa"/>
            <w:vAlign w:val="bottom"/>
            <w:shd w:val="clear" w:color="auto" w:fill="EBFBFF"/>
          </w:tcPr>
          <w:p>
            <w:pPr>
              <w:spacing w:after="0"/>
              <w:rPr>
                <w:sz w:val="5"/>
                <w:szCs w:val="5"/>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4"/>
                <w:szCs w:val="14"/>
                <w:b w:val="1"/>
                <w:bCs w:val="1"/>
                <w:color w:val="51555C"/>
              </w:rPr>
              <w:t>GAAP income from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20.4</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10.7</w:t>
            </w:r>
          </w:p>
        </w:tc>
      </w:tr>
      <w:tr>
        <w:trPr>
          <w:trHeight w:val="237"/>
        </w:trPr>
        <w:tc>
          <w:tcPr>
            <w:tcW w:w="848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7.5 %</w:t>
            </w: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3.8 %</w:t>
            </w:r>
          </w:p>
        </w:tc>
      </w:tr>
      <w:tr>
        <w:trPr>
          <w:trHeight w:val="222"/>
        </w:trPr>
        <w:tc>
          <w:tcPr>
            <w:tcW w:w="848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7"/>
        </w:trPr>
        <w:tc>
          <w:tcPr>
            <w:tcW w:w="84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8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22.2</w:t>
            </w:r>
          </w:p>
        </w:tc>
        <w:tc>
          <w:tcPr>
            <w:tcW w:w="28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33.6</w:t>
            </w:r>
          </w:p>
        </w:tc>
      </w:tr>
      <w:tr>
        <w:trPr>
          <w:trHeight w:val="208"/>
        </w:trPr>
        <w:tc>
          <w:tcPr>
            <w:tcW w:w="848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8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7.6</w:t>
            </w:r>
          </w:p>
        </w:tc>
        <w:tc>
          <w:tcPr>
            <w:tcW w:w="28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15.6</w:t>
            </w:r>
          </w:p>
        </w:tc>
      </w:tr>
      <w:tr>
        <w:trPr>
          <w:trHeight w:val="22"/>
        </w:trPr>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84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(2)</w:t>
            </w:r>
          </w:p>
        </w:tc>
        <w:tc>
          <w:tcPr>
            <w:tcW w:w="280" w:type="dxa"/>
            <w:vAlign w:val="bottom"/>
            <w:shd w:val="clear" w:color="auto" w:fill="EBFBFF"/>
          </w:tcPr>
          <w:p>
            <w:pPr>
              <w:spacing w:after="0"/>
              <w:rPr>
                <w:sz w:val="19"/>
                <w:szCs w:val="19"/>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25.1</w:t>
            </w:r>
          </w:p>
        </w:tc>
        <w:tc>
          <w:tcPr>
            <w:tcW w:w="280" w:type="dxa"/>
            <w:vAlign w:val="bottom"/>
            <w:shd w:val="clear" w:color="auto" w:fill="EBFBFF"/>
          </w:tcPr>
          <w:p>
            <w:pPr>
              <w:spacing w:after="0"/>
              <w:rPr>
                <w:sz w:val="19"/>
                <w:szCs w:val="19"/>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2.3</w:t>
            </w:r>
          </w:p>
        </w:tc>
      </w:tr>
      <w:tr>
        <w:trPr>
          <w:trHeight w:val="230"/>
        </w:trPr>
        <w:tc>
          <w:tcPr>
            <w:tcW w:w="848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Add: Security Incident-related costs</w:t>
            </w:r>
            <w:r>
              <w:rPr>
                <w:rFonts w:ascii="Arial" w:cs="Arial" w:eastAsia="Arial" w:hAnsi="Arial"/>
                <w:sz w:val="18"/>
                <w:szCs w:val="18"/>
                <w:color w:val="51555C"/>
                <w:vertAlign w:val="superscript"/>
              </w:rPr>
              <w:t>(3)</w:t>
            </w:r>
          </w:p>
        </w:tc>
        <w:tc>
          <w:tcPr>
            <w:tcW w:w="280" w:type="dxa"/>
            <w:vAlign w:val="bottom"/>
            <w:tcBorders>
              <w:bottom w:val="single" w:sz="8" w:color="51555C"/>
            </w:tcBorders>
          </w:tcPr>
          <w:p>
            <w:pPr>
              <w:spacing w:after="0"/>
              <w:rPr>
                <w:sz w:val="19"/>
                <w:szCs w:val="19"/>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2.2</w:t>
            </w:r>
          </w:p>
        </w:tc>
        <w:tc>
          <w:tcPr>
            <w:tcW w:w="280" w:type="dxa"/>
            <w:vAlign w:val="bottom"/>
            <w:tcBorders>
              <w:bottom w:val="single" w:sz="8" w:color="51555C"/>
            </w:tcBorders>
          </w:tcPr>
          <w:p>
            <w:pPr>
              <w:spacing w:after="0"/>
              <w:rPr>
                <w:sz w:val="19"/>
                <w:szCs w:val="19"/>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10.3</w:t>
            </w:r>
          </w:p>
        </w:tc>
      </w:tr>
      <w:tr>
        <w:trPr>
          <w:trHeight w:val="223"/>
        </w:trPr>
        <w:tc>
          <w:tcPr>
            <w:tcW w:w="848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280" w:type="dxa"/>
            <w:vAlign w:val="bottom"/>
            <w:tcBorders>
              <w:bottom w:val="single" w:sz="8" w:color="51555C"/>
            </w:tcBorders>
            <w:shd w:val="clear" w:color="auto" w:fill="EBFBFF"/>
          </w:tcPr>
          <w:p>
            <w:pPr>
              <w:spacing w:after="0"/>
              <w:rPr>
                <w:sz w:val="19"/>
                <w:szCs w:val="19"/>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57.1</w:t>
            </w:r>
          </w:p>
        </w:tc>
        <w:tc>
          <w:tcPr>
            <w:tcW w:w="280" w:type="dxa"/>
            <w:vAlign w:val="bottom"/>
            <w:tcBorders>
              <w:bottom w:val="single" w:sz="8" w:color="51555C"/>
            </w:tcBorders>
            <w:shd w:val="clear" w:color="auto" w:fill="EBFBFF"/>
          </w:tcPr>
          <w:p>
            <w:pPr>
              <w:spacing w:after="0"/>
              <w:rPr>
                <w:sz w:val="19"/>
                <w:szCs w:val="19"/>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61.7</w:t>
            </w:r>
          </w:p>
        </w:tc>
      </w:tr>
      <w:tr>
        <w:trPr>
          <w:trHeight w:val="223"/>
        </w:trPr>
        <w:tc>
          <w:tcPr>
            <w:tcW w:w="848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income from operations</w:t>
            </w:r>
            <w:r>
              <w:rPr>
                <w:rFonts w:ascii="Arial" w:cs="Arial" w:eastAsia="Arial" w:hAnsi="Arial"/>
                <w:sz w:val="18"/>
                <w:szCs w:val="18"/>
                <w:b w:val="1"/>
                <w:bCs w:val="1"/>
                <w:color w:val="51555C"/>
                <w:vertAlign w:val="superscript"/>
              </w:rPr>
              <w:t>(1)</w:t>
            </w:r>
          </w:p>
        </w:tc>
        <w:tc>
          <w:tcPr>
            <w:tcW w:w="2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77.5</w:t>
            </w:r>
          </w:p>
        </w:tc>
        <w:tc>
          <w:tcPr>
            <w:tcW w:w="2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72.4</w:t>
            </w:r>
          </w:p>
        </w:tc>
      </w:tr>
      <w:tr>
        <w:trPr>
          <w:trHeight w:val="223"/>
        </w:trPr>
        <w:tc>
          <w:tcPr>
            <w:tcW w:w="848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280" w:type="dxa"/>
            <w:vAlign w:val="bottom"/>
            <w:shd w:val="clear" w:color="auto" w:fill="EBFBFF"/>
          </w:tcPr>
          <w:p>
            <w:pPr>
              <w:spacing w:after="0"/>
              <w:rPr>
                <w:sz w:val="19"/>
                <w:szCs w:val="19"/>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28.6 %</w:t>
            </w:r>
          </w:p>
        </w:tc>
        <w:tc>
          <w:tcPr>
            <w:tcW w:w="280" w:type="dxa"/>
            <w:vAlign w:val="bottom"/>
            <w:shd w:val="clear" w:color="auto" w:fill="EBFBFF"/>
          </w:tcPr>
          <w:p>
            <w:pPr>
              <w:spacing w:after="0"/>
              <w:rPr>
                <w:sz w:val="19"/>
                <w:szCs w:val="19"/>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25.9 %</w:t>
            </w:r>
          </w:p>
        </w:tc>
      </w:tr>
      <w:tr>
        <w:trPr>
          <w:trHeight w:val="54"/>
        </w:trPr>
        <w:tc>
          <w:tcPr>
            <w:tcW w:w="8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0"/>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before provision (benefit) for income taxes</w:t>
            </w:r>
          </w:p>
        </w:tc>
        <w:tc>
          <w:tcPr>
            <w:tcW w:w="2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5.6</w:t>
            </w:r>
          </w:p>
        </w:tc>
        <w:tc>
          <w:tcPr>
            <w:tcW w:w="2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3.8</w:t>
            </w:r>
          </w:p>
        </w:tc>
      </w:tr>
      <w:tr>
        <w:trPr>
          <w:trHeight w:val="222"/>
        </w:trPr>
        <w:tc>
          <w:tcPr>
            <w:tcW w:w="8480" w:type="dxa"/>
            <w:vAlign w:val="bottom"/>
          </w:tcPr>
          <w:p>
            <w:pPr>
              <w:ind w:left="20"/>
              <w:spacing w:after="0"/>
              <w:rPr>
                <w:sz w:val="20"/>
                <w:szCs w:val="20"/>
                <w:color w:val="auto"/>
              </w:rPr>
            </w:pPr>
            <w:r>
              <w:rPr>
                <w:rFonts w:ascii="Arial" w:cs="Arial" w:eastAsia="Arial" w:hAnsi="Arial"/>
                <w:sz w:val="14"/>
                <w:szCs w:val="14"/>
                <w:b w:val="1"/>
                <w:bCs w:val="1"/>
                <w:color w:val="51555C"/>
              </w:rPr>
              <w:t>GAAP 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4.9</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5.2</w:t>
            </w:r>
          </w:p>
        </w:tc>
      </w:tr>
      <w:tr>
        <w:trPr>
          <w:trHeight w:val="217"/>
        </w:trPr>
        <w:tc>
          <w:tcPr>
            <w:tcW w:w="8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Shares used in computing GAAP diluted earnings per share</w:t>
            </w:r>
          </w:p>
        </w:tc>
        <w:tc>
          <w:tcPr>
            <w:tcW w:w="28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49,445,079</w:t>
            </w:r>
          </w:p>
        </w:tc>
        <w:tc>
          <w:tcPr>
            <w:tcW w:w="28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53,414,495</w:t>
            </w:r>
          </w:p>
        </w:tc>
      </w:tr>
      <w:tr>
        <w:trPr>
          <w:trHeight w:val="222"/>
        </w:trPr>
        <w:tc>
          <w:tcPr>
            <w:tcW w:w="8480" w:type="dxa"/>
            <w:vAlign w:val="bottom"/>
          </w:tcPr>
          <w:p>
            <w:pPr>
              <w:ind w:left="140"/>
              <w:spacing w:after="0"/>
              <w:rPr>
                <w:sz w:val="20"/>
                <w:szCs w:val="20"/>
                <w:color w:val="auto"/>
              </w:rPr>
            </w:pPr>
            <w:r>
              <w:rPr>
                <w:rFonts w:ascii="Arial" w:cs="Arial" w:eastAsia="Arial" w:hAnsi="Arial"/>
                <w:sz w:val="14"/>
                <w:szCs w:val="14"/>
                <w:b w:val="1"/>
                <w:bCs w:val="1"/>
                <w:color w:val="51555C"/>
              </w:rPr>
              <w:t>GAAP diluted earnings per share</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0.10</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0.10</w:t>
            </w:r>
          </w:p>
        </w:tc>
      </w:tr>
      <w:tr>
        <w:trPr>
          <w:trHeight w:val="237"/>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spacing w:after="0"/>
              <w:rPr>
                <w:sz w:val="20"/>
                <w:szCs w:val="20"/>
                <w:color w:val="auto"/>
              </w:rPr>
            </w:pPr>
          </w:p>
        </w:tc>
        <w:tc>
          <w:tcPr>
            <w:tcW w:w="280" w:type="dxa"/>
            <w:vAlign w:val="bottom"/>
            <w:shd w:val="clear" w:color="auto" w:fill="EBFBFF"/>
          </w:tcPr>
          <w:p>
            <w:pPr>
              <w:spacing w:after="0"/>
              <w:rPr>
                <w:sz w:val="20"/>
                <w:szCs w:val="20"/>
                <w:color w:val="auto"/>
              </w:rPr>
            </w:pPr>
          </w:p>
        </w:tc>
        <w:tc>
          <w:tcPr>
            <w:tcW w:w="1100" w:type="dxa"/>
            <w:vAlign w:val="bottom"/>
            <w:shd w:val="clear" w:color="auto" w:fill="EBFBFF"/>
          </w:tcPr>
          <w:p>
            <w:pPr>
              <w:spacing w:after="0"/>
              <w:rPr>
                <w:sz w:val="20"/>
                <w:szCs w:val="20"/>
                <w:color w:val="auto"/>
              </w:rPr>
            </w:pPr>
          </w:p>
        </w:tc>
      </w:tr>
      <w:tr>
        <w:trPr>
          <w:trHeight w:val="208"/>
        </w:trPr>
        <w:tc>
          <w:tcPr>
            <w:tcW w:w="8480" w:type="dxa"/>
            <w:vAlign w:val="bottom"/>
          </w:tcPr>
          <w:p>
            <w:pPr>
              <w:ind w:left="140"/>
              <w:spacing w:after="0"/>
              <w:rPr>
                <w:sz w:val="20"/>
                <w:szCs w:val="20"/>
                <w:color w:val="auto"/>
              </w:rPr>
            </w:pPr>
            <w:r>
              <w:rPr>
                <w:rFonts w:ascii="Arial" w:cs="Arial" w:eastAsia="Arial" w:hAnsi="Arial"/>
                <w:sz w:val="14"/>
                <w:szCs w:val="14"/>
                <w:color w:val="51555C"/>
              </w:rPr>
              <w:t>Add: GAAP income tax provision (benefit)</w:t>
            </w:r>
          </w:p>
        </w:tc>
        <w:tc>
          <w:tcPr>
            <w:tcW w:w="28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0.7</w:t>
            </w:r>
          </w:p>
        </w:tc>
        <w:tc>
          <w:tcPr>
            <w:tcW w:w="28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51555C"/>
              </w:rPr>
              <w:t>(1.5)</w:t>
            </w:r>
          </w:p>
        </w:tc>
      </w:tr>
      <w:tr>
        <w:trPr>
          <w:trHeight w:val="22"/>
        </w:trPr>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84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Total non-GAAP adjustments affecting income from operations</w:t>
            </w:r>
          </w:p>
        </w:tc>
        <w:tc>
          <w:tcPr>
            <w:tcW w:w="280" w:type="dxa"/>
            <w:vAlign w:val="bottom"/>
            <w:tcBorders>
              <w:bottom w:val="single" w:sz="8" w:color="EBFBFF"/>
            </w:tcBorders>
            <w:shd w:val="clear" w:color="auto" w:fill="EBFBFF"/>
          </w:tcPr>
          <w:p>
            <w:pPr>
              <w:spacing w:after="0"/>
              <w:rPr>
                <w:sz w:val="19"/>
                <w:szCs w:val="19"/>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57.1</w:t>
            </w:r>
          </w:p>
        </w:tc>
        <w:tc>
          <w:tcPr>
            <w:tcW w:w="280" w:type="dxa"/>
            <w:vAlign w:val="bottom"/>
            <w:tcBorders>
              <w:bottom w:val="single" w:sz="8" w:color="EBFBFF"/>
            </w:tcBorders>
            <w:shd w:val="clear" w:color="auto" w:fill="EBFBFF"/>
          </w:tcPr>
          <w:p>
            <w:pPr>
              <w:spacing w:after="0"/>
              <w:rPr>
                <w:sz w:val="19"/>
                <w:szCs w:val="19"/>
                <w:color w:val="auto"/>
              </w:rPr>
            </w:pPr>
          </w:p>
        </w:tc>
        <w:tc>
          <w:tcPr>
            <w:tcW w:w="11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61.7</w:t>
            </w:r>
          </w:p>
        </w:tc>
      </w:tr>
      <w:tr>
        <w:trPr>
          <w:trHeight w:val="215"/>
        </w:trPr>
        <w:tc>
          <w:tcPr>
            <w:tcW w:w="8480" w:type="dxa"/>
            <w:vAlign w:val="bottom"/>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280" w:type="dxa"/>
            <w:vAlign w:val="bottom"/>
            <w:tcBorders>
              <w:top w:val="single" w:sz="8" w:color="51555C"/>
            </w:tcBorders>
          </w:tcPr>
          <w:p>
            <w:pPr>
              <w:spacing w:after="0"/>
              <w:rPr>
                <w:sz w:val="18"/>
                <w:szCs w:val="18"/>
                <w:color w:val="auto"/>
              </w:rPr>
            </w:pPr>
          </w:p>
        </w:tc>
        <w:tc>
          <w:tcPr>
            <w:tcW w:w="1100" w:type="dxa"/>
            <w:vAlign w:val="bottom"/>
            <w:tcBorders>
              <w:top w:val="single" w:sz="8" w:color="51555C"/>
            </w:tcBorders>
          </w:tcPr>
          <w:p>
            <w:pPr>
              <w:jc w:val="right"/>
              <w:ind w:right="108"/>
              <w:spacing w:after="0"/>
              <w:rPr>
                <w:sz w:val="20"/>
                <w:szCs w:val="20"/>
                <w:color w:val="auto"/>
              </w:rPr>
            </w:pPr>
            <w:r>
              <w:rPr>
                <w:rFonts w:ascii="Arial" w:cs="Arial" w:eastAsia="Arial" w:hAnsi="Arial"/>
                <w:sz w:val="14"/>
                <w:szCs w:val="14"/>
                <w:color w:val="51555C"/>
              </w:rPr>
              <w:t>62.7</w:t>
            </w:r>
          </w:p>
        </w:tc>
        <w:tc>
          <w:tcPr>
            <w:tcW w:w="280" w:type="dxa"/>
            <w:vAlign w:val="bottom"/>
            <w:tcBorders>
              <w:top w:val="single" w:sz="8" w:color="51555C"/>
            </w:tcBorders>
          </w:tcPr>
          <w:p>
            <w:pPr>
              <w:spacing w:after="0"/>
              <w:rPr>
                <w:sz w:val="18"/>
                <w:szCs w:val="18"/>
                <w:color w:val="auto"/>
              </w:rPr>
            </w:pPr>
          </w:p>
        </w:tc>
        <w:tc>
          <w:tcPr>
            <w:tcW w:w="1100" w:type="dxa"/>
            <w:vAlign w:val="bottom"/>
            <w:tcBorders>
              <w:top w:val="single" w:sz="8" w:color="51555C"/>
            </w:tcBorders>
          </w:tcPr>
          <w:p>
            <w:pPr>
              <w:jc w:val="right"/>
              <w:ind w:right="108"/>
              <w:spacing w:after="0"/>
              <w:rPr>
                <w:sz w:val="20"/>
                <w:szCs w:val="20"/>
                <w:color w:val="auto"/>
              </w:rPr>
            </w:pPr>
            <w:r>
              <w:rPr>
                <w:rFonts w:ascii="Arial" w:cs="Arial" w:eastAsia="Arial" w:hAnsi="Arial"/>
                <w:sz w:val="14"/>
                <w:szCs w:val="14"/>
                <w:color w:val="51555C"/>
              </w:rPr>
              <w:t>65.5</w:t>
            </w:r>
          </w:p>
        </w:tc>
      </w:tr>
      <w:tr>
        <w:trPr>
          <w:trHeight w:val="237"/>
        </w:trPr>
        <w:tc>
          <w:tcPr>
            <w:tcW w:w="84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(4)</w:t>
            </w:r>
          </w:p>
        </w:tc>
        <w:tc>
          <w:tcPr>
            <w:tcW w:w="280" w:type="dxa"/>
            <w:vAlign w:val="bottom"/>
            <w:tcBorders>
              <w:bottom w:val="single" w:sz="8" w:color="51555C"/>
            </w:tcBorders>
            <w:shd w:val="clear" w:color="auto" w:fill="EBFBFF"/>
          </w:tcPr>
          <w:p>
            <w:pPr>
              <w:spacing w:after="0"/>
              <w:rPr>
                <w:sz w:val="20"/>
                <w:szCs w:val="20"/>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15.4</w:t>
            </w:r>
          </w:p>
        </w:tc>
        <w:tc>
          <w:tcPr>
            <w:tcW w:w="280" w:type="dxa"/>
            <w:vAlign w:val="bottom"/>
            <w:tcBorders>
              <w:bottom w:val="single" w:sz="8" w:color="51555C"/>
            </w:tcBorders>
            <w:shd w:val="clear" w:color="auto" w:fill="EBFBFF"/>
          </w:tcPr>
          <w:p>
            <w:pPr>
              <w:spacing w:after="0"/>
              <w:rPr>
                <w:sz w:val="20"/>
                <w:szCs w:val="20"/>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16.0</w:t>
            </w:r>
          </w:p>
        </w:tc>
      </w:tr>
      <w:tr>
        <w:trPr>
          <w:trHeight w:val="262"/>
        </w:trPr>
        <w:tc>
          <w:tcPr>
            <w:tcW w:w="848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net income</w:t>
            </w:r>
            <w:r>
              <w:rPr>
                <w:rFonts w:ascii="Arial" w:cs="Arial" w:eastAsia="Arial" w:hAnsi="Arial"/>
                <w:sz w:val="18"/>
                <w:szCs w:val="18"/>
                <w:b w:val="1"/>
                <w:bCs w:val="1"/>
                <w:color w:val="51555C"/>
                <w:vertAlign w:val="superscript"/>
              </w:rPr>
              <w:t>(1)</w:t>
            </w:r>
          </w:p>
        </w:tc>
        <w:tc>
          <w:tcPr>
            <w:tcW w:w="2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47.3</w:t>
            </w:r>
          </w:p>
        </w:tc>
        <w:tc>
          <w:tcPr>
            <w:tcW w:w="2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49.5</w:t>
            </w:r>
          </w:p>
        </w:tc>
      </w:tr>
      <w:tr>
        <w:trPr>
          <w:trHeight w:val="208"/>
        </w:trPr>
        <w:tc>
          <w:tcPr>
            <w:tcW w:w="8480" w:type="dxa"/>
            <w:vAlign w:val="bottom"/>
            <w:tcBorders>
              <w:top w:val="single" w:sz="8" w:color="EBFBFF"/>
            </w:tcBorders>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280" w:type="dxa"/>
            <w:vAlign w:val="bottom"/>
            <w:tcBorders>
              <w:top w:val="single" w:sz="8" w:color="EBFBFF"/>
            </w:tcBorders>
          </w:tcPr>
          <w:p>
            <w:pPr>
              <w:spacing w:after="0"/>
              <w:rPr>
                <w:sz w:val="18"/>
                <w:szCs w:val="18"/>
                <w:color w:val="auto"/>
              </w:rPr>
            </w:pPr>
          </w:p>
        </w:tc>
        <w:tc>
          <w:tcPr>
            <w:tcW w:w="1100" w:type="dxa"/>
            <w:vAlign w:val="bottom"/>
            <w:tcBorders>
              <w:top w:val="single" w:sz="8" w:color="EBFBFF"/>
            </w:tcBorders>
          </w:tcPr>
          <w:p>
            <w:pPr>
              <w:jc w:val="right"/>
              <w:ind w:right="108"/>
              <w:spacing w:after="0"/>
              <w:rPr>
                <w:sz w:val="20"/>
                <w:szCs w:val="20"/>
                <w:color w:val="auto"/>
              </w:rPr>
            </w:pPr>
            <w:r>
              <w:rPr>
                <w:rFonts w:ascii="Arial" w:cs="Arial" w:eastAsia="Arial" w:hAnsi="Arial"/>
                <w:sz w:val="14"/>
                <w:szCs w:val="14"/>
                <w:color w:val="51555C"/>
              </w:rPr>
              <w:t>49,445,079</w:t>
            </w:r>
          </w:p>
        </w:tc>
        <w:tc>
          <w:tcPr>
            <w:tcW w:w="280" w:type="dxa"/>
            <w:vAlign w:val="bottom"/>
            <w:tcBorders>
              <w:top w:val="single" w:sz="8" w:color="EBFBFF"/>
            </w:tcBorders>
          </w:tcPr>
          <w:p>
            <w:pPr>
              <w:spacing w:after="0"/>
              <w:rPr>
                <w:sz w:val="18"/>
                <w:szCs w:val="18"/>
                <w:color w:val="auto"/>
              </w:rPr>
            </w:pPr>
          </w:p>
        </w:tc>
        <w:tc>
          <w:tcPr>
            <w:tcW w:w="1100" w:type="dxa"/>
            <w:vAlign w:val="bottom"/>
            <w:tcBorders>
              <w:top w:val="single" w:sz="8" w:color="EBFBFF"/>
            </w:tcBorders>
          </w:tcPr>
          <w:p>
            <w:pPr>
              <w:jc w:val="right"/>
              <w:ind w:right="108"/>
              <w:spacing w:after="0"/>
              <w:rPr>
                <w:sz w:val="20"/>
                <w:szCs w:val="20"/>
                <w:color w:val="auto"/>
              </w:rPr>
            </w:pPr>
            <w:r>
              <w:rPr>
                <w:rFonts w:ascii="Arial" w:cs="Arial" w:eastAsia="Arial" w:hAnsi="Arial"/>
                <w:sz w:val="14"/>
                <w:szCs w:val="14"/>
                <w:color w:val="51555C"/>
              </w:rPr>
              <w:t>53,414,495</w:t>
            </w:r>
          </w:p>
        </w:tc>
      </w:tr>
      <w:tr>
        <w:trPr>
          <w:trHeight w:val="22"/>
        </w:trPr>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848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280" w:type="dxa"/>
            <w:vAlign w:val="bottom"/>
            <w:tcBorders>
              <w:bottom w:val="single" w:sz="8" w:color="0CD973"/>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0CD973"/>
            </w:tcBorders>
            <w:shd w:val="clear" w:color="auto" w:fill="EBFBFF"/>
          </w:tcPr>
          <w:p>
            <w:pPr>
              <w:jc w:val="right"/>
              <w:ind w:right="108"/>
              <w:spacing w:after="0"/>
              <w:rPr>
                <w:sz w:val="20"/>
                <w:szCs w:val="20"/>
                <w:color w:val="auto"/>
              </w:rPr>
            </w:pPr>
            <w:r>
              <w:rPr>
                <w:rFonts w:ascii="Arial" w:cs="Arial" w:eastAsia="Arial" w:hAnsi="Arial"/>
                <w:sz w:val="14"/>
                <w:szCs w:val="14"/>
                <w:color w:val="51555C"/>
              </w:rPr>
              <w:t>0.96</w:t>
            </w:r>
          </w:p>
        </w:tc>
        <w:tc>
          <w:tcPr>
            <w:tcW w:w="280" w:type="dxa"/>
            <w:vAlign w:val="bottom"/>
            <w:tcBorders>
              <w:bottom w:val="single" w:sz="8" w:color="0CD973"/>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0CD973"/>
            </w:tcBorders>
            <w:shd w:val="clear" w:color="auto" w:fill="EBFBFF"/>
          </w:tcPr>
          <w:p>
            <w:pPr>
              <w:jc w:val="right"/>
              <w:ind w:right="108"/>
              <w:spacing w:after="0"/>
              <w:rPr>
                <w:sz w:val="20"/>
                <w:szCs w:val="20"/>
                <w:color w:val="auto"/>
              </w:rPr>
            </w:pPr>
            <w:r>
              <w:rPr>
                <w:rFonts w:ascii="Arial" w:cs="Arial" w:eastAsia="Arial" w:hAnsi="Arial"/>
                <w:sz w:val="14"/>
                <w:szCs w:val="14"/>
                <w:color w:val="51555C"/>
              </w:rPr>
              <w:t>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-4893945</wp:posOffset>
            </wp:positionV>
            <wp:extent cx="17487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1"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gross profit, non-GAAP income from operations, non-GAAP income before provision for income taxes or non-GAAP net income due to rounding.</w:t>
      </w:r>
    </w:p>
    <w:p>
      <w:pPr>
        <w:spacing w:after="0" w:line="1"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Includes charges of $24.3 million incurred during the three months ended March 31, 2025 related to the release from our lease for office space in Washington, DC (which was acquired as part of our acquisition of EVERFI in December 2021).</w:t>
      </w:r>
    </w:p>
    <w:p>
      <w:pPr>
        <w:jc w:val="both"/>
        <w:ind w:left="340" w:hanging="332"/>
        <w:spacing w:after="0" w:line="259" w:lineRule="auto"/>
        <w:tabs>
          <w:tab w:leader="none" w:pos="354"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during the three months ended March 31, 2025 of $2.2 million, which included approximately $1.1 million in additional accruals of loss contingencies, and during the three months ended March 31, 2024 of $10.3 million which included approximately $7.0 million in recorded aggregate liabilities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As of March 31, 2025, we have recorded approximately $1.6 million in aggregate liabilities for loss contingencies based primarily on recent negotiations with certain plaintiffs and customers related to the Security Incident that we believe we can reasonably estimate. It is reasonably possible that our estimated or actual losses may change in the near term for those matters, but we believe that they are not reasonably likely, either separately or in the aggregate, to have a material adverse impact on our results of operations, cash flows or financial condition. There may be other Security Incident-related matters, which could, separately or in the aggregate, result in an adverse judgment, settlement, fine, penalty or other resolution, the amount, scope and timing of which we are currently unable to predict.</w:t>
      </w:r>
    </w:p>
    <w:p>
      <w:pPr>
        <w:spacing w:after="0" w:line="164" w:lineRule="exact"/>
        <w:rPr>
          <w:rFonts w:ascii="Arial" w:cs="Arial" w:eastAsia="Arial" w:hAnsi="Arial"/>
          <w:sz w:val="14"/>
          <w:szCs w:val="14"/>
          <w:color w:val="51555C"/>
        </w:rPr>
      </w:pPr>
    </w:p>
    <w:p>
      <w:pPr>
        <w:ind w:left="340" w:hanging="332"/>
        <w:spacing w:after="0"/>
        <w:tabs>
          <w:tab w:leader="none" w:pos="340"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We apply a non-GAAP effective tax rate of 24.5% when calculating non-GAAP net income and non-GAAP diluted earnings per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organic revenue growth</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209550</wp:posOffset>
            </wp:positionV>
            <wp:extent cx="65976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shd w:val="clear" w:color="auto" w:fill="004054"/>
          </w:tcPr>
          <w:p>
            <w:pPr>
              <w:spacing w:after="0"/>
              <w:rPr>
                <w:sz w:val="17"/>
                <w:szCs w:val="17"/>
                <w:color w:val="auto"/>
              </w:rPr>
            </w:pPr>
          </w:p>
        </w:tc>
        <w:tc>
          <w:tcPr>
            <w:tcW w:w="480" w:type="dxa"/>
            <w:vAlign w:val="bottom"/>
            <w:shd w:val="clear" w:color="auto" w:fill="004054"/>
          </w:tcPr>
          <w:p>
            <w:pPr>
              <w:spacing w:after="0"/>
              <w:rPr>
                <w:sz w:val="17"/>
                <w:szCs w:val="17"/>
                <w:color w:val="auto"/>
              </w:rPr>
            </w:pPr>
          </w:p>
        </w:tc>
        <w:tc>
          <w:tcPr>
            <w:tcW w:w="21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7"/>
                <w:szCs w:val="17"/>
                <w:color w:val="auto"/>
              </w:rPr>
            </w:pPr>
          </w:p>
        </w:tc>
      </w:tr>
      <w:tr>
        <w:trPr>
          <w:trHeight w:val="196"/>
        </w:trPr>
        <w:tc>
          <w:tcPr>
            <w:tcW w:w="8600" w:type="dxa"/>
            <w:vAlign w:val="bottom"/>
            <w:shd w:val="clear" w:color="auto" w:fill="004054"/>
          </w:tcPr>
          <w:p>
            <w:pPr>
              <w:spacing w:after="0"/>
              <w:rPr>
                <w:sz w:val="17"/>
                <w:szCs w:val="17"/>
                <w:color w:val="auto"/>
              </w:rPr>
            </w:pPr>
          </w:p>
        </w:tc>
        <w:tc>
          <w:tcPr>
            <w:tcW w:w="48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7"/>
                <w:szCs w:val="17"/>
                <w:color w:val="auto"/>
              </w:rPr>
            </w:pPr>
          </w:p>
        </w:tc>
      </w:tr>
      <w:tr>
        <w:trPr>
          <w:trHeight w:val="374"/>
        </w:trPr>
        <w:tc>
          <w:tcPr>
            <w:tcW w:w="86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tcBorders>
              <w:bottom w:val="single" w:sz="8" w:color="004054"/>
            </w:tcBorders>
            <w:shd w:val="clear" w:color="auto" w:fill="004054"/>
          </w:tcPr>
          <w:p>
            <w:pPr>
              <w:spacing w:after="0"/>
              <w:rPr>
                <w:sz w:val="24"/>
                <w:szCs w:val="24"/>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40" w:type="dxa"/>
            <w:vAlign w:val="bottom"/>
            <w:tcBorders>
              <w:bottom w:val="single" w:sz="8" w:color="004054"/>
            </w:tcBorders>
            <w:shd w:val="clear" w:color="auto" w:fill="004054"/>
          </w:tcPr>
          <w:p>
            <w:pPr>
              <w:spacing w:after="0"/>
              <w:rPr>
                <w:sz w:val="24"/>
                <w:szCs w:val="24"/>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4"/>
                <w:szCs w:val="24"/>
                <w:color w:val="auto"/>
              </w:rPr>
            </w:pPr>
          </w:p>
        </w:tc>
      </w:tr>
      <w:tr>
        <w:trPr>
          <w:trHeight w:val="209"/>
        </w:trPr>
        <w:tc>
          <w:tcPr>
            <w:tcW w:w="8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revenue</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270.7</w:t>
            </w:r>
          </w:p>
        </w:tc>
        <w:tc>
          <w:tcPr>
            <w:tcW w:w="340" w:type="dxa"/>
            <w:vAlign w:val="bottom"/>
            <w:tcBorders>
              <w:bottom w:val="single" w:sz="8" w:color="EBFBFF"/>
            </w:tcBorders>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279.3</w:t>
            </w:r>
          </w:p>
        </w:tc>
        <w:tc>
          <w:tcPr>
            <w:tcW w:w="20" w:type="dxa"/>
            <w:vAlign w:val="bottom"/>
          </w:tcPr>
          <w:p>
            <w:pPr>
              <w:spacing w:after="0"/>
              <w:rPr>
                <w:sz w:val="18"/>
                <w:szCs w:val="18"/>
                <w:color w:val="auto"/>
              </w:rPr>
            </w:pPr>
          </w:p>
        </w:tc>
      </w:tr>
      <w:tr>
        <w:trPr>
          <w:trHeight w:val="222"/>
        </w:trPr>
        <w:tc>
          <w:tcPr>
            <w:tcW w:w="8600" w:type="dxa"/>
            <w:vAlign w:val="bottom"/>
          </w:tcPr>
          <w:p>
            <w:pPr>
              <w:ind w:left="20"/>
              <w:spacing w:after="0"/>
              <w:rPr>
                <w:sz w:val="20"/>
                <w:szCs w:val="20"/>
                <w:color w:val="auto"/>
              </w:rPr>
            </w:pPr>
            <w:r>
              <w:rPr>
                <w:rFonts w:ascii="Arial" w:cs="Arial" w:eastAsia="Arial" w:hAnsi="Arial"/>
                <w:sz w:val="14"/>
                <w:szCs w:val="14"/>
                <w:b w:val="1"/>
                <w:bCs w:val="1"/>
                <w:color w:val="51555C"/>
              </w:rPr>
              <w:t>GAAP revenue growth</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(3.1)%</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860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Less: Non-GAAP revenue from divested businesses</w:t>
            </w:r>
            <w:r>
              <w:rPr>
                <w:rFonts w:ascii="Arial" w:cs="Arial" w:eastAsia="Arial" w:hAnsi="Arial"/>
                <w:sz w:val="18"/>
                <w:szCs w:val="18"/>
                <w:color w:val="51555C"/>
                <w:vertAlign w:val="superscript"/>
              </w:rPr>
              <w:t>(1)</w:t>
            </w:r>
          </w:p>
        </w:tc>
        <w:tc>
          <w:tcPr>
            <w:tcW w:w="480" w:type="dxa"/>
            <w:vAlign w:val="bottom"/>
            <w:tcBorders>
              <w:bottom w:val="single" w:sz="8" w:color="51555C"/>
            </w:tcBorders>
            <w:shd w:val="clear" w:color="auto" w:fill="EBFBFF"/>
          </w:tcPr>
          <w:p>
            <w:pPr>
              <w:spacing w:after="0"/>
              <w:rPr>
                <w:sz w:val="20"/>
                <w:szCs w:val="20"/>
                <w:color w:val="auto"/>
              </w:rPr>
            </w:pP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340" w:type="dxa"/>
            <w:vAlign w:val="bottom"/>
            <w:tcBorders>
              <w:bottom w:val="single" w:sz="8" w:color="51555C"/>
            </w:tcBorders>
            <w:shd w:val="clear" w:color="auto" w:fill="EBFBFF"/>
          </w:tcPr>
          <w:p>
            <w:pPr>
              <w:spacing w:after="0"/>
              <w:rPr>
                <w:sz w:val="20"/>
                <w:szCs w:val="20"/>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(23.4)</w:t>
            </w:r>
          </w:p>
        </w:tc>
        <w:tc>
          <w:tcPr>
            <w:tcW w:w="20" w:type="dxa"/>
            <w:vAlign w:val="bottom"/>
          </w:tcPr>
          <w:p>
            <w:pPr>
              <w:spacing w:after="0"/>
              <w:rPr>
                <w:sz w:val="20"/>
                <w:szCs w:val="20"/>
                <w:color w:val="auto"/>
              </w:rPr>
            </w:pPr>
          </w:p>
        </w:tc>
      </w:tr>
      <w:tr>
        <w:trPr>
          <w:trHeight w:val="223"/>
        </w:trPr>
        <w:tc>
          <w:tcPr>
            <w:tcW w:w="860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8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270.7</w:t>
            </w:r>
          </w:p>
        </w:tc>
        <w:tc>
          <w:tcPr>
            <w:tcW w:w="340" w:type="dxa"/>
            <w:vAlign w:val="bottom"/>
            <w:tcBorders>
              <w:bottom w:val="single" w:sz="8" w:color="51555C"/>
            </w:tcBorders>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255.8</w:t>
            </w:r>
          </w:p>
        </w:tc>
        <w:tc>
          <w:tcPr>
            <w:tcW w:w="20" w:type="dxa"/>
            <w:vAlign w:val="bottom"/>
          </w:tcPr>
          <w:p>
            <w:pPr>
              <w:spacing w:after="0"/>
              <w:rPr>
                <w:sz w:val="19"/>
                <w:szCs w:val="19"/>
                <w:color w:val="auto"/>
              </w:rPr>
            </w:pPr>
          </w:p>
        </w:tc>
      </w:tr>
      <w:tr>
        <w:trPr>
          <w:trHeight w:val="223"/>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revenue growth</w:t>
            </w:r>
          </w:p>
        </w:tc>
        <w:tc>
          <w:tcPr>
            <w:tcW w:w="48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5.8 %</w:t>
            </w:r>
          </w:p>
        </w:tc>
        <w:tc>
          <w:tcPr>
            <w:tcW w:w="340" w:type="dxa"/>
            <w:vAlign w:val="bottom"/>
            <w:shd w:val="clear" w:color="auto" w:fill="EBFBFF"/>
          </w:tcPr>
          <w:p>
            <w:pPr>
              <w:spacing w:after="0"/>
              <w:rPr>
                <w:sz w:val="19"/>
                <w:szCs w:val="19"/>
                <w:color w:val="auto"/>
              </w:rPr>
            </w:pPr>
          </w:p>
        </w:tc>
        <w:tc>
          <w:tcPr>
            <w:tcW w:w="92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148"/>
        </w:trPr>
        <w:tc>
          <w:tcPr>
            <w:tcW w:w="8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80" w:type="dxa"/>
            <w:vAlign w:val="bottom"/>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270.7</w:t>
            </w:r>
          </w:p>
        </w:tc>
        <w:tc>
          <w:tcPr>
            <w:tcW w:w="340" w:type="dxa"/>
            <w:vAlign w:val="bottom"/>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255.8</w:t>
            </w:r>
          </w:p>
        </w:tc>
        <w:tc>
          <w:tcPr>
            <w:tcW w:w="20" w:type="dxa"/>
            <w:vAlign w:val="bottom"/>
          </w:tcPr>
          <w:p>
            <w:pPr>
              <w:spacing w:after="0"/>
              <w:rPr>
                <w:sz w:val="19"/>
                <w:szCs w:val="19"/>
                <w:color w:val="auto"/>
              </w:rPr>
            </w:pPr>
          </w:p>
        </w:tc>
      </w:tr>
      <w:tr>
        <w:trPr>
          <w:trHeight w:val="229"/>
        </w:trPr>
        <w:tc>
          <w:tcPr>
            <w:tcW w:w="860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Foreign currency impact on Non-GAAP organic revenue</w:t>
            </w:r>
            <w:r>
              <w:rPr>
                <w:rFonts w:ascii="Arial" w:cs="Arial" w:eastAsia="Arial" w:hAnsi="Arial"/>
                <w:sz w:val="18"/>
                <w:szCs w:val="18"/>
                <w:color w:val="51555C"/>
                <w:vertAlign w:val="superscript"/>
              </w:rPr>
              <w:t>(3)</w:t>
            </w:r>
          </w:p>
        </w:tc>
        <w:tc>
          <w:tcPr>
            <w:tcW w:w="48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0.3</w:t>
            </w:r>
          </w:p>
        </w:tc>
        <w:tc>
          <w:tcPr>
            <w:tcW w:w="340" w:type="dxa"/>
            <w:vAlign w:val="bottom"/>
            <w:tcBorders>
              <w:bottom w:val="single" w:sz="8" w:color="51555C"/>
            </w:tcBorders>
          </w:tcPr>
          <w:p>
            <w:pPr>
              <w:spacing w:after="0"/>
              <w:rPr>
                <w:sz w:val="19"/>
                <w:szCs w:val="19"/>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 on constant currency basis</w:t>
            </w:r>
            <w:r>
              <w:rPr>
                <w:rFonts w:ascii="Arial" w:cs="Arial" w:eastAsia="Arial" w:hAnsi="Arial"/>
                <w:sz w:val="18"/>
                <w:szCs w:val="18"/>
                <w:color w:val="51555C"/>
                <w:vertAlign w:val="superscript"/>
              </w:rPr>
              <w:t>(3)</w:t>
            </w:r>
          </w:p>
        </w:tc>
        <w:tc>
          <w:tcPr>
            <w:tcW w:w="48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271.0</w:t>
            </w:r>
          </w:p>
        </w:tc>
        <w:tc>
          <w:tcPr>
            <w:tcW w:w="340" w:type="dxa"/>
            <w:vAlign w:val="bottom"/>
            <w:tcBorders>
              <w:bottom w:val="single" w:sz="8" w:color="51555C"/>
            </w:tcBorders>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255.8</w:t>
            </w:r>
          </w:p>
        </w:tc>
        <w:tc>
          <w:tcPr>
            <w:tcW w:w="20" w:type="dxa"/>
            <w:vAlign w:val="bottom"/>
          </w:tcPr>
          <w:p>
            <w:pPr>
              <w:spacing w:after="0"/>
              <w:rPr>
                <w:sz w:val="19"/>
                <w:szCs w:val="19"/>
                <w:color w:val="auto"/>
              </w:rPr>
            </w:pPr>
          </w:p>
        </w:tc>
      </w:tr>
      <w:tr>
        <w:trPr>
          <w:trHeight w:val="215"/>
        </w:trPr>
        <w:tc>
          <w:tcPr>
            <w:tcW w:w="860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revenue growth on constant currency basis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5.9 %</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8600" w:type="dxa"/>
            <w:vAlign w:val="bottom"/>
            <w:shd w:val="clear" w:color="auto" w:fill="EBFBFF"/>
          </w:tcPr>
          <w:p>
            <w:pPr>
              <w:spacing w:after="0"/>
              <w:rPr>
                <w:sz w:val="13"/>
                <w:szCs w:val="13"/>
                <w:color w:val="auto"/>
              </w:rPr>
            </w:pPr>
          </w:p>
        </w:tc>
        <w:tc>
          <w:tcPr>
            <w:tcW w:w="48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340" w:type="dxa"/>
            <w:vAlign w:val="bottom"/>
            <w:shd w:val="clear" w:color="auto" w:fill="EBFBFF"/>
          </w:tcPr>
          <w:p>
            <w:pPr>
              <w:spacing w:after="0"/>
              <w:rPr>
                <w:sz w:val="13"/>
                <w:szCs w:val="13"/>
                <w:color w:val="auto"/>
              </w:rPr>
            </w:pPr>
          </w:p>
        </w:tc>
        <w:tc>
          <w:tcPr>
            <w:tcW w:w="920" w:type="dxa"/>
            <w:vAlign w:val="bottom"/>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208"/>
        </w:trPr>
        <w:tc>
          <w:tcPr>
            <w:tcW w:w="8600" w:type="dxa"/>
            <w:vAlign w:val="bottom"/>
          </w:tcPr>
          <w:p>
            <w:pPr>
              <w:ind w:left="20"/>
              <w:spacing w:after="0"/>
              <w:rPr>
                <w:sz w:val="20"/>
                <w:szCs w:val="20"/>
                <w:color w:val="auto"/>
              </w:rPr>
            </w:pPr>
            <w:r>
              <w:rPr>
                <w:rFonts w:ascii="Arial" w:cs="Arial" w:eastAsia="Arial" w:hAnsi="Arial"/>
                <w:sz w:val="14"/>
                <w:szCs w:val="14"/>
                <w:color w:val="51555C"/>
              </w:rPr>
              <w:t>GAAP recurring revenue</w:t>
            </w:r>
          </w:p>
        </w:tc>
        <w:tc>
          <w:tcPr>
            <w:tcW w:w="480" w:type="dxa"/>
            <w:vAlign w:val="bottom"/>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264.1</w:t>
            </w:r>
          </w:p>
        </w:tc>
        <w:tc>
          <w:tcPr>
            <w:tcW w:w="340" w:type="dxa"/>
            <w:vAlign w:val="bottom"/>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Pr>
          <w:p>
            <w:pPr>
              <w:jc w:val="right"/>
              <w:spacing w:after="0"/>
              <w:rPr>
                <w:sz w:val="20"/>
                <w:szCs w:val="20"/>
                <w:color w:val="auto"/>
              </w:rPr>
            </w:pPr>
            <w:r>
              <w:rPr>
                <w:rFonts w:ascii="Arial" w:cs="Arial" w:eastAsia="Arial" w:hAnsi="Arial"/>
                <w:sz w:val="14"/>
                <w:szCs w:val="14"/>
                <w:color w:val="51555C"/>
              </w:rPr>
              <w:t>271.5</w:t>
            </w:r>
          </w:p>
        </w:tc>
        <w:tc>
          <w:tcPr>
            <w:tcW w:w="2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recurring revenue growth</w:t>
            </w:r>
          </w:p>
        </w:tc>
        <w:tc>
          <w:tcPr>
            <w:tcW w:w="48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(2.8)%</w:t>
            </w:r>
          </w:p>
        </w:tc>
        <w:tc>
          <w:tcPr>
            <w:tcW w:w="340" w:type="dxa"/>
            <w:vAlign w:val="bottom"/>
            <w:shd w:val="clear" w:color="auto" w:fill="EBFBFF"/>
          </w:tcPr>
          <w:p>
            <w:pPr>
              <w:spacing w:after="0"/>
              <w:rPr>
                <w:sz w:val="19"/>
                <w:szCs w:val="19"/>
                <w:color w:val="auto"/>
              </w:rPr>
            </w:pPr>
          </w:p>
        </w:tc>
        <w:tc>
          <w:tcPr>
            <w:tcW w:w="92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60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Less: Non-GAAP recurring revenue from divested businesses</w:t>
            </w:r>
            <w:r>
              <w:rPr>
                <w:rFonts w:ascii="Arial" w:cs="Arial" w:eastAsia="Arial" w:hAnsi="Arial"/>
                <w:sz w:val="18"/>
                <w:szCs w:val="18"/>
                <w:color w:val="51555C"/>
                <w:vertAlign w:val="superscript"/>
              </w:rPr>
              <w:t>(1)</w:t>
            </w:r>
          </w:p>
        </w:tc>
        <w:tc>
          <w:tcPr>
            <w:tcW w:w="48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340" w:type="dxa"/>
            <w:vAlign w:val="bottom"/>
            <w:tcBorders>
              <w:bottom w:val="single" w:sz="8" w:color="51555C"/>
            </w:tcBorders>
          </w:tcPr>
          <w:p>
            <w:pPr>
              <w:spacing w:after="0"/>
              <w:rPr>
                <w:sz w:val="19"/>
                <w:szCs w:val="19"/>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(22.1)</w:t>
            </w:r>
          </w:p>
        </w:tc>
        <w:tc>
          <w:tcPr>
            <w:tcW w:w="20" w:type="dxa"/>
            <w:vAlign w:val="bottom"/>
          </w:tcPr>
          <w:p>
            <w:pPr>
              <w:spacing w:after="0"/>
              <w:rPr>
                <w:sz w:val="19"/>
                <w:szCs w:val="19"/>
                <w:color w:val="auto"/>
              </w:rPr>
            </w:pPr>
          </w:p>
        </w:tc>
      </w:tr>
      <w:tr>
        <w:trPr>
          <w:trHeight w:val="223"/>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8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264.1</w:t>
            </w:r>
          </w:p>
        </w:tc>
        <w:tc>
          <w:tcPr>
            <w:tcW w:w="340" w:type="dxa"/>
            <w:vAlign w:val="bottom"/>
            <w:tcBorders>
              <w:bottom w:val="single" w:sz="8" w:color="51555C"/>
            </w:tcBorders>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249.5</w:t>
            </w:r>
          </w:p>
        </w:tc>
        <w:tc>
          <w:tcPr>
            <w:tcW w:w="20" w:type="dxa"/>
            <w:vAlign w:val="bottom"/>
          </w:tcPr>
          <w:p>
            <w:pPr>
              <w:spacing w:after="0"/>
              <w:rPr>
                <w:sz w:val="19"/>
                <w:szCs w:val="19"/>
                <w:color w:val="auto"/>
              </w:rPr>
            </w:pPr>
          </w:p>
        </w:tc>
      </w:tr>
      <w:tr>
        <w:trPr>
          <w:trHeight w:val="215"/>
        </w:trPr>
        <w:tc>
          <w:tcPr>
            <w:tcW w:w="860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recurring revenue growth</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5.8 %</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8600" w:type="dxa"/>
            <w:vAlign w:val="bottom"/>
            <w:shd w:val="clear" w:color="auto" w:fill="EBFBFF"/>
          </w:tcPr>
          <w:p>
            <w:pPr>
              <w:spacing w:after="0"/>
              <w:rPr>
                <w:sz w:val="13"/>
                <w:szCs w:val="13"/>
                <w:color w:val="auto"/>
              </w:rPr>
            </w:pPr>
          </w:p>
        </w:tc>
        <w:tc>
          <w:tcPr>
            <w:tcW w:w="48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340" w:type="dxa"/>
            <w:vAlign w:val="bottom"/>
            <w:shd w:val="clear" w:color="auto" w:fill="EBFBFF"/>
          </w:tcPr>
          <w:p>
            <w:pPr>
              <w:spacing w:after="0"/>
              <w:rPr>
                <w:sz w:val="13"/>
                <w:szCs w:val="13"/>
                <w:color w:val="auto"/>
              </w:rPr>
            </w:pPr>
          </w:p>
        </w:tc>
        <w:tc>
          <w:tcPr>
            <w:tcW w:w="920" w:type="dxa"/>
            <w:vAlign w:val="bottom"/>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80" w:type="dxa"/>
            <w:vAlign w:val="bottom"/>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264.1</w:t>
            </w:r>
          </w:p>
        </w:tc>
        <w:tc>
          <w:tcPr>
            <w:tcW w:w="340" w:type="dxa"/>
            <w:vAlign w:val="bottom"/>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Pr>
          <w:p>
            <w:pPr>
              <w:jc w:val="right"/>
              <w:spacing w:after="0"/>
              <w:rPr>
                <w:sz w:val="20"/>
                <w:szCs w:val="20"/>
                <w:color w:val="auto"/>
              </w:rPr>
            </w:pPr>
            <w:r>
              <w:rPr>
                <w:rFonts w:ascii="Arial" w:cs="Arial" w:eastAsia="Arial" w:hAnsi="Arial"/>
                <w:sz w:val="14"/>
                <w:szCs w:val="14"/>
                <w:color w:val="51555C"/>
              </w:rPr>
              <w:t>249.5</w:t>
            </w:r>
          </w:p>
        </w:tc>
        <w:tc>
          <w:tcPr>
            <w:tcW w:w="20" w:type="dxa"/>
            <w:vAlign w:val="bottom"/>
          </w:tcPr>
          <w:p>
            <w:pPr>
              <w:spacing w:after="0"/>
              <w:rPr>
                <w:sz w:val="19"/>
                <w:szCs w:val="19"/>
                <w:color w:val="auto"/>
              </w:rPr>
            </w:pPr>
          </w:p>
        </w:tc>
      </w:tr>
      <w:tr>
        <w:trPr>
          <w:trHeight w:val="230"/>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Foreign currency impact on non-GAAP organic recurring revenue</w:t>
            </w:r>
            <w:r>
              <w:rPr>
                <w:rFonts w:ascii="Arial" w:cs="Arial" w:eastAsia="Arial" w:hAnsi="Arial"/>
                <w:sz w:val="18"/>
                <w:szCs w:val="18"/>
                <w:color w:val="51555C"/>
                <w:vertAlign w:val="superscript"/>
              </w:rPr>
              <w:t>(3)</w:t>
            </w:r>
          </w:p>
        </w:tc>
        <w:tc>
          <w:tcPr>
            <w:tcW w:w="48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0.3</w:t>
            </w:r>
          </w:p>
        </w:tc>
        <w:tc>
          <w:tcPr>
            <w:tcW w:w="34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860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organic recurring revenue on constant currency basis</w:t>
            </w:r>
            <w:r>
              <w:rPr>
                <w:rFonts w:ascii="Arial" w:cs="Arial" w:eastAsia="Arial" w:hAnsi="Arial"/>
                <w:sz w:val="18"/>
                <w:szCs w:val="18"/>
                <w:color w:val="51555C"/>
                <w:vertAlign w:val="superscript"/>
              </w:rPr>
              <w:t>(3)</w:t>
            </w:r>
          </w:p>
        </w:tc>
        <w:tc>
          <w:tcPr>
            <w:tcW w:w="48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264.3</w:t>
            </w:r>
          </w:p>
        </w:tc>
        <w:tc>
          <w:tcPr>
            <w:tcW w:w="340" w:type="dxa"/>
            <w:vAlign w:val="bottom"/>
            <w:tcBorders>
              <w:bottom w:val="single" w:sz="8" w:color="51555C"/>
            </w:tcBorders>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249.5</w:t>
            </w:r>
          </w:p>
        </w:tc>
        <w:tc>
          <w:tcPr>
            <w:tcW w:w="20" w:type="dxa"/>
            <w:vAlign w:val="bottom"/>
          </w:tcPr>
          <w:p>
            <w:pPr>
              <w:spacing w:after="0"/>
              <w:rPr>
                <w:sz w:val="19"/>
                <w:szCs w:val="19"/>
                <w:color w:val="auto"/>
              </w:rPr>
            </w:pPr>
          </w:p>
        </w:tc>
      </w:tr>
      <w:tr>
        <w:trPr>
          <w:trHeight w:val="217"/>
        </w:trPr>
        <w:tc>
          <w:tcPr>
            <w:tcW w:w="86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recurring revenue growth on constant currency basis</w:t>
            </w:r>
          </w:p>
        </w:tc>
        <w:tc>
          <w:tcPr>
            <w:tcW w:w="480" w:type="dxa"/>
            <w:vAlign w:val="bottom"/>
            <w:tcBorders>
              <w:bottom w:val="single" w:sz="8" w:color="0CD973"/>
            </w:tcBorders>
            <w:shd w:val="clear" w:color="auto" w:fill="EBFBFF"/>
          </w:tcPr>
          <w:p>
            <w:pPr>
              <w:spacing w:after="0"/>
              <w:rPr>
                <w:sz w:val="18"/>
                <w:szCs w:val="18"/>
                <w:color w:val="auto"/>
              </w:rPr>
            </w:pPr>
          </w:p>
        </w:tc>
        <w:tc>
          <w:tcPr>
            <w:tcW w:w="9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6.0 %</w:t>
            </w:r>
          </w:p>
        </w:tc>
        <w:tc>
          <w:tcPr>
            <w:tcW w:w="340" w:type="dxa"/>
            <w:vAlign w:val="bottom"/>
            <w:tcBorders>
              <w:bottom w:val="single" w:sz="8" w:color="0CD973"/>
            </w:tcBorders>
            <w:shd w:val="clear" w:color="auto" w:fill="EBFBFF"/>
          </w:tcPr>
          <w:p>
            <w:pPr>
              <w:spacing w:after="0"/>
              <w:rPr>
                <w:sz w:val="18"/>
                <w:szCs w:val="18"/>
                <w:color w:val="auto"/>
              </w:rPr>
            </w:pPr>
          </w:p>
        </w:tc>
        <w:tc>
          <w:tcPr>
            <w:tcW w:w="920" w:type="dxa"/>
            <w:vAlign w:val="bottom"/>
            <w:tcBorders>
              <w:bottom w:val="single" w:sz="8" w:color="0CD973"/>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-3222625</wp:posOffset>
            </wp:positionV>
            <wp:extent cx="16802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2" w:lineRule="exact"/>
        <w:rPr>
          <w:sz w:val="20"/>
          <w:szCs w:val="20"/>
          <w:color w:val="auto"/>
        </w:rPr>
      </w:pPr>
    </w:p>
    <w:p>
      <w:pPr>
        <w:ind w:left="340" w:right="40" w:hanging="332"/>
        <w:spacing w:after="0" w:line="261"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62"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302"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651510" cy="1714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Rule of 40</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acquisition and disposition-related costs; restructuring and other real estate activities; Security Incident-related costs; and impairment of capitalized software development costs.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21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96"/>
        </w:trPr>
        <w:tc>
          <w:tcPr>
            <w:tcW w:w="860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52"/>
        </w:trPr>
        <w:tc>
          <w:tcPr>
            <w:tcW w:w="86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520" w:type="dxa"/>
            <w:vAlign w:val="bottom"/>
            <w:tcBorders>
              <w:bottom w:val="single" w:sz="8" w:color="004054"/>
            </w:tcBorders>
            <w:shd w:val="clear" w:color="auto" w:fill="004054"/>
          </w:tcPr>
          <w:p>
            <w:pPr>
              <w:spacing w:after="0"/>
              <w:rPr>
                <w:sz w:val="21"/>
                <w:szCs w:val="21"/>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40" w:type="dxa"/>
            <w:vAlign w:val="bottom"/>
            <w:tcBorders>
              <w:bottom w:val="single" w:sz="8" w:color="004054"/>
            </w:tcBorders>
            <w:shd w:val="clear" w:color="auto" w:fill="004054"/>
          </w:tcPr>
          <w:p>
            <w:pPr>
              <w:spacing w:after="0"/>
              <w:rPr>
                <w:sz w:val="21"/>
                <w:szCs w:val="21"/>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10"/>
        </w:trPr>
        <w:tc>
          <w:tcPr>
            <w:tcW w:w="8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net income</w:t>
            </w:r>
          </w:p>
        </w:tc>
        <w:tc>
          <w:tcPr>
            <w:tcW w:w="520" w:type="dxa"/>
            <w:vAlign w:val="bottom"/>
            <w:tcBorders>
              <w:bottom w:val="single" w:sz="8" w:color="EBFBFF"/>
            </w:tcBorders>
            <w:shd w:val="clear" w:color="auto" w:fill="EBFBFF"/>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4.9</w:t>
            </w:r>
          </w:p>
        </w:tc>
        <w:tc>
          <w:tcPr>
            <w:tcW w:w="340" w:type="dxa"/>
            <w:vAlign w:val="bottom"/>
            <w:tcBorders>
              <w:bottom w:val="single" w:sz="8" w:color="EBFBFF"/>
            </w:tcBorders>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5.2</w:t>
            </w:r>
          </w:p>
        </w:tc>
      </w:tr>
      <w:tr>
        <w:trPr>
          <w:trHeight w:val="208"/>
        </w:trPr>
        <w:tc>
          <w:tcPr>
            <w:tcW w:w="860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
        </w:trPr>
        <w:tc>
          <w:tcPr>
            <w:tcW w:w="8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86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Interest, net</w:t>
            </w:r>
          </w:p>
        </w:tc>
        <w:tc>
          <w:tcPr>
            <w:tcW w:w="52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15.3</w:t>
            </w:r>
          </w:p>
        </w:tc>
        <w:tc>
          <w:tcPr>
            <w:tcW w:w="34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8.2</w:t>
            </w:r>
          </w:p>
        </w:tc>
      </w:tr>
      <w:tr>
        <w:trPr>
          <w:trHeight w:val="208"/>
        </w:trPr>
        <w:tc>
          <w:tcPr>
            <w:tcW w:w="8600" w:type="dxa"/>
            <w:vAlign w:val="bottom"/>
          </w:tcPr>
          <w:p>
            <w:pPr>
              <w:ind w:left="140"/>
              <w:spacing w:after="0"/>
              <w:rPr>
                <w:sz w:val="20"/>
                <w:szCs w:val="20"/>
                <w:color w:val="auto"/>
              </w:rPr>
            </w:pPr>
            <w:r>
              <w:rPr>
                <w:rFonts w:ascii="Arial" w:cs="Arial" w:eastAsia="Arial" w:hAnsi="Arial"/>
                <w:sz w:val="14"/>
                <w:szCs w:val="14"/>
                <w:color w:val="51555C"/>
              </w:rPr>
              <w:t>Add: GAAP income tax provision (benefit)</w:t>
            </w:r>
          </w:p>
        </w:tc>
        <w:tc>
          <w:tcPr>
            <w:tcW w:w="52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0.7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(1.5)</w:t>
            </w:r>
          </w:p>
        </w:tc>
      </w:tr>
      <w:tr>
        <w:trPr>
          <w:trHeight w:val="22"/>
        </w:trPr>
        <w:tc>
          <w:tcPr>
            <w:tcW w:w="8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86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Depreciation</w:t>
            </w:r>
          </w:p>
        </w:tc>
        <w:tc>
          <w:tcPr>
            <w:tcW w:w="52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3.0</w:t>
            </w:r>
          </w:p>
        </w:tc>
        <w:tc>
          <w:tcPr>
            <w:tcW w:w="34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3.1</w:t>
            </w:r>
          </w:p>
        </w:tc>
      </w:tr>
      <w:tr>
        <w:trPr>
          <w:trHeight w:val="208"/>
        </w:trPr>
        <w:tc>
          <w:tcPr>
            <w:tcW w:w="860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52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7.6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15.6</w:t>
            </w:r>
          </w:p>
        </w:tc>
      </w:tr>
      <w:tr>
        <w:trPr>
          <w:trHeight w:val="22"/>
        </w:trPr>
        <w:tc>
          <w:tcPr>
            <w:tcW w:w="8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860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software development costs</w:t>
            </w:r>
            <w:r>
              <w:rPr>
                <w:rFonts w:ascii="Arial" w:cs="Arial" w:eastAsia="Arial" w:hAnsi="Arial"/>
                <w:sz w:val="18"/>
                <w:szCs w:val="18"/>
                <w:color w:val="51555C"/>
                <w:vertAlign w:val="superscript"/>
              </w:rPr>
              <w:t>(1)</w:t>
            </w:r>
          </w:p>
        </w:tc>
        <w:tc>
          <w:tcPr>
            <w:tcW w:w="52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11.9</w:t>
            </w:r>
          </w:p>
        </w:tc>
        <w:tc>
          <w:tcPr>
            <w:tcW w:w="34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12.1</w:t>
            </w:r>
          </w:p>
        </w:tc>
      </w:tr>
      <w:tr>
        <w:trPr>
          <w:trHeight w:val="223"/>
        </w:trPr>
        <w:tc>
          <w:tcPr>
            <w:tcW w:w="860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52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38.4</w:t>
            </w:r>
          </w:p>
        </w:tc>
        <w:tc>
          <w:tcPr>
            <w:tcW w:w="340" w:type="dxa"/>
            <w:vAlign w:val="bottom"/>
            <w:tcBorders>
              <w:bottom w:val="single" w:sz="8" w:color="51555C"/>
            </w:tcBorders>
          </w:tcPr>
          <w:p>
            <w:pPr>
              <w:spacing w:after="0"/>
              <w:rPr>
                <w:sz w:val="19"/>
                <w:szCs w:val="19"/>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37.5</w:t>
            </w:r>
          </w:p>
        </w:tc>
      </w:tr>
      <w:tr>
        <w:trPr>
          <w:trHeight w:val="223"/>
        </w:trPr>
        <w:tc>
          <w:tcPr>
            <w:tcW w:w="86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EBITDA</w:t>
            </w:r>
            <w:r>
              <w:rPr>
                <w:rFonts w:ascii="Arial" w:cs="Arial" w:eastAsia="Arial" w:hAnsi="Arial"/>
                <w:sz w:val="18"/>
                <w:szCs w:val="18"/>
                <w:color w:val="51555C"/>
                <w:vertAlign w:val="superscript"/>
              </w:rPr>
              <w:t>(2)</w:t>
            </w:r>
          </w:p>
        </w:tc>
        <w:tc>
          <w:tcPr>
            <w:tcW w:w="520" w:type="dxa"/>
            <w:vAlign w:val="bottom"/>
            <w:tcBorders>
              <w:bottom w:val="single" w:sz="8" w:color="51555C"/>
            </w:tcBorders>
            <w:shd w:val="clear" w:color="auto" w:fill="EBFBFF"/>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43.3</w:t>
            </w:r>
          </w:p>
        </w:tc>
        <w:tc>
          <w:tcPr>
            <w:tcW w:w="340" w:type="dxa"/>
            <w:vAlign w:val="bottom"/>
            <w:tcBorders>
              <w:bottom w:val="single" w:sz="8" w:color="51555C"/>
            </w:tcBorders>
            <w:shd w:val="clear" w:color="auto" w:fill="EBFBFF"/>
          </w:tcPr>
          <w:p>
            <w:pPr>
              <w:jc w:val="right"/>
              <w:ind w:right="16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42.8</w:t>
            </w:r>
          </w:p>
        </w:tc>
      </w:tr>
      <w:tr>
        <w:trPr>
          <w:trHeight w:val="223"/>
        </w:trPr>
        <w:tc>
          <w:tcPr>
            <w:tcW w:w="8600" w:type="dxa"/>
            <w:vAlign w:val="bottom"/>
          </w:tcPr>
          <w:p>
            <w:pPr>
              <w:ind w:left="140"/>
              <w:spacing w:after="0"/>
              <w:rPr>
                <w:sz w:val="20"/>
                <w:szCs w:val="20"/>
                <w:color w:val="auto"/>
              </w:rPr>
            </w:pPr>
            <w:r>
              <w:rPr>
                <w:rFonts w:ascii="Arial" w:cs="Arial" w:eastAsia="Arial" w:hAnsi="Arial"/>
                <w:sz w:val="14"/>
                <w:szCs w:val="14"/>
                <w:color w:val="51555C"/>
              </w:rPr>
              <w:t>Non-GAAP EBITDA margin</w:t>
            </w:r>
            <w:r>
              <w:rPr>
                <w:rFonts w:ascii="Arial" w:cs="Arial" w:eastAsia="Arial" w:hAnsi="Arial"/>
                <w:sz w:val="18"/>
                <w:szCs w:val="18"/>
                <w:color w:val="51555C"/>
                <w:vertAlign w:val="superscript"/>
              </w:rPr>
              <w:t>(3)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51555C"/>
              </w:rPr>
              <w:t>16.0 %</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48"/>
        </w:trPr>
        <w:tc>
          <w:tcPr>
            <w:tcW w:w="8600" w:type="dxa"/>
            <w:vAlign w:val="bottom"/>
            <w:shd w:val="clear" w:color="auto" w:fill="EBFBFF"/>
          </w:tcPr>
          <w:p>
            <w:pPr>
              <w:spacing w:after="0"/>
              <w:rPr>
                <w:sz w:val="12"/>
                <w:szCs w:val="12"/>
                <w:color w:val="auto"/>
              </w:rPr>
            </w:pPr>
          </w:p>
        </w:tc>
        <w:tc>
          <w:tcPr>
            <w:tcW w:w="52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340" w:type="dxa"/>
            <w:vAlign w:val="bottom"/>
            <w:shd w:val="clear" w:color="auto" w:fill="EBFBFF"/>
          </w:tcPr>
          <w:p>
            <w:pPr>
              <w:spacing w:after="0"/>
              <w:rPr>
                <w:sz w:val="12"/>
                <w:szCs w:val="12"/>
                <w:color w:val="auto"/>
              </w:rPr>
            </w:pPr>
          </w:p>
        </w:tc>
        <w:tc>
          <w:tcPr>
            <w:tcW w:w="920" w:type="dxa"/>
            <w:vAlign w:val="bottom"/>
            <w:shd w:val="clear" w:color="auto" w:fill="EBFB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-1739900</wp:posOffset>
            </wp:positionV>
            <wp:extent cx="16719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51555C"/>
        </w:rPr>
        <w:t>Add: Stock-based compensation expense</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51555C"/>
        </w:rPr>
        <w:t>Add: Acquisition and disposition-related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51555C"/>
        </w:rPr>
        <w:t>Add: Security Incident-related costs</w:t>
      </w:r>
      <w:r>
        <w:rPr>
          <w:rFonts w:ascii="Arial" w:cs="Arial" w:eastAsia="Arial" w:hAnsi="Arial"/>
          <w:sz w:val="18"/>
          <w:szCs w:val="18"/>
          <w:color w:val="51555C"/>
          <w:vertAlign w:val="superscript"/>
        </w:rPr>
        <w:t>(4)</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Non-GAAP adjusted EBITDA</w:t>
      </w:r>
      <w:r>
        <w:rPr>
          <w:rFonts w:ascii="Arial" w:cs="Arial" w:eastAsia="Arial" w:hAnsi="Arial"/>
          <w:sz w:val="18"/>
          <w:szCs w:val="18"/>
          <w:color w:val="51555C"/>
          <w:vertAlign w:val="superscript"/>
        </w:rPr>
        <w:t>(2)</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51555C"/>
        </w:rPr>
        <w:t>Non-GAAP adjusted EBITDA margin</w:t>
      </w:r>
      <w:r>
        <w:rPr>
          <w:rFonts w:ascii="Arial" w:cs="Arial" w:eastAsia="Arial" w:hAnsi="Arial"/>
          <w:sz w:val="18"/>
          <w:szCs w:val="18"/>
          <w:b w:val="1"/>
          <w:bCs w:val="1"/>
          <w:color w:val="51555C"/>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03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Rule of 40</w:t>
      </w:r>
      <w:r>
        <w:rPr>
          <w:rFonts w:ascii="Arial" w:cs="Arial" w:eastAsia="Arial" w:hAnsi="Arial"/>
          <w:sz w:val="18"/>
          <w:szCs w:val="18"/>
          <w:b w:val="1"/>
          <w:bCs w:val="1"/>
          <w:color w:val="51555C"/>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22.2</w:t>
            </w:r>
          </w:p>
        </w:tc>
        <w:tc>
          <w:tcPr>
            <w:tcW w:w="500" w:type="dxa"/>
            <w:vAlign w:val="bottom"/>
          </w:tcPr>
          <w:p>
            <w:pPr>
              <w:jc w:val="right"/>
              <w:ind w:right="328"/>
              <w:spacing w:after="0"/>
              <w:rPr>
                <w:sz w:val="20"/>
                <w:szCs w:val="20"/>
                <w:color w:val="auto"/>
              </w:rPr>
            </w:pPr>
            <w:r>
              <w:rPr>
                <w:rFonts w:ascii="Arial" w:cs="Arial" w:eastAsia="Arial" w:hAnsi="Arial"/>
                <w:sz w:val="14"/>
                <w:szCs w:val="14"/>
                <w:color w:val="51555C"/>
              </w:rPr>
              <w:t>$</w:t>
            </w:r>
          </w:p>
        </w:tc>
        <w:tc>
          <w:tcPr>
            <w:tcW w:w="760" w:type="dxa"/>
            <w:vAlign w:val="bottom"/>
          </w:tcPr>
          <w:p>
            <w:pPr>
              <w:jc w:val="right"/>
              <w:spacing w:after="0"/>
              <w:rPr>
                <w:sz w:val="20"/>
                <w:szCs w:val="20"/>
                <w:color w:val="auto"/>
              </w:rPr>
            </w:pPr>
            <w:r>
              <w:rPr>
                <w:rFonts w:ascii="Arial" w:cs="Arial" w:eastAsia="Arial" w:hAnsi="Arial"/>
                <w:sz w:val="14"/>
                <w:szCs w:val="14"/>
                <w:color w:val="51555C"/>
              </w:rPr>
              <w:t>33.6</w:t>
            </w:r>
          </w:p>
        </w:tc>
      </w:tr>
      <w:tr>
        <w:trPr>
          <w:trHeight w:val="230"/>
        </w:trPr>
        <w:tc>
          <w:tcPr>
            <w:tcW w:w="520" w:type="dxa"/>
            <w:vAlign w:val="bottom"/>
          </w:tcPr>
          <w:p>
            <w:pPr>
              <w:spacing w:after="0"/>
              <w:rPr>
                <w:sz w:val="19"/>
                <w:szCs w:val="19"/>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25.1</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230"/>
        </w:trPr>
        <w:tc>
          <w:tcPr>
            <w:tcW w:w="520" w:type="dxa"/>
            <w:vAlign w:val="bottom"/>
          </w:tcPr>
          <w:p>
            <w:pPr>
              <w:spacing w:after="0"/>
              <w:rPr>
                <w:sz w:val="19"/>
                <w:szCs w:val="19"/>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2.2</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51555C"/>
              </w:rPr>
              <w:t>10.3</w:t>
            </w:r>
          </w:p>
        </w:tc>
      </w:tr>
      <w:tr>
        <w:trPr>
          <w:trHeight w:val="22"/>
        </w:trPr>
        <w:tc>
          <w:tcPr>
            <w:tcW w:w="52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500" w:type="dxa"/>
            <w:vAlign w:val="bottom"/>
            <w:tcBorders>
              <w:bottom w:val="single" w:sz="8" w:color="51555C"/>
            </w:tcBorders>
          </w:tcPr>
          <w:p>
            <w:pPr>
              <w:spacing w:after="0" w:line="20" w:lineRule="exact"/>
              <w:rPr>
                <w:sz w:val="1"/>
                <w:szCs w:val="1"/>
                <w:color w:val="auto"/>
              </w:rPr>
            </w:pPr>
          </w:p>
        </w:tc>
        <w:tc>
          <w:tcPr>
            <w:tcW w:w="760" w:type="dxa"/>
            <w:vAlign w:val="bottom"/>
            <w:tcBorders>
              <w:bottom w:val="single" w:sz="8" w:color="51555C"/>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49.5</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51555C"/>
              </w:rPr>
              <w:t>46.1</w:t>
            </w:r>
          </w:p>
        </w:tc>
      </w:tr>
      <w:tr>
        <w:trPr>
          <w:trHeight w:val="22"/>
        </w:trPr>
        <w:tc>
          <w:tcPr>
            <w:tcW w:w="52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500" w:type="dxa"/>
            <w:vAlign w:val="bottom"/>
            <w:tcBorders>
              <w:bottom w:val="single" w:sz="8" w:color="51555C"/>
            </w:tcBorders>
          </w:tcPr>
          <w:p>
            <w:pPr>
              <w:spacing w:after="0" w:line="20" w:lineRule="exact"/>
              <w:rPr>
                <w:sz w:val="1"/>
                <w:szCs w:val="1"/>
                <w:color w:val="auto"/>
              </w:rPr>
            </w:pPr>
          </w:p>
        </w:tc>
        <w:tc>
          <w:tcPr>
            <w:tcW w:w="760" w:type="dxa"/>
            <w:vAlign w:val="bottom"/>
            <w:tcBorders>
              <w:bottom w:val="single" w:sz="8" w:color="51555C"/>
            </w:tcBorders>
          </w:tcPr>
          <w:p>
            <w:pPr>
              <w:spacing w:after="0" w:line="20" w:lineRule="exact"/>
              <w:rPr>
                <w:sz w:val="1"/>
                <w:szCs w:val="1"/>
                <w:color w:val="auto"/>
              </w:rPr>
            </w:pPr>
          </w:p>
        </w:tc>
      </w:tr>
      <w:tr>
        <w:trPr>
          <w:trHeight w:val="201"/>
        </w:trPr>
        <w:tc>
          <w:tcPr>
            <w:tcW w:w="520" w:type="dxa"/>
            <w:vAlign w:val="bottom"/>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92.8</w:t>
            </w:r>
          </w:p>
        </w:tc>
        <w:tc>
          <w:tcPr>
            <w:tcW w:w="500" w:type="dxa"/>
            <w:vAlign w:val="bottom"/>
          </w:tcPr>
          <w:p>
            <w:pPr>
              <w:jc w:val="right"/>
              <w:ind w:right="328"/>
              <w:spacing w:after="0"/>
              <w:rPr>
                <w:sz w:val="20"/>
                <w:szCs w:val="20"/>
                <w:color w:val="auto"/>
              </w:rPr>
            </w:pPr>
            <w:r>
              <w:rPr>
                <w:rFonts w:ascii="Arial" w:cs="Arial" w:eastAsia="Arial" w:hAnsi="Arial"/>
                <w:sz w:val="14"/>
                <w:szCs w:val="14"/>
                <w:color w:val="51555C"/>
              </w:rPr>
              <w:t>$</w:t>
            </w:r>
          </w:p>
        </w:tc>
        <w:tc>
          <w:tcPr>
            <w:tcW w:w="760" w:type="dxa"/>
            <w:vAlign w:val="bottom"/>
          </w:tcPr>
          <w:p>
            <w:pPr>
              <w:jc w:val="right"/>
              <w:spacing w:after="0"/>
              <w:rPr>
                <w:sz w:val="20"/>
                <w:szCs w:val="20"/>
                <w:color w:val="auto"/>
              </w:rPr>
            </w:pPr>
            <w:r>
              <w:rPr>
                <w:rFonts w:ascii="Arial" w:cs="Arial" w:eastAsia="Arial" w:hAnsi="Arial"/>
                <w:sz w:val="14"/>
                <w:szCs w:val="14"/>
                <w:color w:val="51555C"/>
              </w:rPr>
              <w:t>88.9</w:t>
            </w:r>
          </w:p>
        </w:tc>
      </w:tr>
      <w:tr>
        <w:trPr>
          <w:trHeight w:val="22"/>
        </w:trPr>
        <w:tc>
          <w:tcPr>
            <w:tcW w:w="52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500" w:type="dxa"/>
            <w:vAlign w:val="bottom"/>
            <w:tcBorders>
              <w:bottom w:val="single" w:sz="8" w:color="51555C"/>
            </w:tcBorders>
          </w:tcPr>
          <w:p>
            <w:pPr>
              <w:spacing w:after="0" w:line="20" w:lineRule="exact"/>
              <w:rPr>
                <w:sz w:val="1"/>
                <w:szCs w:val="1"/>
                <w:color w:val="auto"/>
              </w:rPr>
            </w:pPr>
          </w:p>
        </w:tc>
        <w:tc>
          <w:tcPr>
            <w:tcW w:w="760" w:type="dxa"/>
            <w:vAlign w:val="bottom"/>
            <w:tcBorders>
              <w:bottom w:val="single" w:sz="8" w:color="51555C"/>
            </w:tcBorders>
          </w:tcPr>
          <w:p>
            <w:pPr>
              <w:spacing w:after="0" w:line="20" w:lineRule="exact"/>
              <w:rPr>
                <w:sz w:val="1"/>
                <w:szCs w:val="1"/>
                <w:color w:val="auto"/>
              </w:rPr>
            </w:pPr>
          </w:p>
        </w:tc>
      </w:tr>
      <w:tr>
        <w:trPr>
          <w:trHeight w:val="208"/>
        </w:trPr>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34.3 %</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24"/>
        </w:trPr>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40.1 %</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8" w:lineRule="exact"/>
        <w:rPr>
          <w:sz w:val="20"/>
          <w:szCs w:val="20"/>
          <w:color w:val="auto"/>
        </w:rPr>
      </w:pPr>
    </w:p>
    <w:p>
      <w:pPr>
        <w:sectPr>
          <w:pgSz w:w="11900" w:h="16838" w:orient="portrait"/>
          <w:cols w:equalWidth="0" w:num="2">
            <w:col w:w="7880" w:space="720"/>
            <w:col w:w="2640"/>
          </w:cols>
          <w:pgMar w:left="320" w:top="130"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ind w:left="20"/>
              <w:spacing w:after="0"/>
              <w:rPr>
                <w:sz w:val="20"/>
                <w:szCs w:val="20"/>
                <w:color w:val="auto"/>
              </w:rPr>
            </w:pPr>
            <w:r>
              <w:rPr>
                <w:rFonts w:ascii="Arial" w:cs="Arial" w:eastAsia="Arial" w:hAnsi="Arial"/>
                <w:sz w:val="14"/>
                <w:szCs w:val="14"/>
                <w:color w:val="51555C"/>
              </w:rPr>
              <w:t>Non-GAAP adjusted EBITDA</w:t>
            </w:r>
          </w:p>
        </w:tc>
        <w:tc>
          <w:tcPr>
            <w:tcW w:w="520" w:type="dxa"/>
            <w:vAlign w:val="bottom"/>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92.8</w:t>
            </w:r>
          </w:p>
        </w:tc>
        <w:tc>
          <w:tcPr>
            <w:tcW w:w="500" w:type="dxa"/>
            <w:vAlign w:val="bottom"/>
          </w:tcPr>
          <w:p>
            <w:pPr>
              <w:jc w:val="right"/>
              <w:ind w:right="328"/>
              <w:spacing w:after="0"/>
              <w:rPr>
                <w:sz w:val="20"/>
                <w:szCs w:val="20"/>
                <w:color w:val="auto"/>
              </w:rPr>
            </w:pPr>
            <w:r>
              <w:rPr>
                <w:rFonts w:ascii="Arial" w:cs="Arial" w:eastAsia="Arial" w:hAnsi="Arial"/>
                <w:sz w:val="14"/>
                <w:szCs w:val="14"/>
                <w:color w:val="51555C"/>
              </w:rPr>
              <w:t>$</w:t>
            </w:r>
          </w:p>
        </w:tc>
        <w:tc>
          <w:tcPr>
            <w:tcW w:w="760" w:type="dxa"/>
            <w:vAlign w:val="bottom"/>
          </w:tcPr>
          <w:p>
            <w:pPr>
              <w:jc w:val="right"/>
              <w:spacing w:after="0"/>
              <w:rPr>
                <w:sz w:val="20"/>
                <w:szCs w:val="20"/>
                <w:color w:val="auto"/>
              </w:rPr>
            </w:pPr>
            <w:r>
              <w:rPr>
                <w:rFonts w:ascii="Arial" w:cs="Arial" w:eastAsia="Arial" w:hAnsi="Arial"/>
                <w:sz w:val="14"/>
                <w:szCs w:val="14"/>
                <w:color w:val="51555C"/>
              </w:rPr>
              <w:t>88.9</w:t>
            </w:r>
          </w:p>
        </w:tc>
      </w:tr>
      <w:tr>
        <w:trPr>
          <w:trHeight w:val="22"/>
        </w:trPr>
        <w:tc>
          <w:tcPr>
            <w:tcW w:w="8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9"/>
        </w:trPr>
        <w:tc>
          <w:tcPr>
            <w:tcW w:w="860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Foreign currency impact on Non-GAAP adjusted EBITDA</w:t>
            </w:r>
            <w:r>
              <w:rPr>
                <w:rFonts w:ascii="Arial" w:cs="Arial" w:eastAsia="Arial" w:hAnsi="Arial"/>
                <w:sz w:val="18"/>
                <w:szCs w:val="18"/>
                <w:color w:val="51555C"/>
                <w:vertAlign w:val="superscript"/>
              </w:rPr>
              <w:t>(7)</w:t>
            </w:r>
          </w:p>
        </w:tc>
        <w:tc>
          <w:tcPr>
            <w:tcW w:w="52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0.2</w:t>
            </w:r>
          </w:p>
        </w:tc>
        <w:tc>
          <w:tcPr>
            <w:tcW w:w="500" w:type="dxa"/>
            <w:vAlign w:val="bottom"/>
            <w:tcBorders>
              <w:bottom w:val="single" w:sz="8" w:color="51555C"/>
            </w:tcBorders>
            <w:shd w:val="clear" w:color="auto" w:fill="EBFBFF"/>
          </w:tcPr>
          <w:p>
            <w:pPr>
              <w:spacing w:after="0"/>
              <w:rPr>
                <w:sz w:val="19"/>
                <w:szCs w:val="19"/>
                <w:color w:val="auto"/>
              </w:rPr>
            </w:pPr>
          </w:p>
        </w:tc>
        <w:tc>
          <w:tcPr>
            <w:tcW w:w="7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(0.4)</w:t>
            </w:r>
          </w:p>
        </w:tc>
      </w:tr>
      <w:tr>
        <w:trPr>
          <w:trHeight w:val="223"/>
        </w:trPr>
        <w:tc>
          <w:tcPr>
            <w:tcW w:w="860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adjusted EBITDA on constant currency basis</w:t>
            </w:r>
            <w:r>
              <w:rPr>
                <w:rFonts w:ascii="Arial" w:cs="Arial" w:eastAsia="Arial" w:hAnsi="Arial"/>
                <w:sz w:val="18"/>
                <w:szCs w:val="18"/>
                <w:color w:val="51555C"/>
                <w:vertAlign w:val="superscript"/>
              </w:rPr>
              <w:t>(7)</w:t>
            </w:r>
          </w:p>
        </w:tc>
        <w:tc>
          <w:tcPr>
            <w:tcW w:w="520" w:type="dxa"/>
            <w:vAlign w:val="bottom"/>
            <w:tcBorders>
              <w:bottom w:val="single" w:sz="8" w:color="51555C"/>
            </w:tcBorders>
          </w:tcPr>
          <w:p>
            <w:pPr>
              <w:jc w:val="right"/>
              <w:ind w:right="34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93.0</w:t>
            </w:r>
          </w:p>
        </w:tc>
        <w:tc>
          <w:tcPr>
            <w:tcW w:w="500" w:type="dxa"/>
            <w:vAlign w:val="bottom"/>
            <w:tcBorders>
              <w:bottom w:val="single" w:sz="8" w:color="51555C"/>
            </w:tcBorders>
          </w:tcPr>
          <w:p>
            <w:pPr>
              <w:jc w:val="right"/>
              <w:ind w:right="328"/>
              <w:spacing w:after="0"/>
              <w:rPr>
                <w:sz w:val="20"/>
                <w:szCs w:val="20"/>
                <w:color w:val="auto"/>
              </w:rPr>
            </w:pPr>
            <w:r>
              <w:rPr>
                <w:rFonts w:ascii="Arial" w:cs="Arial" w:eastAsia="Arial" w:hAnsi="Arial"/>
                <w:sz w:val="14"/>
                <w:szCs w:val="14"/>
                <w:color w:val="51555C"/>
              </w:rPr>
              <w:t>$</w:t>
            </w:r>
          </w:p>
        </w:tc>
        <w:tc>
          <w:tcPr>
            <w:tcW w:w="7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88.5</w:t>
            </w:r>
          </w:p>
        </w:tc>
      </w:tr>
      <w:tr>
        <w:trPr>
          <w:trHeight w:val="223"/>
        </w:trPr>
        <w:tc>
          <w:tcPr>
            <w:tcW w:w="860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adjusted EBITDA margin on constant currency basis</w:t>
            </w:r>
          </w:p>
        </w:tc>
        <w:tc>
          <w:tcPr>
            <w:tcW w:w="520" w:type="dxa"/>
            <w:vAlign w:val="bottom"/>
            <w:shd w:val="clear" w:color="auto" w:fill="EBFBFF"/>
          </w:tcPr>
          <w:p>
            <w:pPr>
              <w:spacing w:after="0"/>
              <w:rPr>
                <w:sz w:val="19"/>
                <w:szCs w:val="19"/>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34.3 %</w:t>
            </w:r>
          </w:p>
        </w:tc>
        <w:tc>
          <w:tcPr>
            <w:tcW w:w="500" w:type="dxa"/>
            <w:vAlign w:val="bottom"/>
            <w:shd w:val="clear" w:color="auto" w:fill="EBFBFF"/>
          </w:tcPr>
          <w:p>
            <w:pPr>
              <w:spacing w:after="0"/>
              <w:rPr>
                <w:sz w:val="19"/>
                <w:szCs w:val="19"/>
                <w:color w:val="auto"/>
              </w:rPr>
            </w:pPr>
          </w:p>
        </w:tc>
        <w:tc>
          <w:tcPr>
            <w:tcW w:w="760" w:type="dxa"/>
            <w:vAlign w:val="bottom"/>
            <w:shd w:val="clear" w:color="auto" w:fill="EBFBFF"/>
          </w:tcPr>
          <w:p>
            <w:pPr>
              <w:spacing w:after="0"/>
              <w:rPr>
                <w:sz w:val="19"/>
                <w:szCs w:val="19"/>
                <w:color w:val="auto"/>
              </w:rPr>
            </w:pPr>
          </w:p>
        </w:tc>
      </w:tr>
      <w:tr>
        <w:trPr>
          <w:trHeight w:val="95"/>
        </w:trPr>
        <w:tc>
          <w:tcPr>
            <w:tcW w:w="8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9"/>
        </w:trPr>
        <w:tc>
          <w:tcPr>
            <w:tcW w:w="86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Rule of 40 on constant currency basis</w:t>
            </w:r>
            <w:r>
              <w:rPr>
                <w:rFonts w:ascii="Arial" w:cs="Arial" w:eastAsia="Arial" w:hAnsi="Arial"/>
                <w:sz w:val="18"/>
                <w:szCs w:val="18"/>
                <w:b w:val="1"/>
                <w:bCs w:val="1"/>
                <w:color w:val="51555C"/>
                <w:vertAlign w:val="superscript"/>
              </w:rPr>
              <w:t>(8)</w:t>
            </w:r>
          </w:p>
        </w:tc>
        <w:tc>
          <w:tcPr>
            <w:tcW w:w="520" w:type="dxa"/>
            <w:vAlign w:val="bottom"/>
            <w:tcBorders>
              <w:bottom w:val="single" w:sz="8" w:color="0CD973"/>
            </w:tcBorders>
            <w:shd w:val="clear" w:color="auto" w:fill="EBFBFF"/>
          </w:tcPr>
          <w:p>
            <w:pPr>
              <w:spacing w:after="0"/>
              <w:rPr>
                <w:sz w:val="19"/>
                <w:szCs w:val="19"/>
                <w:color w:val="auto"/>
              </w:rPr>
            </w:pPr>
          </w:p>
        </w:tc>
        <w:tc>
          <w:tcPr>
            <w:tcW w:w="8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40.2 %</w:t>
            </w:r>
          </w:p>
        </w:tc>
        <w:tc>
          <w:tcPr>
            <w:tcW w:w="500" w:type="dxa"/>
            <w:vAlign w:val="bottom"/>
            <w:tcBorders>
              <w:bottom w:val="single" w:sz="8" w:color="0CD973"/>
            </w:tcBorders>
            <w:shd w:val="clear" w:color="auto" w:fill="EBFBFF"/>
          </w:tcPr>
          <w:p>
            <w:pPr>
              <w:spacing w:after="0"/>
              <w:rPr>
                <w:sz w:val="19"/>
                <w:szCs w:val="19"/>
                <w:color w:val="auto"/>
              </w:rPr>
            </w:pPr>
          </w:p>
        </w:tc>
        <w:tc>
          <w:tcPr>
            <w:tcW w:w="760" w:type="dxa"/>
            <w:vAlign w:val="bottom"/>
            <w:tcBorders>
              <w:bottom w:val="single" w:sz="8" w:color="0CD973"/>
            </w:tcBorders>
            <w:shd w:val="clear" w:color="auto" w:fill="EBFBFF"/>
          </w:tcPr>
          <w:p>
            <w:pPr>
              <w:spacing w:after="0"/>
              <w:rPr>
                <w:sz w:val="19"/>
                <w:szCs w:val="19"/>
                <w:color w:val="auto"/>
              </w:rPr>
            </w:pPr>
          </w:p>
        </w:tc>
      </w:tr>
    </w:tbl>
    <w:p>
      <w:pPr>
        <w:spacing w:after="0" w:line="8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15" w:lineRule="exact"/>
        <w:rPr>
          <w:rFonts w:ascii="Arial" w:cs="Arial" w:eastAsia="Arial" w:hAnsi="Arial"/>
          <w:sz w:val="14"/>
          <w:szCs w:val="14"/>
          <w:color w:val="51555C"/>
        </w:rPr>
      </w:pPr>
    </w:p>
    <w:p>
      <w:pPr>
        <w:ind w:left="340" w:hanging="332"/>
        <w:spacing w:after="0" w:line="261"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EBITDA, non-GAAP adjusted EBITDA or non-GAAP adjusted EBITDA on a constant currency basis due to rounding.</w:t>
      </w:r>
    </w:p>
    <w:p>
      <w:pPr>
        <w:ind w:left="340" w:hanging="332"/>
        <w:spacing w:after="0"/>
        <w:tabs>
          <w:tab w:leader="none" w:pos="340"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Measured by GAAP revenue divided by non-GAAP EBITDA.</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Measured by non-GAAP organic revenue divided by non-GAAP adjusted EBITDA.</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4" w:lineRule="exact"/>
        <w:rPr>
          <w:rFonts w:ascii="Arial" w:cs="Arial" w:eastAsia="Arial" w:hAnsi="Arial"/>
          <w:sz w:val="14"/>
          <w:szCs w:val="14"/>
          <w:color w:val="51555C"/>
        </w:rPr>
      </w:pPr>
    </w:p>
    <w:p>
      <w:pPr>
        <w:jc w:val="both"/>
        <w:ind w:left="340" w:hanging="332"/>
        <w:spacing w:after="0" w:line="261"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40" w:hanging="332"/>
        <w:spacing w:after="0" w:line="264"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217805</wp:posOffset>
            </wp:positionV>
            <wp:extent cx="65976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free cash flow and non-GAAP adjusted free cash flow</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development, and capital expenditures for property and equipment.</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Non-GAAP adjusted free cash flow is defined as operating cash flow less capital expenditures, including costs required to be capitalized for software development and capital expenditures for property and equipment, plus cash outflows related to the Security Incident.</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2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tcPr>
          <w:p>
            <w:pPr>
              <w:spacing w:after="0"/>
              <w:rPr>
                <w:sz w:val="17"/>
                <w:szCs w:val="17"/>
                <w:color w:val="auto"/>
              </w:rPr>
            </w:pPr>
          </w:p>
        </w:tc>
      </w:tr>
      <w:tr>
        <w:trPr>
          <w:trHeight w:val="196"/>
        </w:trPr>
        <w:tc>
          <w:tcPr>
            <w:tcW w:w="852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tcPr>
          <w:p>
            <w:pPr>
              <w:spacing w:after="0"/>
              <w:rPr>
                <w:sz w:val="17"/>
                <w:szCs w:val="17"/>
                <w:color w:val="auto"/>
              </w:rPr>
            </w:pPr>
          </w:p>
        </w:tc>
      </w:tr>
      <w:tr>
        <w:trPr>
          <w:trHeight w:val="252"/>
        </w:trPr>
        <w:tc>
          <w:tcPr>
            <w:tcW w:w="8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21"/>
                <w:szCs w:val="21"/>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380" w:type="dxa"/>
            <w:vAlign w:val="bottom"/>
            <w:tcBorders>
              <w:bottom w:val="single" w:sz="8" w:color="004054"/>
            </w:tcBorders>
            <w:shd w:val="clear" w:color="auto" w:fill="004054"/>
          </w:tcPr>
          <w:p>
            <w:pPr>
              <w:spacing w:after="0"/>
              <w:rPr>
                <w:sz w:val="21"/>
                <w:szCs w:val="21"/>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30"/>
        </w:trPr>
        <w:tc>
          <w:tcPr>
            <w:tcW w:w="8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cash provided by operating activities</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ind w:left="500"/>
              <w:spacing w:after="0"/>
              <w:rPr>
                <w:sz w:val="20"/>
                <w:szCs w:val="20"/>
                <w:color w:val="auto"/>
              </w:rPr>
            </w:pPr>
            <w:r>
              <w:rPr>
                <w:rFonts w:ascii="Arial" w:cs="Arial" w:eastAsia="Arial" w:hAnsi="Arial"/>
                <w:sz w:val="14"/>
                <w:szCs w:val="14"/>
                <w:color w:val="51555C"/>
              </w:rPr>
              <w:t>1.4</w:t>
            </w:r>
          </w:p>
        </w:tc>
        <w:tc>
          <w:tcPr>
            <w:tcW w:w="380" w:type="dxa"/>
            <w:vAlign w:val="bottom"/>
            <w:shd w:val="clear" w:color="auto" w:fill="EBFBFF"/>
          </w:tcPr>
          <w:p>
            <w:pPr>
              <w:jc w:val="right"/>
              <w:ind w:right="208"/>
              <w:spacing w:after="0"/>
              <w:rPr>
                <w:sz w:val="20"/>
                <w:szCs w:val="20"/>
                <w:color w:val="auto"/>
              </w:rPr>
            </w:pPr>
            <w:r>
              <w:rPr>
                <w:rFonts w:ascii="Arial" w:cs="Arial" w:eastAsia="Arial" w:hAnsi="Arial"/>
                <w:sz w:val="14"/>
                <w:szCs w:val="14"/>
                <w:color w:val="51555C"/>
              </w:rPr>
              <w:t>$</w:t>
            </w:r>
          </w:p>
        </w:tc>
        <w:tc>
          <w:tcPr>
            <w:tcW w:w="9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64.6</w:t>
            </w:r>
          </w:p>
        </w:tc>
        <w:tc>
          <w:tcPr>
            <w:tcW w:w="20" w:type="dxa"/>
            <w:vAlign w:val="bottom"/>
          </w:tcPr>
          <w:p>
            <w:pPr>
              <w:spacing w:after="0"/>
              <w:rPr>
                <w:sz w:val="19"/>
                <w:szCs w:val="19"/>
                <w:color w:val="auto"/>
              </w:rPr>
            </w:pPr>
          </w:p>
        </w:tc>
      </w:tr>
      <w:tr>
        <w:trPr>
          <w:trHeight w:val="222"/>
        </w:trPr>
        <w:tc>
          <w:tcPr>
            <w:tcW w:w="8520" w:type="dxa"/>
            <w:vAlign w:val="bottom"/>
          </w:tcPr>
          <w:p>
            <w:pPr>
              <w:ind w:left="140"/>
              <w:spacing w:after="0"/>
              <w:rPr>
                <w:sz w:val="20"/>
                <w:szCs w:val="20"/>
                <w:color w:val="auto"/>
              </w:rPr>
            </w:pPr>
            <w:r>
              <w:rPr>
                <w:rFonts w:ascii="Arial" w:cs="Arial" w:eastAsia="Arial" w:hAnsi="Arial"/>
                <w:sz w:val="14"/>
                <w:szCs w:val="14"/>
                <w:b w:val="1"/>
                <w:bCs w:val="1"/>
                <w:color w:val="51555C"/>
              </w:rPr>
              <w:t>GAAP operating cash flow margin</w:t>
            </w:r>
          </w:p>
        </w:tc>
        <w:tc>
          <w:tcPr>
            <w:tcW w:w="46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4"/>
                <w:szCs w:val="14"/>
                <w:color w:val="51555C"/>
              </w:rPr>
              <w:t>0.5 %</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23.1 %</w:t>
            </w:r>
          </w:p>
        </w:tc>
        <w:tc>
          <w:tcPr>
            <w:tcW w:w="20" w:type="dxa"/>
            <w:vAlign w:val="bottom"/>
          </w:tcPr>
          <w:p>
            <w:pPr>
              <w:spacing w:after="0"/>
              <w:rPr>
                <w:sz w:val="19"/>
                <w:szCs w:val="19"/>
                <w:color w:val="auto"/>
              </w:rPr>
            </w:pPr>
          </w:p>
        </w:tc>
      </w:tr>
      <w:tr>
        <w:trPr>
          <w:trHeight w:val="237"/>
        </w:trPr>
        <w:tc>
          <w:tcPr>
            <w:tcW w:w="8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460" w:type="dxa"/>
            <w:vAlign w:val="bottom"/>
            <w:shd w:val="clear" w:color="auto" w:fill="EBFBFF"/>
          </w:tcPr>
          <w:p>
            <w:pPr>
              <w:spacing w:after="0"/>
              <w:rPr>
                <w:sz w:val="20"/>
                <w:szCs w:val="20"/>
                <w:color w:val="auto"/>
              </w:rPr>
            </w:pPr>
          </w:p>
        </w:tc>
        <w:tc>
          <w:tcPr>
            <w:tcW w:w="900" w:type="dxa"/>
            <w:vAlign w:val="bottom"/>
            <w:shd w:val="clear" w:color="auto" w:fill="EBFBFF"/>
          </w:tcPr>
          <w:p>
            <w:pPr>
              <w:spacing w:after="0"/>
              <w:rPr>
                <w:sz w:val="20"/>
                <w:szCs w:val="20"/>
                <w:color w:val="auto"/>
              </w:rPr>
            </w:pPr>
          </w:p>
        </w:tc>
        <w:tc>
          <w:tcPr>
            <w:tcW w:w="380" w:type="dxa"/>
            <w:vAlign w:val="bottom"/>
            <w:shd w:val="clear" w:color="auto" w:fill="EBFBFF"/>
          </w:tcPr>
          <w:p>
            <w:pPr>
              <w:spacing w:after="0"/>
              <w:rPr>
                <w:sz w:val="20"/>
                <w:szCs w:val="20"/>
                <w:color w:val="auto"/>
              </w:rPr>
            </w:pPr>
          </w:p>
        </w:tc>
        <w:tc>
          <w:tcPr>
            <w:tcW w:w="98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8520" w:type="dxa"/>
            <w:vAlign w:val="bottom"/>
          </w:tcPr>
          <w:p>
            <w:pPr>
              <w:ind w:left="140"/>
              <w:spacing w:after="0"/>
              <w:rPr>
                <w:sz w:val="20"/>
                <w:szCs w:val="20"/>
                <w:color w:val="auto"/>
              </w:rPr>
            </w:pPr>
            <w:r>
              <w:rPr>
                <w:rFonts w:ascii="Arial" w:cs="Arial" w:eastAsia="Arial" w:hAnsi="Arial"/>
                <w:sz w:val="14"/>
                <w:szCs w:val="14"/>
                <w:color w:val="51555C"/>
              </w:rPr>
              <w:t>Less: purchase of property and equipment</w:t>
            </w:r>
          </w:p>
        </w:tc>
        <w:tc>
          <w:tcPr>
            <w:tcW w:w="4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51555C"/>
              </w:rPr>
              <w:t>(0.7)</w:t>
            </w:r>
          </w:p>
        </w:tc>
        <w:tc>
          <w:tcPr>
            <w:tcW w:w="3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51555C"/>
              </w:rPr>
              <w:t>(0.3)</w:t>
            </w:r>
          </w:p>
        </w:tc>
        <w:tc>
          <w:tcPr>
            <w:tcW w:w="20" w:type="dxa"/>
            <w:vAlign w:val="bottom"/>
          </w:tcPr>
          <w:p>
            <w:pPr>
              <w:spacing w:after="0"/>
              <w:rPr>
                <w:sz w:val="18"/>
                <w:szCs w:val="18"/>
                <w:color w:val="auto"/>
              </w:rPr>
            </w:pPr>
          </w:p>
        </w:tc>
      </w:tr>
      <w:tr>
        <w:trPr>
          <w:trHeight w:val="22"/>
        </w:trPr>
        <w:tc>
          <w:tcPr>
            <w:tcW w:w="8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Less: capitalized software development costs</w:t>
            </w:r>
          </w:p>
        </w:tc>
        <w:tc>
          <w:tcPr>
            <w:tcW w:w="460" w:type="dxa"/>
            <w:vAlign w:val="bottom"/>
            <w:tcBorders>
              <w:bottom w:val="single" w:sz="8" w:color="EBFBFF"/>
            </w:tcBorders>
            <w:shd w:val="clear" w:color="auto" w:fill="EBFBFF"/>
          </w:tcPr>
          <w:p>
            <w:pPr>
              <w:spacing w:after="0"/>
              <w:rPr>
                <w:sz w:val="19"/>
                <w:szCs w:val="19"/>
                <w:color w:val="auto"/>
              </w:rPr>
            </w:pPr>
          </w:p>
        </w:tc>
        <w:tc>
          <w:tcPr>
            <w:tcW w:w="90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(13.0)</w:t>
            </w:r>
          </w:p>
        </w:tc>
        <w:tc>
          <w:tcPr>
            <w:tcW w:w="38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(13.1)</w:t>
            </w:r>
          </w:p>
        </w:tc>
        <w:tc>
          <w:tcPr>
            <w:tcW w:w="20" w:type="dxa"/>
            <w:vAlign w:val="bottom"/>
          </w:tcPr>
          <w:p>
            <w:pPr>
              <w:spacing w:after="0"/>
              <w:rPr>
                <w:sz w:val="19"/>
                <w:szCs w:val="19"/>
                <w:color w:val="auto"/>
              </w:rPr>
            </w:pPr>
          </w:p>
        </w:tc>
      </w:tr>
      <w:tr>
        <w:trPr>
          <w:trHeight w:val="223"/>
        </w:trPr>
        <w:tc>
          <w:tcPr>
            <w:tcW w:w="85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free cash flow</w:t>
            </w:r>
            <w:r>
              <w:rPr>
                <w:rFonts w:ascii="Arial" w:cs="Arial" w:eastAsia="Arial" w:hAnsi="Arial"/>
                <w:sz w:val="18"/>
                <w:szCs w:val="18"/>
                <w:b w:val="1"/>
                <w:bCs w:val="1"/>
                <w:color w:val="51555C"/>
                <w:vertAlign w:val="superscript"/>
              </w:rPr>
              <w:t>(1)</w:t>
            </w:r>
          </w:p>
        </w:tc>
        <w:tc>
          <w:tcPr>
            <w:tcW w:w="460" w:type="dxa"/>
            <w:vAlign w:val="bottom"/>
            <w:tcBorders>
              <w:top w:val="single" w:sz="8" w:color="51555C"/>
              <w:bottom w:val="single" w:sz="8" w:color="51555C"/>
            </w:tcBorders>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top w:val="single" w:sz="8" w:color="51555C"/>
              <w:bottom w:val="single" w:sz="8" w:color="51555C"/>
            </w:tcBorders>
          </w:tcPr>
          <w:p>
            <w:pPr>
              <w:jc w:val="right"/>
              <w:ind w:right="88"/>
              <w:spacing w:after="0"/>
              <w:rPr>
                <w:sz w:val="20"/>
                <w:szCs w:val="20"/>
                <w:color w:val="auto"/>
              </w:rPr>
            </w:pPr>
            <w:r>
              <w:rPr>
                <w:rFonts w:ascii="Arial" w:cs="Arial" w:eastAsia="Arial" w:hAnsi="Arial"/>
                <w:sz w:val="14"/>
                <w:szCs w:val="14"/>
                <w:color w:val="51555C"/>
              </w:rPr>
              <w:t>(12.3)</w:t>
            </w:r>
          </w:p>
        </w:tc>
        <w:tc>
          <w:tcPr>
            <w:tcW w:w="380" w:type="dxa"/>
            <w:vAlign w:val="bottom"/>
            <w:tcBorders>
              <w:top w:val="single" w:sz="8" w:color="51555C"/>
              <w:bottom w:val="single" w:sz="8" w:color="51555C"/>
            </w:tcBorders>
          </w:tcPr>
          <w:p>
            <w:pPr>
              <w:jc w:val="right"/>
              <w:ind w:right="208"/>
              <w:spacing w:after="0"/>
              <w:rPr>
                <w:sz w:val="20"/>
                <w:szCs w:val="20"/>
                <w:color w:val="auto"/>
              </w:rPr>
            </w:pPr>
            <w:r>
              <w:rPr>
                <w:rFonts w:ascii="Arial" w:cs="Arial" w:eastAsia="Arial" w:hAnsi="Arial"/>
                <w:sz w:val="14"/>
                <w:szCs w:val="14"/>
                <w:color w:val="51555C"/>
              </w:rPr>
              <w:t>$</w:t>
            </w:r>
          </w:p>
        </w:tc>
        <w:tc>
          <w:tcPr>
            <w:tcW w:w="98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51.3</w:t>
            </w:r>
          </w:p>
        </w:tc>
        <w:tc>
          <w:tcPr>
            <w:tcW w:w="20" w:type="dxa"/>
            <w:vAlign w:val="bottom"/>
          </w:tcPr>
          <w:p>
            <w:pPr>
              <w:spacing w:after="0"/>
              <w:rPr>
                <w:sz w:val="19"/>
                <w:szCs w:val="19"/>
                <w:color w:val="auto"/>
              </w:rPr>
            </w:pPr>
          </w:p>
        </w:tc>
      </w:tr>
      <w:tr>
        <w:trPr>
          <w:trHeight w:val="223"/>
        </w:trPr>
        <w:tc>
          <w:tcPr>
            <w:tcW w:w="852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free cash flow margin</w:t>
            </w: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(4.5)%</w:t>
            </w:r>
          </w:p>
        </w:tc>
        <w:tc>
          <w:tcPr>
            <w:tcW w:w="380" w:type="dxa"/>
            <w:vAlign w:val="bottom"/>
            <w:shd w:val="clear" w:color="auto" w:fill="EBFBFF"/>
          </w:tcPr>
          <w:p>
            <w:pPr>
              <w:spacing w:after="0"/>
              <w:rPr>
                <w:sz w:val="19"/>
                <w:szCs w:val="19"/>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18.4 %</w:t>
            </w:r>
          </w:p>
        </w:tc>
        <w:tc>
          <w:tcPr>
            <w:tcW w:w="20" w:type="dxa"/>
            <w:vAlign w:val="bottom"/>
          </w:tcPr>
          <w:p>
            <w:pPr>
              <w:spacing w:after="0"/>
              <w:rPr>
                <w:sz w:val="19"/>
                <w:szCs w:val="19"/>
                <w:color w:val="auto"/>
              </w:rPr>
            </w:pPr>
          </w:p>
        </w:tc>
      </w:tr>
      <w:tr>
        <w:trPr>
          <w:trHeight w:val="222"/>
        </w:trPr>
        <w:tc>
          <w:tcPr>
            <w:tcW w:w="852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cash flows</w:t>
            </w:r>
          </w:p>
        </w:tc>
        <w:tc>
          <w:tcPr>
            <w:tcW w:w="460" w:type="dxa"/>
            <w:vAlign w:val="bottom"/>
            <w:tcBorders>
              <w:bottom w:val="single" w:sz="8" w:color="EBFBFF"/>
            </w:tcBorders>
            <w:shd w:val="clear" w:color="auto" w:fill="EBFBFF"/>
          </w:tcPr>
          <w:p>
            <w:pPr>
              <w:spacing w:after="0"/>
              <w:rPr>
                <w:sz w:val="20"/>
                <w:szCs w:val="20"/>
                <w:color w:val="auto"/>
              </w:rPr>
            </w:pPr>
          </w:p>
        </w:tc>
        <w:tc>
          <w:tcPr>
            <w:tcW w:w="900" w:type="dxa"/>
            <w:vAlign w:val="bottom"/>
            <w:tcBorders>
              <w:bottom w:val="single" w:sz="8" w:color="EBFBFF"/>
            </w:tcBorders>
            <w:shd w:val="clear" w:color="auto" w:fill="EBFBFF"/>
          </w:tcPr>
          <w:p>
            <w:pPr>
              <w:ind w:left="500"/>
              <w:spacing w:after="0"/>
              <w:rPr>
                <w:sz w:val="20"/>
                <w:szCs w:val="20"/>
                <w:color w:val="auto"/>
              </w:rPr>
            </w:pPr>
            <w:r>
              <w:rPr>
                <w:rFonts w:ascii="Arial" w:cs="Arial" w:eastAsia="Arial" w:hAnsi="Arial"/>
                <w:sz w:val="14"/>
                <w:szCs w:val="14"/>
                <w:color w:val="51555C"/>
              </w:rPr>
              <w:t>0.9</w:t>
            </w:r>
          </w:p>
        </w:tc>
        <w:tc>
          <w:tcPr>
            <w:tcW w:w="38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2.0</w:t>
            </w:r>
          </w:p>
        </w:tc>
        <w:tc>
          <w:tcPr>
            <w:tcW w:w="20" w:type="dxa"/>
            <w:vAlign w:val="bottom"/>
          </w:tcPr>
          <w:p>
            <w:pPr>
              <w:spacing w:after="0"/>
              <w:rPr>
                <w:sz w:val="20"/>
                <w:szCs w:val="20"/>
                <w:color w:val="auto"/>
              </w:rPr>
            </w:pPr>
          </w:p>
        </w:tc>
      </w:tr>
      <w:tr>
        <w:trPr>
          <w:trHeight w:val="223"/>
        </w:trPr>
        <w:tc>
          <w:tcPr>
            <w:tcW w:w="85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adjusted free cash flow</w:t>
            </w:r>
            <w:r>
              <w:rPr>
                <w:rFonts w:ascii="Arial" w:cs="Arial" w:eastAsia="Arial" w:hAnsi="Arial"/>
                <w:sz w:val="18"/>
                <w:szCs w:val="18"/>
                <w:b w:val="1"/>
                <w:bCs w:val="1"/>
                <w:color w:val="51555C"/>
                <w:vertAlign w:val="superscript"/>
              </w:rPr>
              <w:t>(1)</w:t>
            </w:r>
          </w:p>
        </w:tc>
        <w:tc>
          <w:tcPr>
            <w:tcW w:w="460" w:type="dxa"/>
            <w:vAlign w:val="bottom"/>
            <w:tcBorders>
              <w:top w:val="single" w:sz="8" w:color="51555C"/>
              <w:bottom w:val="single" w:sz="8" w:color="51555C"/>
            </w:tcBorders>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top w:val="single" w:sz="8" w:color="51555C"/>
              <w:bottom w:val="single" w:sz="8" w:color="51555C"/>
            </w:tcBorders>
          </w:tcPr>
          <w:p>
            <w:pPr>
              <w:jc w:val="right"/>
              <w:ind w:right="88"/>
              <w:spacing w:after="0"/>
              <w:rPr>
                <w:sz w:val="20"/>
                <w:szCs w:val="20"/>
                <w:color w:val="auto"/>
              </w:rPr>
            </w:pPr>
            <w:r>
              <w:rPr>
                <w:rFonts w:ascii="Arial" w:cs="Arial" w:eastAsia="Arial" w:hAnsi="Arial"/>
                <w:sz w:val="14"/>
                <w:szCs w:val="14"/>
                <w:color w:val="51555C"/>
              </w:rPr>
              <w:t>(11.4)</w:t>
            </w:r>
          </w:p>
        </w:tc>
        <w:tc>
          <w:tcPr>
            <w:tcW w:w="380" w:type="dxa"/>
            <w:vAlign w:val="bottom"/>
            <w:tcBorders>
              <w:top w:val="single" w:sz="8" w:color="51555C"/>
              <w:bottom w:val="single" w:sz="8" w:color="51555C"/>
            </w:tcBorders>
          </w:tcPr>
          <w:p>
            <w:pPr>
              <w:jc w:val="right"/>
              <w:ind w:right="208"/>
              <w:spacing w:after="0"/>
              <w:rPr>
                <w:sz w:val="20"/>
                <w:szCs w:val="20"/>
                <w:color w:val="auto"/>
              </w:rPr>
            </w:pPr>
            <w:r>
              <w:rPr>
                <w:rFonts w:ascii="Arial" w:cs="Arial" w:eastAsia="Arial" w:hAnsi="Arial"/>
                <w:sz w:val="14"/>
                <w:szCs w:val="14"/>
                <w:color w:val="51555C"/>
              </w:rPr>
              <w:t>$</w:t>
            </w:r>
          </w:p>
        </w:tc>
        <w:tc>
          <w:tcPr>
            <w:tcW w:w="98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53.3</w:t>
            </w:r>
          </w:p>
        </w:tc>
        <w:tc>
          <w:tcPr>
            <w:tcW w:w="20" w:type="dxa"/>
            <w:vAlign w:val="bottom"/>
          </w:tcPr>
          <w:p>
            <w:pPr>
              <w:spacing w:after="0"/>
              <w:rPr>
                <w:sz w:val="19"/>
                <w:szCs w:val="19"/>
                <w:color w:val="auto"/>
              </w:rPr>
            </w:pPr>
          </w:p>
        </w:tc>
      </w:tr>
      <w:tr>
        <w:trPr>
          <w:trHeight w:val="216"/>
        </w:trPr>
        <w:tc>
          <w:tcPr>
            <w:tcW w:w="852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adjusted free cash flow margin</w:t>
            </w:r>
          </w:p>
        </w:tc>
        <w:tc>
          <w:tcPr>
            <w:tcW w:w="460" w:type="dxa"/>
            <w:vAlign w:val="bottom"/>
            <w:tcBorders>
              <w:bottom w:val="single" w:sz="8" w:color="0CD973"/>
            </w:tcBorders>
            <w:shd w:val="clear" w:color="auto" w:fill="EBFBFF"/>
          </w:tcPr>
          <w:p>
            <w:pPr>
              <w:spacing w:after="0"/>
              <w:rPr>
                <w:sz w:val="18"/>
                <w:szCs w:val="18"/>
                <w:color w:val="auto"/>
              </w:rPr>
            </w:pPr>
          </w:p>
        </w:tc>
        <w:tc>
          <w:tcPr>
            <w:tcW w:w="9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color w:val="51555C"/>
              </w:rPr>
              <w:t>(4.2)%</w:t>
            </w:r>
          </w:p>
        </w:tc>
        <w:tc>
          <w:tcPr>
            <w:tcW w:w="380" w:type="dxa"/>
            <w:vAlign w:val="bottom"/>
            <w:tcBorders>
              <w:bottom w:val="single" w:sz="8" w:color="0CD973"/>
            </w:tcBorders>
            <w:shd w:val="clear" w:color="auto" w:fill="EBFBFF"/>
          </w:tcPr>
          <w:p>
            <w:pPr>
              <w:spacing w:after="0"/>
              <w:rPr>
                <w:sz w:val="18"/>
                <w:szCs w:val="18"/>
                <w:color w:val="auto"/>
              </w:rPr>
            </w:pPr>
          </w:p>
        </w:tc>
        <w:tc>
          <w:tcPr>
            <w:tcW w:w="9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color w:val="51555C"/>
              </w:rPr>
              <w:t>19.1 %</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-1807845</wp:posOffset>
            </wp:positionV>
            <wp:extent cx="17399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flow or non-GAAP adjusted free cash flow due to rounding.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Seasonality</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2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billings and renewals and student enrollments or significant acquisitions. Our cash flow from financing is negatively</w:t>
      </w:r>
    </w:p>
    <w:p>
      <w:pPr>
        <w:spacing w:after="0" w:line="322"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651510" cy="1714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impacted in our first quarter when most of our equity awards vest, as we pay taxes on behalf of our employees related to the settlement or exercise of equity awards.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financial information about our financial position: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4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19"/>
        </w:trPr>
        <w:tc>
          <w:tcPr>
            <w:tcW w:w="71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tcBorders>
              <w:bottom w:val="single" w:sz="8" w:color="004054"/>
            </w:tcBorders>
            <w:shd w:val="clear" w:color="auto" w:fill="004054"/>
          </w:tcPr>
          <w:p>
            <w:pPr>
              <w:spacing w:after="0"/>
              <w:rPr>
                <w:sz w:val="19"/>
                <w:szCs w:val="19"/>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40" w:type="dxa"/>
            <w:vAlign w:val="bottom"/>
            <w:tcBorders>
              <w:bottom w:val="single" w:sz="8" w:color="004054"/>
            </w:tcBorders>
            <w:shd w:val="clear" w:color="auto" w:fill="004054"/>
          </w:tcPr>
          <w:p>
            <w:pPr>
              <w:spacing w:after="0"/>
              <w:rPr>
                <w:sz w:val="19"/>
                <w:szCs w:val="19"/>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and cash equivalents</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37.2</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67.6</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(44.9)%</w:t>
            </w:r>
          </w:p>
        </w:tc>
        <w:tc>
          <w:tcPr>
            <w:tcW w:w="20" w:type="dxa"/>
            <w:vAlign w:val="bottom"/>
          </w:tcPr>
          <w:p>
            <w:pPr>
              <w:spacing w:after="0"/>
              <w:rPr>
                <w:sz w:val="21"/>
                <w:szCs w:val="21"/>
                <w:color w:val="auto"/>
              </w:rPr>
            </w:pPr>
          </w:p>
        </w:tc>
      </w:tr>
      <w:tr>
        <w:trPr>
          <w:trHeight w:val="247"/>
        </w:trPr>
        <w:tc>
          <w:tcPr>
            <w:tcW w:w="712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85.0</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91.9</w:t>
            </w:r>
          </w:p>
        </w:tc>
        <w:tc>
          <w:tcPr>
            <w:tcW w:w="1480" w:type="dxa"/>
            <w:vAlign w:val="bottom"/>
          </w:tcPr>
          <w:p>
            <w:pPr>
              <w:jc w:val="right"/>
              <w:spacing w:after="0"/>
              <w:rPr>
                <w:sz w:val="20"/>
                <w:szCs w:val="20"/>
                <w:color w:val="auto"/>
              </w:rPr>
            </w:pPr>
            <w:r>
              <w:rPr>
                <w:rFonts w:ascii="Arial" w:cs="Arial" w:eastAsia="Arial" w:hAnsi="Arial"/>
                <w:sz w:val="18"/>
                <w:szCs w:val="18"/>
                <w:color w:val="51555C"/>
              </w:rPr>
              <w:t>(7.5)%</w:t>
            </w:r>
          </w:p>
        </w:tc>
        <w:tc>
          <w:tcPr>
            <w:tcW w:w="20" w:type="dxa"/>
            <w:vAlign w:val="bottom"/>
          </w:tcPr>
          <w:p>
            <w:pPr>
              <w:spacing w:after="0"/>
              <w:rPr>
                <w:sz w:val="21"/>
                <w:szCs w:val="21"/>
                <w:color w:val="auto"/>
              </w:rPr>
            </w:pPr>
          </w:p>
        </w:tc>
      </w:tr>
      <w:tr>
        <w:trPr>
          <w:trHeight w:val="23"/>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Software development costs, net</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150.1</w:t>
            </w: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148.3</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1.2 %</w:t>
            </w:r>
          </w:p>
        </w:tc>
        <w:tc>
          <w:tcPr>
            <w:tcW w:w="20" w:type="dxa"/>
            <w:vAlign w:val="bottom"/>
          </w:tcPr>
          <w:p>
            <w:pPr>
              <w:spacing w:after="0"/>
              <w:rPr>
                <w:sz w:val="21"/>
                <w:szCs w:val="21"/>
                <w:color w:val="auto"/>
              </w:rPr>
            </w:pPr>
          </w:p>
        </w:tc>
      </w:tr>
      <w:tr>
        <w:trPr>
          <w:trHeight w:val="247"/>
        </w:trPr>
        <w:tc>
          <w:tcPr>
            <w:tcW w:w="7120" w:type="dxa"/>
            <w:vAlign w:val="bottom"/>
          </w:tcPr>
          <w:p>
            <w:pPr>
              <w:ind w:left="20"/>
              <w:spacing w:after="0"/>
              <w:rPr>
                <w:sz w:val="20"/>
                <w:szCs w:val="20"/>
                <w:color w:val="auto"/>
              </w:rPr>
            </w:pPr>
            <w:r>
              <w:rPr>
                <w:rFonts w:ascii="Arial" w:cs="Arial" w:eastAsia="Arial" w:hAnsi="Arial"/>
                <w:sz w:val="18"/>
                <w:szCs w:val="18"/>
                <w:color w:val="51555C"/>
              </w:rPr>
              <w:t>Total carrying value of debt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1,205.7</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1,075.0</w:t>
            </w:r>
          </w:p>
        </w:tc>
        <w:tc>
          <w:tcPr>
            <w:tcW w:w="1480" w:type="dxa"/>
            <w:vAlign w:val="bottom"/>
          </w:tcPr>
          <w:p>
            <w:pPr>
              <w:jc w:val="right"/>
              <w:spacing w:after="0"/>
              <w:rPr>
                <w:sz w:val="20"/>
                <w:szCs w:val="20"/>
                <w:color w:val="auto"/>
              </w:rPr>
            </w:pPr>
            <w:r>
              <w:rPr>
                <w:rFonts w:ascii="Arial" w:cs="Arial" w:eastAsia="Arial" w:hAnsi="Arial"/>
                <w:sz w:val="18"/>
                <w:szCs w:val="18"/>
                <w:color w:val="51555C"/>
              </w:rPr>
              <w:t>12.2 %</w:t>
            </w:r>
          </w:p>
        </w:tc>
        <w:tc>
          <w:tcPr>
            <w:tcW w:w="20" w:type="dxa"/>
            <w:vAlign w:val="bottom"/>
          </w:tcPr>
          <w:p>
            <w:pPr>
              <w:spacing w:after="0"/>
              <w:rPr>
                <w:sz w:val="21"/>
                <w:szCs w:val="21"/>
                <w:color w:val="auto"/>
              </w:rPr>
            </w:pPr>
          </w:p>
        </w:tc>
      </w:tr>
      <w:tr>
        <w:trPr>
          <w:trHeight w:val="23"/>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Working capital</w:t>
            </w:r>
          </w:p>
        </w:tc>
        <w:tc>
          <w:tcPr>
            <w:tcW w:w="3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(236.4)</w:t>
            </w:r>
          </w:p>
        </w:tc>
        <w:tc>
          <w:tcPr>
            <w:tcW w:w="24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(275.8)</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14.3 %</w:t>
            </w:r>
          </w:p>
        </w:tc>
        <w:tc>
          <w:tcPr>
            <w:tcW w:w="20" w:type="dxa"/>
            <w:vAlign w:val="bottom"/>
          </w:tcPr>
          <w:p>
            <w:pPr>
              <w:spacing w:after="0"/>
              <w:rPr>
                <w:sz w:val="23"/>
                <w:szCs w:val="23"/>
                <w:color w:val="auto"/>
              </w:rPr>
            </w:pPr>
          </w:p>
        </w:tc>
      </w:tr>
      <w:tr>
        <w:trPr>
          <w:trHeight w:val="457"/>
        </w:trPr>
        <w:tc>
          <w:tcPr>
            <w:tcW w:w="7120" w:type="dxa"/>
            <w:vAlign w:val="bottom"/>
            <w:tcBorders>
              <w:top w:val="single" w:sz="8" w:color="0CD973"/>
            </w:tcBorders>
          </w:tcPr>
          <w:p>
            <w:pPr>
              <w:spacing w:after="0"/>
              <w:rPr>
                <w:sz w:val="20"/>
                <w:szCs w:val="20"/>
                <w:color w:val="auto"/>
              </w:rPr>
            </w:pPr>
            <w:r>
              <w:rPr>
                <w:rFonts w:ascii="Arial" w:cs="Arial" w:eastAsia="Arial" w:hAnsi="Arial"/>
                <w:sz w:val="18"/>
                <w:szCs w:val="18"/>
                <w:color w:val="51555C"/>
              </w:rPr>
              <w:t>The following table presents selected financial information about our cash flows:</w:t>
            </w:r>
          </w:p>
        </w:tc>
        <w:tc>
          <w:tcPr>
            <w:tcW w:w="380" w:type="dxa"/>
            <w:vAlign w:val="bottom"/>
            <w:tcBorders>
              <w:top w:val="single" w:sz="8" w:color="0CD973"/>
            </w:tcBorders>
          </w:tcPr>
          <w:p>
            <w:pPr>
              <w:spacing w:after="0"/>
              <w:rPr>
                <w:sz w:val="24"/>
                <w:szCs w:val="24"/>
                <w:color w:val="auto"/>
              </w:rPr>
            </w:pPr>
          </w:p>
        </w:tc>
        <w:tc>
          <w:tcPr>
            <w:tcW w:w="94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14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7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60" w:type="dxa"/>
            <w:vAlign w:val="bottom"/>
            <w:gridSpan w:val="2"/>
          </w:tcPr>
          <w:p>
            <w:pPr>
              <w:spacing w:after="0"/>
              <w:rPr>
                <w:sz w:val="6"/>
                <w:szCs w:val="6"/>
                <w:color w:val="auto"/>
              </w:rPr>
            </w:pPr>
          </w:p>
        </w:tc>
        <w:tc>
          <w:tcPr>
            <w:tcW w:w="20" w:type="dxa"/>
            <w:vAlign w:val="bottom"/>
          </w:tcPr>
          <w:p>
            <w:pPr>
              <w:spacing w:after="0"/>
              <w:rPr>
                <w:sz w:val="6"/>
                <w:szCs w:val="6"/>
                <w:color w:val="auto"/>
              </w:rPr>
            </w:pPr>
          </w:p>
        </w:tc>
      </w:tr>
      <w:tr>
        <w:trPr>
          <w:trHeight w:val="228"/>
        </w:trPr>
        <w:tc>
          <w:tcPr>
            <w:tcW w:w="712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25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 March 31,</w:t>
            </w:r>
          </w:p>
        </w:tc>
        <w:tc>
          <w:tcPr>
            <w:tcW w:w="20" w:type="dxa"/>
            <w:vAlign w:val="bottom"/>
            <w:shd w:val="clear" w:color="auto" w:fill="004054"/>
          </w:tcPr>
          <w:p>
            <w:pPr>
              <w:spacing w:after="0"/>
              <w:rPr>
                <w:sz w:val="19"/>
                <w:szCs w:val="19"/>
                <w:color w:val="auto"/>
              </w:rPr>
            </w:pPr>
          </w:p>
        </w:tc>
      </w:tr>
      <w:tr>
        <w:trPr>
          <w:trHeight w:val="252"/>
        </w:trPr>
        <w:tc>
          <w:tcPr>
            <w:tcW w:w="71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tcBorders>
              <w:bottom w:val="single" w:sz="8" w:color="004054"/>
            </w:tcBorders>
            <w:shd w:val="clear" w:color="auto" w:fill="004054"/>
          </w:tcPr>
          <w:p>
            <w:pPr>
              <w:spacing w:after="0"/>
              <w:rPr>
                <w:sz w:val="21"/>
                <w:szCs w:val="21"/>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40" w:type="dxa"/>
            <w:vAlign w:val="bottom"/>
            <w:tcBorders>
              <w:bottom w:val="single" w:sz="8" w:color="004054"/>
            </w:tcBorders>
            <w:shd w:val="clear" w:color="auto" w:fill="004054"/>
          </w:tcPr>
          <w:p>
            <w:pPr>
              <w:spacing w:after="0"/>
              <w:rPr>
                <w:sz w:val="21"/>
                <w:szCs w:val="21"/>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2024</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21"/>
                <w:szCs w:val="21"/>
                <w:color w:val="auto"/>
              </w:rPr>
            </w:pPr>
          </w:p>
        </w:tc>
      </w:tr>
      <w:tr>
        <w:trPr>
          <w:trHeight w:val="250"/>
        </w:trPr>
        <w:tc>
          <w:tcPr>
            <w:tcW w:w="7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operating activities</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64.6</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(97.9)%</w:t>
            </w:r>
          </w:p>
        </w:tc>
        <w:tc>
          <w:tcPr>
            <w:tcW w:w="20" w:type="dxa"/>
            <w:vAlign w:val="bottom"/>
          </w:tcPr>
          <w:p>
            <w:pPr>
              <w:spacing w:after="0"/>
              <w:rPr>
                <w:sz w:val="21"/>
                <w:szCs w:val="21"/>
                <w:color w:val="auto"/>
              </w:rPr>
            </w:pPr>
          </w:p>
        </w:tc>
      </w:tr>
      <w:tr>
        <w:trPr>
          <w:trHeight w:val="247"/>
        </w:trPr>
        <w:tc>
          <w:tcPr>
            <w:tcW w:w="7120" w:type="dxa"/>
            <w:vAlign w:val="bottom"/>
          </w:tcPr>
          <w:p>
            <w:pPr>
              <w:ind w:left="20"/>
              <w:spacing w:after="0"/>
              <w:rPr>
                <w:sz w:val="20"/>
                <w:szCs w:val="20"/>
                <w:color w:val="auto"/>
              </w:rPr>
            </w:pPr>
            <w:r>
              <w:rPr>
                <w:rFonts w:ascii="Arial" w:cs="Arial" w:eastAsia="Arial" w:hAnsi="Arial"/>
                <w:sz w:val="18"/>
                <w:szCs w:val="18"/>
                <w:color w:val="51555C"/>
              </w:rPr>
              <w:t>Net cash used in investing activities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(25.9)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(14.5)</w:t>
            </w:r>
          </w:p>
        </w:tc>
        <w:tc>
          <w:tcPr>
            <w:tcW w:w="1480" w:type="dxa"/>
            <w:vAlign w:val="bottom"/>
          </w:tcPr>
          <w:p>
            <w:pPr>
              <w:jc w:val="right"/>
              <w:spacing w:after="0"/>
              <w:rPr>
                <w:sz w:val="20"/>
                <w:szCs w:val="20"/>
                <w:color w:val="auto"/>
              </w:rPr>
            </w:pPr>
            <w:r>
              <w:rPr>
                <w:rFonts w:ascii="Arial" w:cs="Arial" w:eastAsia="Arial" w:hAnsi="Arial"/>
                <w:sz w:val="18"/>
                <w:szCs w:val="18"/>
                <w:color w:val="51555C"/>
              </w:rPr>
              <w:t>78.4 %</w:t>
            </w:r>
          </w:p>
        </w:tc>
        <w:tc>
          <w:tcPr>
            <w:tcW w:w="20" w:type="dxa"/>
            <w:vAlign w:val="bottom"/>
          </w:tcPr>
          <w:p>
            <w:pPr>
              <w:spacing w:after="0"/>
              <w:rPr>
                <w:sz w:val="21"/>
                <w:szCs w:val="21"/>
                <w:color w:val="auto"/>
              </w:rPr>
            </w:pPr>
          </w:p>
        </w:tc>
      </w:tr>
      <w:tr>
        <w:trPr>
          <w:trHeight w:val="23"/>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used in financing activities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(330.0)</w:t>
            </w: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(394.6)</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(16.4)%</w:t>
            </w:r>
          </w:p>
        </w:tc>
        <w:tc>
          <w:tcPr>
            <w:tcW w:w="20" w:type="dxa"/>
            <w:vAlign w:val="bottom"/>
          </w:tcPr>
          <w:p>
            <w:pPr>
              <w:spacing w:after="0"/>
              <w:rPr>
                <w:sz w:val="21"/>
                <w:szCs w:val="21"/>
                <w:color w:val="auto"/>
              </w:rPr>
            </w:pPr>
          </w:p>
        </w:tc>
      </w:tr>
      <w:tr>
        <w:trPr>
          <w:trHeight w:val="20"/>
        </w:trPr>
        <w:tc>
          <w:tcPr>
            <w:tcW w:w="712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14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-685165</wp:posOffset>
            </wp:positionV>
            <wp:extent cx="26231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1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At March 31, 2025, our total cash and cash equivalents balance included approximately $17.8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209550</wp:posOffset>
            </wp:positionV>
            <wp:extent cx="65976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Operating Cash Flow</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Working capital changes are composed of changes in accounts receivable, prepaid expenses and other assets, trade accounts payable, accrued expenses and other liabilities, and deferred revenue.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Net cash provided by operating activities decreased by $63.2 million during the three months ended March 31, 2025, when compared to the same period in 2024, primarily due to a $14.3 million decrease in net income adjusted for non-cash expenses and a $48.9 million decrease in cash flow from operations associated with working capital.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decrease in cash flow from operations associated with working capital during the three months ended March 31, 2025, when compared to the same period in 2024, was primarily due to:</w:t>
      </w:r>
    </w:p>
    <w:p>
      <w:pPr>
        <w:spacing w:after="0" w:line="99"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51555C"/>
        </w:rPr>
      </w:pPr>
      <w:r>
        <w:rPr>
          <w:rFonts w:ascii="Arial" w:cs="Arial" w:eastAsia="Arial" w:hAnsi="Arial"/>
          <w:sz w:val="18"/>
          <w:szCs w:val="18"/>
          <w:color w:val="51555C"/>
        </w:rPr>
        <w:t>fluctuations in the timing of vendor payments;</w:t>
      </w:r>
    </w:p>
    <w:p>
      <w:pPr>
        <w:spacing w:after="0" w:line="171" w:lineRule="exact"/>
        <w:rPr>
          <w:rFonts w:ascii="Arial" w:cs="Arial" w:eastAsia="Arial" w:hAnsi="Arial"/>
          <w:sz w:val="18"/>
          <w:szCs w:val="18"/>
          <w:color w:val="51555C"/>
        </w:rPr>
      </w:pPr>
    </w:p>
    <w:p>
      <w:pPr>
        <w:ind w:left="660" w:right="20" w:hanging="328"/>
        <w:spacing w:after="0" w:line="287" w:lineRule="auto"/>
        <w:tabs>
          <w:tab w:leader="none" w:pos="628" w:val="left"/>
        </w:tabs>
        <w:numPr>
          <w:ilvl w:val="0"/>
          <w:numId w:val="32"/>
        </w:numPr>
        <w:rPr>
          <w:rFonts w:ascii="Arial" w:cs="Arial" w:eastAsia="Arial" w:hAnsi="Arial"/>
          <w:sz w:val="18"/>
          <w:szCs w:val="18"/>
          <w:color w:val="51555C"/>
        </w:rPr>
      </w:pPr>
      <w:r>
        <w:rPr>
          <w:rFonts w:ascii="Arial" w:cs="Arial" w:eastAsia="Arial" w:hAnsi="Arial"/>
          <w:sz w:val="18"/>
          <w:szCs w:val="18"/>
          <w:color w:val="51555C"/>
        </w:rPr>
        <w:t>an increase in prepaid taxes during the first quarter of 2025 compared to an increase in taxes payable during the same period in 2024; and</w:t>
      </w:r>
    </w:p>
    <w:p>
      <w:pPr>
        <w:spacing w:after="0" w:line="98" w:lineRule="exact"/>
        <w:rPr>
          <w:rFonts w:ascii="Arial" w:cs="Arial" w:eastAsia="Arial" w:hAnsi="Arial"/>
          <w:sz w:val="18"/>
          <w:szCs w:val="18"/>
          <w:color w:val="51555C"/>
        </w:rPr>
      </w:pPr>
    </w:p>
    <w:p>
      <w:pPr>
        <w:ind w:left="660" w:right="20" w:hanging="328"/>
        <w:spacing w:after="0" w:line="287" w:lineRule="auto"/>
        <w:tabs>
          <w:tab w:leader="none" w:pos="628" w:val="left"/>
        </w:tabs>
        <w:numPr>
          <w:ilvl w:val="0"/>
          <w:numId w:val="32"/>
        </w:numPr>
        <w:rPr>
          <w:rFonts w:ascii="Arial" w:cs="Arial" w:eastAsia="Arial" w:hAnsi="Arial"/>
          <w:sz w:val="18"/>
          <w:szCs w:val="18"/>
          <w:color w:val="51555C"/>
        </w:rPr>
      </w:pPr>
      <w:r>
        <w:rPr>
          <w:rFonts w:ascii="Arial" w:cs="Arial" w:eastAsia="Arial" w:hAnsi="Arial"/>
          <w:sz w:val="18"/>
          <w:szCs w:val="18"/>
          <w:color w:val="51555C"/>
        </w:rPr>
        <w:t>a decrease in accrued expenses during the first quarter of 2025 related to disposition-related costs compared to an increase in accrued expenses during the first quarter of 2024 related to the Security Incident.</w:t>
      </w:r>
    </w:p>
    <w:p>
      <w:pPr>
        <w:spacing w:after="0" w:line="99"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51555C"/>
        </w:rPr>
        <w:t xml:space="preserve">See discussion of the Security Incident in Note 8 to our unaudited, condensed consolidated financial statements in this report. </w:t>
      </w:r>
      <w:r>
        <w:rPr>
          <w:rFonts w:ascii="Arial" w:cs="Arial" w:eastAsia="Arial" w:hAnsi="Arial"/>
          <w:sz w:val="18"/>
          <w:szCs w:val="18"/>
          <w:b w:val="1"/>
          <w:bCs w:val="1"/>
          <w:color w:val="51555C"/>
        </w:rPr>
        <w:t>Investing Cash Flow</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Net cash used in investing activities of $25.9 million increased by $11.4 million during the three months ended March 31, 2025, when compared to the same period in 2024.</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During the three months ended March 31, 2025, we used cash of $13.0 million for software development costs and $ 0.7 million for purchases of property and equipment, both of which were relatively consistent with cash spent during the same period in 2024. During the three months ended March 31, 2025, we used net cash of $12.2 million for the disposition of a business compared to $1.2 million used during the same period in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Cash Flow</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During the three months ended March 31, 2025, we had a net increase in borrowings of $130.7 million, primarily due to our stock repurchase program and to satisfy tax obligations of employees upon settlement of equity awards (see discussion below).</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paid $37.9 million to satisfy tax obligations of employees upon settlement of equity awards during the three months ended March 31, 2025 compared to $52.7 million during the same period in 2024.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During the three months ended March 31, 2025, cash flow from financing activities associated with changes in restricted cash due to customers decreased $320.2 million, compared to a decrease of $336.6 million during the same period in 2024. This line in the statement of cash flows represents the change in the amount of restricted cash held and payable by us to customers from one period to the next. This restricted cash due to customers is not available to us for operational purposes.</w:t>
      </w:r>
    </w:p>
    <w:p>
      <w:pPr>
        <w:spacing w:after="0" w:line="30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65151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 repurchase program</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July 16, 2024, our Board of Directors reauthorized, expanded and replenished our stock repurchase program by expanding the total capacity under the program to $800.0 million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w:t>
      </w:r>
    </w:p>
    <w:p>
      <w:pPr>
        <w:spacing w:after="0" w:line="12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During the three months ended March 31, 2025, we repurchased 1,513,022 shares for $100.0 million. The remaining amount available to purchase stock under the stock repurchase program was $544.5 million as of March 31, 2025. During 2025, we intend to repurchase between 3% and 5% of our outstanding common stock as of December 31, 2024 under our existing stock repurchase program, including net share settlement of employee stock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2024 Credit Facilities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Historically, we have drawn on our credit facility from time to time to help us meet financial needs, primarily due to the seasonality of our cash flows from operations and financing for business acquisitions. At March 31, 2025, our available borrowing capacity under the 2024 Credit Facilities was $333.7 million. The 2024 Credit Facilities mature in April 2029.</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At March 31, 2025, the carrying amount of our debt under the 2024 Credit Facilities was $1.1 billion. Our average daily borrowings during the three months ended March 31, 2025 were $1.0 billion.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is a summary of the financial covenants under the 2024 Credit Facilities: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9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Ratio as of March 31, 2025</w:t>
            </w:r>
          </w:p>
        </w:tc>
      </w:tr>
      <w:tr>
        <w:trPr>
          <w:trHeight w:val="324"/>
        </w:trPr>
        <w:tc>
          <w:tcPr>
            <w:tcW w:w="499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Net leverage ratio</w:t>
            </w:r>
            <w:r>
              <w:rPr>
                <w:rFonts w:ascii="Arial" w:cs="Arial" w:eastAsia="Arial" w:hAnsi="Arial"/>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 3.75 to 1.00</w:t>
            </w:r>
          </w:p>
        </w:tc>
        <w:tc>
          <w:tcPr>
            <w:tcW w:w="337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8"/>
              </w:rPr>
              <w:t>2.91 to 1.00</w:t>
            </w:r>
          </w:p>
        </w:tc>
      </w:tr>
      <w:tr>
        <w:trPr>
          <w:trHeight w:val="247"/>
        </w:trPr>
        <w:tc>
          <w:tcPr>
            <w:tcW w:w="4990" w:type="dxa"/>
            <w:vAlign w:val="bottom"/>
          </w:tcPr>
          <w:p>
            <w:pPr>
              <w:ind w:left="20"/>
              <w:spacing w:after="0"/>
              <w:rPr>
                <w:sz w:val="20"/>
                <w:szCs w:val="20"/>
                <w:color w:val="auto"/>
              </w:rPr>
            </w:pPr>
            <w:r>
              <w:rPr>
                <w:rFonts w:ascii="Arial" w:cs="Arial" w:eastAsia="Arial" w:hAnsi="Arial"/>
                <w:sz w:val="18"/>
                <w:szCs w:val="18"/>
                <w:color w:val="51555C"/>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51555C"/>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51555C"/>
                <w:w w:val="98"/>
              </w:rPr>
              <w:t>6.51 to 1.00</w:t>
            </w:r>
          </w:p>
        </w:tc>
      </w:tr>
      <w:tr>
        <w:trPr>
          <w:trHeight w:val="23"/>
        </w:trPr>
        <w:tc>
          <w:tcPr>
            <w:tcW w:w="4990" w:type="dxa"/>
            <w:vAlign w:val="bottom"/>
            <w:tcBorders>
              <w:bottom w:val="single" w:sz="8" w:color="0CD973"/>
            </w:tcBorders>
          </w:tcPr>
          <w:p>
            <w:pPr>
              <w:spacing w:after="0"/>
              <w:rPr>
                <w:sz w:val="2"/>
                <w:szCs w:val="2"/>
                <w:color w:val="auto"/>
              </w:rPr>
            </w:pPr>
          </w:p>
        </w:tc>
        <w:tc>
          <w:tcPr>
            <w:tcW w:w="2860" w:type="dxa"/>
            <w:vAlign w:val="bottom"/>
            <w:tcBorders>
              <w:bottom w:val="single" w:sz="8" w:color="0CD973"/>
            </w:tcBorders>
          </w:tcPr>
          <w:p>
            <w:pPr>
              <w:spacing w:after="0"/>
              <w:rPr>
                <w:sz w:val="2"/>
                <w:szCs w:val="2"/>
                <w:color w:val="auto"/>
              </w:rPr>
            </w:pPr>
          </w:p>
        </w:tc>
        <w:tc>
          <w:tcPr>
            <w:tcW w:w="3370" w:type="dxa"/>
            <w:vAlign w:val="bottom"/>
            <w:tcBorders>
              <w:bottom w:val="single" w:sz="8" w:color="0CD973"/>
            </w:tcBorders>
          </w:tcPr>
          <w:p>
            <w:pPr>
              <w:spacing w:after="0"/>
              <w:rPr>
                <w:sz w:val="2"/>
                <w:szCs w:val="2"/>
                <w:color w:val="auto"/>
              </w:rPr>
            </w:pPr>
          </w:p>
        </w:tc>
      </w:tr>
    </w:tbl>
    <w:p>
      <w:pPr>
        <w:spacing w:after="0" w:line="85" w:lineRule="exact"/>
        <w:rPr>
          <w:sz w:val="20"/>
          <w:szCs w:val="20"/>
          <w:color w:val="auto"/>
        </w:rPr>
      </w:pPr>
    </w:p>
    <w:p>
      <w:pPr>
        <w:ind w:left="340" w:right="20" w:hanging="332"/>
        <w:spacing w:after="0" w:line="285"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March 31, 2025, we were in compliance with our debt covenants under the 2024 Credit Facilities. See Note 6 to our unaudited, condensed consolidated financial statements in this report for additional information regarding the 2024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221615</wp:posOffset>
            </wp:positionV>
            <wp:extent cx="65976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37</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Commitments and Contingencies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2700" w:type="dxa"/>
            <w:vAlign w:val="bottom"/>
            <w:gridSpan w:val="4"/>
            <w:shd w:val="clear" w:color="auto" w:fill="004054"/>
          </w:tcPr>
          <w:p>
            <w:pPr>
              <w:jc w:val="right"/>
              <w:ind w:right="15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004054"/>
          </w:tcPr>
          <w:p>
            <w:pPr>
              <w:spacing w:after="0"/>
              <w:rPr>
                <w:sz w:val="19"/>
                <w:szCs w:val="19"/>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004054"/>
          </w:tcPr>
          <w:p>
            <w:pPr>
              <w:spacing w:after="0"/>
              <w:rPr>
                <w:sz w:val="19"/>
                <w:szCs w:val="19"/>
                <w:color w:val="auto"/>
              </w:rPr>
            </w:pPr>
          </w:p>
        </w:tc>
        <w:tc>
          <w:tcPr>
            <w:tcW w:w="920" w:type="dxa"/>
            <w:vAlign w:val="bottom"/>
            <w:vMerge w:val="continue"/>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Recorded contractual obligations:</w:t>
            </w:r>
          </w:p>
        </w:tc>
        <w:tc>
          <w:tcPr>
            <w:tcW w:w="380" w:type="dxa"/>
            <w:vAlign w:val="bottom"/>
            <w:shd w:val="clear" w:color="auto" w:fill="EBFBFF"/>
          </w:tcPr>
          <w:p>
            <w:pPr>
              <w:spacing w:after="0"/>
              <w:rPr>
                <w:sz w:val="23"/>
                <w:szCs w:val="23"/>
                <w:color w:val="auto"/>
              </w:rPr>
            </w:pPr>
          </w:p>
        </w:tc>
        <w:tc>
          <w:tcPr>
            <w:tcW w:w="94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960" w:type="dxa"/>
            <w:vAlign w:val="bottom"/>
            <w:shd w:val="clear" w:color="auto" w:fill="EBFBFF"/>
          </w:tcPr>
          <w:p>
            <w:pPr>
              <w:spacing w:after="0"/>
              <w:rPr>
                <w:sz w:val="23"/>
                <w:szCs w:val="23"/>
                <w:color w:val="auto"/>
              </w:rPr>
            </w:pPr>
          </w:p>
        </w:tc>
        <w:tc>
          <w:tcPr>
            <w:tcW w:w="420" w:type="dxa"/>
            <w:vAlign w:val="bottom"/>
            <w:shd w:val="clear" w:color="auto" w:fill="EBFBFF"/>
          </w:tcPr>
          <w:p>
            <w:pPr>
              <w:spacing w:after="0"/>
              <w:rPr>
                <w:sz w:val="23"/>
                <w:szCs w:val="23"/>
                <w:color w:val="auto"/>
              </w:rPr>
            </w:pPr>
          </w:p>
        </w:tc>
        <w:tc>
          <w:tcPr>
            <w:tcW w:w="92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40" w:type="dxa"/>
            <w:vAlign w:val="bottom"/>
          </w:tcPr>
          <w:p>
            <w:pPr>
              <w:ind w:left="140"/>
              <w:spacing w:after="0"/>
              <w:rPr>
                <w:sz w:val="20"/>
                <w:szCs w:val="20"/>
                <w:color w:val="auto"/>
              </w:rPr>
            </w:pPr>
            <w:r>
              <w:rPr>
                <w:rFonts w:ascii="Arial" w:cs="Arial" w:eastAsia="Arial" w:hAnsi="Arial"/>
                <w:sz w:val="18"/>
                <w:szCs w:val="18"/>
                <w:color w:val="51555C"/>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23.4</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Pr>
          <w:p>
            <w:pPr>
              <w:jc w:val="right"/>
              <w:spacing w:after="0"/>
              <w:rPr>
                <w:sz w:val="20"/>
                <w:szCs w:val="20"/>
                <w:color w:val="auto"/>
              </w:rPr>
            </w:pPr>
            <w:r>
              <w:rPr>
                <w:rFonts w:ascii="Arial" w:cs="Arial" w:eastAsia="Arial" w:hAnsi="Arial"/>
                <w:sz w:val="18"/>
                <w:szCs w:val="18"/>
                <w:color w:val="51555C"/>
              </w:rPr>
              <w:t>1,184.6</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1,207.9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w:t>
            </w: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240" w:type="dxa"/>
            <w:vAlign w:val="bottom"/>
          </w:tcPr>
          <w:p>
            <w:pPr>
              <w:ind w:left="140"/>
              <w:spacing w:after="0"/>
              <w:rPr>
                <w:sz w:val="20"/>
                <w:szCs w:val="20"/>
                <w:color w:val="auto"/>
              </w:rPr>
            </w:pPr>
            <w:r>
              <w:rPr>
                <w:rFonts w:ascii="Arial" w:cs="Arial" w:eastAsia="Arial" w:hAnsi="Arial"/>
                <w:sz w:val="18"/>
                <w:szCs w:val="18"/>
                <w:color w:val="51555C"/>
              </w:rPr>
              <w:t>Interest payments on debt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1.0</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Unrecorded contractual obligations:</w:t>
            </w:r>
          </w:p>
        </w:tc>
        <w:tc>
          <w:tcPr>
            <w:tcW w:w="380" w:type="dxa"/>
            <w:vAlign w:val="bottom"/>
            <w:shd w:val="clear" w:color="auto" w:fill="EBFBFF"/>
          </w:tcPr>
          <w:p>
            <w:pPr>
              <w:spacing w:after="0"/>
              <w:rPr>
                <w:sz w:val="23"/>
                <w:szCs w:val="23"/>
                <w:color w:val="auto"/>
              </w:rPr>
            </w:pPr>
          </w:p>
        </w:tc>
        <w:tc>
          <w:tcPr>
            <w:tcW w:w="94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960" w:type="dxa"/>
            <w:vAlign w:val="bottom"/>
            <w:shd w:val="clear" w:color="auto" w:fill="EBFBFF"/>
          </w:tcPr>
          <w:p>
            <w:pPr>
              <w:spacing w:after="0"/>
              <w:rPr>
                <w:sz w:val="23"/>
                <w:szCs w:val="23"/>
                <w:color w:val="auto"/>
              </w:rPr>
            </w:pPr>
          </w:p>
        </w:tc>
        <w:tc>
          <w:tcPr>
            <w:tcW w:w="420" w:type="dxa"/>
            <w:vAlign w:val="bottom"/>
            <w:shd w:val="clear" w:color="auto" w:fill="EBFBFF"/>
          </w:tcPr>
          <w:p>
            <w:pPr>
              <w:spacing w:after="0"/>
              <w:rPr>
                <w:sz w:val="23"/>
                <w:szCs w:val="23"/>
                <w:color w:val="auto"/>
              </w:rPr>
            </w:pPr>
          </w:p>
        </w:tc>
        <w:tc>
          <w:tcPr>
            <w:tcW w:w="92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40" w:type="dxa"/>
            <w:vAlign w:val="bottom"/>
          </w:tcPr>
          <w:p>
            <w:pPr>
              <w:ind w:left="140"/>
              <w:spacing w:after="0"/>
              <w:rPr>
                <w:sz w:val="20"/>
                <w:szCs w:val="20"/>
                <w:color w:val="auto"/>
              </w:rPr>
            </w:pPr>
            <w:r>
              <w:rPr>
                <w:rFonts w:ascii="Arial" w:cs="Arial" w:eastAsia="Arial" w:hAnsi="Arial"/>
                <w:sz w:val="18"/>
                <w:szCs w:val="18"/>
                <w:color w:val="51555C"/>
              </w:rPr>
              <w:t>Purchase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89.4</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105.3</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194.7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Interest payments on debt</w:t>
            </w:r>
          </w:p>
        </w:tc>
        <w:tc>
          <w:tcPr>
            <w:tcW w:w="3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69.9</w:t>
            </w:r>
          </w:p>
        </w:tc>
        <w:tc>
          <w:tcPr>
            <w:tcW w:w="3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230.4</w:t>
            </w:r>
          </w:p>
        </w:tc>
        <w:tc>
          <w:tcPr>
            <w:tcW w:w="4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24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Total contractual obligations</w:t>
            </w:r>
            <w:r>
              <w:rPr>
                <w:rFonts w:ascii="Arial" w:cs="Arial" w:eastAsia="Arial" w:hAnsi="Arial"/>
                <w:sz w:val="23"/>
                <w:szCs w:val="23"/>
                <w:b w:val="1"/>
                <w:bCs w:val="1"/>
                <w:color w:val="51555C"/>
                <w:vertAlign w:val="superscript"/>
              </w:rPr>
              <w:t>(1)</w:t>
            </w:r>
          </w:p>
        </w:tc>
        <w:tc>
          <w:tcPr>
            <w:tcW w:w="380" w:type="dxa"/>
            <w:vAlign w:val="bottom"/>
            <w:tcBorders>
              <w:top w:val="single" w:sz="8" w:color="51555C"/>
              <w:bottom w:val="single" w:sz="8" w:color="0CD973"/>
            </w:tcBorders>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183.9</w:t>
            </w:r>
          </w:p>
        </w:tc>
        <w:tc>
          <w:tcPr>
            <w:tcW w:w="380" w:type="dxa"/>
            <w:vAlign w:val="bottom"/>
            <w:tcBorders>
              <w:top w:val="single" w:sz="8" w:color="51555C"/>
              <w:bottom w:val="single" w:sz="8" w:color="0CD973"/>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1,523.8</w:t>
            </w:r>
          </w:p>
        </w:tc>
        <w:tc>
          <w:tcPr>
            <w:tcW w:w="420" w:type="dxa"/>
            <w:vAlign w:val="bottom"/>
            <w:tcBorders>
              <w:top w:val="single" w:sz="8" w:color="51555C"/>
              <w:bottom w:val="single" w:sz="8" w:color="0CD973"/>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1,707.7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-1687830</wp:posOffset>
            </wp:positionV>
            <wp:extent cx="25546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The individual amounts may not sum to the total due to rounding.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Debt</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March 31, 2025, we had total remaining principal payments of $1.2 billion. These payments represent principal payments only, under the following assumptions: (i) that the amounts outstanding under the 2024 Credit Facilities, our real estate loans and our other debt at March 31, 2025 will remain outstanding until maturity, with minimum payments occurring as currently scheduled, and (ii) 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Interest payments on debt</w:t>
      </w:r>
    </w:p>
    <w:p>
      <w:pPr>
        <w:spacing w:after="0" w:line="16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In addition to principal payments, as of March 31, 2025, we expect to pay interest expense over the life of our debt obligations of approximately $301.3 million. These payments represent our estimated future interest payments on debt using our debt balances and the related weighted average effective interest rates as of March 31, 2025,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Operating leases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March 31, 2025, we had remaining operating lease payments of $3.7 million. These payments have not been reduced by sublease income, incentive payments, reimbursement of leasehold improvements or the amount representing imputed interest which was insignificant. Our operating leases are generally for corporate offices, subleased offices and certain equipment and furniture. Given our remote-first workforce strategy and real estate footprint optimization efforts, we do not anticipate entering any new, material operating leases for offices for the foreseeable future. See Note 8 to our unaudited, condensed consolidated financial statements in this report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Purchase obligations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March 31, 2025, we had remaining purchase obligations of $194.7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March 31, 2025, as we had not received the related services. See Note 8 to our unaudited, condensed consolidated financial statements in this report for more information.</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total liability for uncertain tax positions as of March 31, 2025 was $5.4 million. Our accrued interest and penalties related to tax positions taken on our tax returns was insignificant as of March 31, 2025.</w:t>
      </w:r>
    </w:p>
    <w:p>
      <w:pPr>
        <w:spacing w:after="0" w:line="29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65151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In connection with the settlement of the multi-state Attorneys General investigation, the California Attorney General investigation and the FTC investigation relating to the Security Incident, as discussed in Note 11 to our audited consolidated financial statements contained in our Annual Report on Form 10-K filed with the SEC on February 21, 2025, we have agreed to implement and improve certain of our cybersecurity programs and tools through May 2044. The currently anticipated costs in connection with these efforts are primarily expected to be expensed as incurred.</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Approximately 15% of our total revenue for the three months ended March 31, 2025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$9.4 million as of March 31, 2025 and a loss of $12.7 million as of December 31, 2024. We have entered into foreign currency forward contracts to hedge a portion of the foreign currency exposure that arises on translation of our investments denominated in British Pounds into U.S. dollars.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three months ended March 31, 2025,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2025, the fluctuation in foreign currency exchange rates impacted our total revenue and our income from operations by insignificant amounts.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There have been no significant changes in our critical accounting policies and estimates during the three months ended March 31, 2025 as compared to those disclosed in “Management’s Discussion and Analysis of Financial Condition and Results of Operations” included in our Annual Report on Form 10-K for the fiscal year ended December 31, 2024.</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39</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8"/>
          <w:szCs w:val="28"/>
          <w:b w:val="1"/>
          <w:bCs w:val="1"/>
          <w:color w:val="004054"/>
        </w:rPr>
        <w:t>ITEM 3. 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51555C"/>
        </w:rPr>
        <w:t>We have market rate sensitivity for interest rates and foreign currency exchange rates.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March 31, 2025, we believe that the risk of exposure to changing interest rates for those positions is immaterial. There were no significant changes in how we manage interest rate risk between December 31, 2024 and March 31, 2025.</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For a discussion of our exposure to foreign currency exchange rate fluctuations, see “Management’s Discussion and Analysis of Financial Condition and Results of Operations — Foreign Currency Exchange Rates”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4. CONTROLS AND PROCEDURES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No changes in internal control over financial reporting occurred during the most recent fiscal quarter ended March 31, 2025 with respect to our operations, which have materially affected, or are reasonably likely to materially affect, our internal control over financial reporting.</w:t>
      </w:r>
    </w:p>
    <w:p>
      <w:pPr>
        <w:spacing w:after="0" w:line="27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65151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legal proceedings, see Note 8 to our unaudited, condensed consolidated financial statements in this report.</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1A. RISK FACTORS</w:t>
      </w:r>
    </w:p>
    <w:p>
      <w:pPr>
        <w:spacing w:after="0" w:line="19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Our operations and financial results are subject to various risks and uncertainties, including those described in Part I, Item 1A, "Risk factors" in our Annual Report on Form 10-K for the year ended December 31, 2024 (the "Annual Report"), which could adversely affect our business, financial condition, results of operations, cash flows, and the trading price of our stock. There have been no material changes to our risk factors since our Annual Report was filed with the Securities and Exchange Commission on February 21, 2025.</w:t>
      </w:r>
    </w:p>
    <w:p>
      <w:pPr>
        <w:spacing w:after="0" w:line="215" w:lineRule="exact"/>
        <w:rPr>
          <w:sz w:val="20"/>
          <w:szCs w:val="20"/>
          <w:color w:val="auto"/>
        </w:rPr>
      </w:pPr>
    </w:p>
    <w:p>
      <w:pPr>
        <w:ind w:right="1540"/>
        <w:spacing w:after="0" w:line="288" w:lineRule="auto"/>
        <w:rPr>
          <w:sz w:val="20"/>
          <w:szCs w:val="20"/>
          <w:color w:val="auto"/>
        </w:rPr>
      </w:pPr>
      <w:r>
        <w:rPr>
          <w:rFonts w:ascii="Arial" w:cs="Arial" w:eastAsia="Arial" w:hAnsi="Arial"/>
          <w:sz w:val="29"/>
          <w:szCs w:val="29"/>
          <w:b w:val="1"/>
          <w:bCs w:val="1"/>
          <w:color w:val="004054"/>
        </w:rPr>
        <w:t>ITEM 2. UNREGISTERED SALES OF EQUITY SECURITIES AND USE OF PROCEEDS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following table provides information about shares of common stock acquired or repurchased during the three months ended March 31, 2025 under the stock repurchase program then in effect, as well as common stock withheld by us to satisfy the minimum tax obligations of employees due upon vesting of restricted stock awards and units.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004054"/>
          </w:tcPr>
          <w:p>
            <w:pPr>
              <w:spacing w:after="0"/>
              <w:rPr>
                <w:sz w:val="16"/>
                <w:szCs w:val="16"/>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004054"/>
          </w:tcPr>
          <w:p>
            <w:pPr>
              <w:spacing w:after="0"/>
              <w:rPr>
                <w:sz w:val="15"/>
                <w:szCs w:val="15"/>
                <w:color w:val="auto"/>
              </w:rPr>
            </w:pPr>
          </w:p>
        </w:tc>
      </w:tr>
      <w:tr>
        <w:trPr>
          <w:trHeight w:val="162"/>
        </w:trPr>
        <w:tc>
          <w:tcPr>
            <w:tcW w:w="54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004054"/>
          </w:tcPr>
          <w:p>
            <w:pPr>
              <w:spacing w:after="0"/>
              <w:rPr>
                <w:sz w:val="14"/>
                <w:szCs w:val="14"/>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004054"/>
          </w:tcPr>
          <w:p>
            <w:pPr>
              <w:spacing w:after="0"/>
              <w:rPr>
                <w:sz w:val="15"/>
                <w:szCs w:val="15"/>
                <w:color w:val="auto"/>
              </w:rPr>
            </w:pPr>
          </w:p>
        </w:tc>
      </w:tr>
      <w:tr>
        <w:trPr>
          <w:trHeight w:val="173"/>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004054"/>
          </w:tcPr>
          <w:p>
            <w:pPr>
              <w:spacing w:after="0"/>
              <w:rPr>
                <w:sz w:val="15"/>
                <w:szCs w:val="15"/>
                <w:color w:val="auto"/>
              </w:rPr>
            </w:pPr>
          </w:p>
        </w:tc>
      </w:tr>
      <w:tr>
        <w:trPr>
          <w:trHeight w:val="228"/>
        </w:trPr>
        <w:tc>
          <w:tcPr>
            <w:tcW w:w="54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004054"/>
          </w:tcPr>
          <w:p>
            <w:pPr>
              <w:spacing w:after="0"/>
              <w:rPr>
                <w:sz w:val="19"/>
                <w:szCs w:val="19"/>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c>
          <w:tcPr>
            <w:tcW w:w="1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r>
              <w:rPr>
                <w:rFonts w:ascii="Arial" w:cs="Arial" w:eastAsia="Arial" w:hAnsi="Arial"/>
                <w:sz w:val="18"/>
                <w:szCs w:val="18"/>
                <w:b w:val="1"/>
                <w:bCs w:val="1"/>
                <w:color w:val="FFFFFF"/>
                <w:vertAlign w:val="superscript"/>
              </w:rPr>
              <w:t>(2)</w:t>
            </w:r>
          </w:p>
        </w:tc>
        <w:tc>
          <w:tcPr>
            <w:tcW w:w="20" w:type="dxa"/>
            <w:vAlign w:val="bottom"/>
            <w:shd w:val="clear" w:color="auto" w:fill="004054"/>
          </w:tcPr>
          <w:p>
            <w:pPr>
              <w:spacing w:after="0"/>
              <w:rPr>
                <w:sz w:val="19"/>
                <w:szCs w:val="19"/>
                <w:color w:val="auto"/>
              </w:rPr>
            </w:pPr>
          </w:p>
        </w:tc>
      </w:tr>
      <w:tr>
        <w:trPr>
          <w:trHeight w:val="250"/>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Beginning balance, January 1, 2025</w:t>
            </w: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644,562</w:t>
            </w:r>
          </w:p>
        </w:tc>
        <w:tc>
          <w:tcPr>
            <w:tcW w:w="20" w:type="dxa"/>
            <w:vAlign w:val="bottom"/>
          </w:tcPr>
          <w:p>
            <w:pPr>
              <w:spacing w:after="0"/>
              <w:rPr>
                <w:sz w:val="21"/>
                <w:szCs w:val="21"/>
                <w:color w:val="auto"/>
              </w:rPr>
            </w:pP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51555C"/>
              </w:rPr>
              <w:t>January 1, 2025 through January 31, 2025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51555C"/>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51555C"/>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18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8"/>
                <w:szCs w:val="18"/>
                <w:color w:val="51555C"/>
              </w:rPr>
              <w:t>644,562</w:t>
            </w:r>
          </w:p>
        </w:tc>
        <w:tc>
          <w:tcPr>
            <w:tcW w:w="20" w:type="dxa"/>
            <w:vAlign w:val="bottom"/>
          </w:tcPr>
          <w:p>
            <w:pPr>
              <w:spacing w:after="0"/>
              <w:rPr>
                <w:sz w:val="21"/>
                <w:szCs w:val="21"/>
                <w:color w:val="auto"/>
              </w:rPr>
            </w:pPr>
          </w:p>
        </w:tc>
      </w:tr>
      <w:tr>
        <w:trPr>
          <w:trHeight w:val="2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February 1, 2025 through February 28, 2025</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877,932</w:t>
            </w: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70.76</w:t>
            </w:r>
          </w:p>
        </w:tc>
        <w:tc>
          <w:tcPr>
            <w:tcW w:w="12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345,753</w:t>
            </w: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620,388</w:t>
            </w:r>
          </w:p>
        </w:tc>
        <w:tc>
          <w:tcPr>
            <w:tcW w:w="20" w:type="dxa"/>
            <w:vAlign w:val="bottom"/>
          </w:tcPr>
          <w:p>
            <w:pPr>
              <w:spacing w:after="0"/>
              <w:rPr>
                <w:sz w:val="21"/>
                <w:szCs w:val="21"/>
                <w:color w:val="auto"/>
              </w:rPr>
            </w:pP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51555C"/>
              </w:rPr>
              <w:t>March 1, 2025 through March 31, 2025</w:t>
            </w:r>
          </w:p>
        </w:tc>
        <w:tc>
          <w:tcPr>
            <w:tcW w:w="1360" w:type="dxa"/>
            <w:vAlign w:val="bottom"/>
          </w:tcPr>
          <w:p>
            <w:pPr>
              <w:jc w:val="right"/>
              <w:spacing w:after="0"/>
              <w:rPr>
                <w:sz w:val="20"/>
                <w:szCs w:val="20"/>
                <w:color w:val="auto"/>
              </w:rPr>
            </w:pPr>
            <w:r>
              <w:rPr>
                <w:rFonts w:ascii="Arial" w:cs="Arial" w:eastAsia="Arial" w:hAnsi="Arial"/>
                <w:sz w:val="18"/>
                <w:szCs w:val="18"/>
                <w:color w:val="51555C"/>
              </w:rPr>
              <w:t>1,167,269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64.99</w:t>
            </w:r>
          </w:p>
        </w:tc>
        <w:tc>
          <w:tcPr>
            <w:tcW w:w="12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51555C"/>
              </w:rPr>
              <w:t>1,167,269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8"/>
                <w:szCs w:val="18"/>
                <w:color w:val="51555C"/>
              </w:rPr>
              <w:t>544,532</w:t>
            </w:r>
          </w:p>
        </w:tc>
        <w:tc>
          <w:tcPr>
            <w:tcW w:w="20" w:type="dxa"/>
            <w:vAlign w:val="bottom"/>
          </w:tcPr>
          <w:p>
            <w:pPr>
              <w:spacing w:after="0"/>
              <w:rPr>
                <w:sz w:val="21"/>
                <w:szCs w:val="21"/>
                <w:color w:val="auto"/>
              </w:rPr>
            </w:pPr>
          </w:p>
        </w:tc>
      </w:tr>
      <w:tr>
        <w:trPr>
          <w:trHeight w:val="23"/>
        </w:trPr>
        <w:tc>
          <w:tcPr>
            <w:tcW w:w="544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2,045,201</w:t>
            </w: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67.46</w:t>
            </w:r>
          </w:p>
        </w:tc>
        <w:tc>
          <w:tcPr>
            <w:tcW w:w="12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1,513,022</w:t>
            </w: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544,532</w:t>
            </w:r>
          </w:p>
        </w:tc>
        <w:tc>
          <w:tcPr>
            <w:tcW w:w="20" w:type="dxa"/>
            <w:vAlign w:val="bottom"/>
          </w:tcPr>
          <w:p>
            <w:pPr>
              <w:spacing w:after="0"/>
              <w:rPr>
                <w:sz w:val="21"/>
                <w:szCs w:val="21"/>
                <w:color w:val="auto"/>
              </w:rPr>
            </w:pPr>
          </w:p>
        </w:tc>
      </w:tr>
      <w:tr>
        <w:trPr>
          <w:trHeight w:val="20"/>
        </w:trPr>
        <w:tc>
          <w:tcPr>
            <w:tcW w:w="544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20" w:hanging="332"/>
        <w:spacing w:after="0" w:line="272" w:lineRule="auto"/>
        <w:tabs>
          <w:tab w:leader="none" w:pos="354" w:val="left"/>
        </w:tabs>
        <w:numPr>
          <w:ilvl w:val="0"/>
          <w:numId w:val="35"/>
        </w:numPr>
        <w:rPr>
          <w:rFonts w:ascii="Arial" w:cs="Arial" w:eastAsia="Arial" w:hAnsi="Arial"/>
          <w:sz w:val="14"/>
          <w:szCs w:val="14"/>
          <w:color w:val="51555C"/>
        </w:rPr>
      </w:pPr>
      <w:r>
        <w:rPr>
          <w:rFonts w:ascii="Arial" w:cs="Arial" w:eastAsia="Arial" w:hAnsi="Arial"/>
          <w:sz w:val="14"/>
          <w:szCs w:val="14"/>
          <w:color w:val="51555C"/>
        </w:rPr>
        <w:t>Includes 532,179 shares in February withheld by us to satisfy the minimum tax obligations of employees due upon vesting of restricted stock awards and units. The level of this acquisition activity varies from period to period based upon the timing of award grants and vesting.</w:t>
      </w:r>
    </w:p>
    <w:p>
      <w:pPr>
        <w:ind w:left="340" w:right="20" w:hanging="332"/>
        <w:spacing w:after="0" w:line="284" w:lineRule="auto"/>
        <w:tabs>
          <w:tab w:leader="none" w:pos="354" w:val="left"/>
        </w:tabs>
        <w:numPr>
          <w:ilvl w:val="0"/>
          <w:numId w:val="35"/>
        </w:numPr>
        <w:rPr>
          <w:rFonts w:ascii="Arial" w:cs="Arial" w:eastAsia="Arial" w:hAnsi="Arial"/>
          <w:sz w:val="14"/>
          <w:szCs w:val="14"/>
          <w:color w:val="51555C"/>
        </w:rPr>
      </w:pPr>
      <w:r>
        <w:rPr>
          <w:rFonts w:ascii="Arial" w:cs="Arial" w:eastAsia="Arial" w:hAnsi="Arial"/>
          <w:sz w:val="14"/>
          <w:szCs w:val="14"/>
          <w:color w:val="51555C"/>
        </w:rPr>
        <w:t>In July 2024, our Board of Directors reauthorized, expanded and replenished our stock repurchase program by raising the total capacity under the program from $500.0 million to $800.0 million available for repurchases. The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200660</wp:posOffset>
            </wp:positionV>
            <wp:extent cx="65976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41</w:t>
            </w:r>
          </w:p>
        </w:tc>
      </w:tr>
      <w:tr>
        <w:trPr>
          <w:trHeight w:val="32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5. OTHER INFORMATION</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Trading Arrangements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The following table provides information about trading arrangements adopted or terminated by certain of our officers and directors during the three months ended March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30" w:type="dxa"/>
            <w:vAlign w:val="bottom"/>
            <w:shd w:val="clear" w:color="auto" w:fill="004054"/>
          </w:tcPr>
          <w:p>
            <w:pPr>
              <w:spacing w:after="0"/>
              <w:rPr>
                <w:sz w:val="17"/>
                <w:szCs w:val="17"/>
                <w:color w:val="auto"/>
              </w:rPr>
            </w:pPr>
          </w:p>
        </w:tc>
        <w:tc>
          <w:tcPr>
            <w:tcW w:w="1550" w:type="dxa"/>
            <w:vAlign w:val="bottom"/>
            <w:shd w:val="clear" w:color="auto" w:fill="004054"/>
          </w:tcPr>
          <w:p>
            <w:pPr>
              <w:spacing w:after="0"/>
              <w:rPr>
                <w:sz w:val="17"/>
                <w:szCs w:val="17"/>
                <w:color w:val="auto"/>
              </w:rPr>
            </w:pPr>
          </w:p>
        </w:tc>
        <w:tc>
          <w:tcPr>
            <w:tcW w:w="99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990" w:type="dxa"/>
            <w:vAlign w:val="bottom"/>
            <w:shd w:val="clear" w:color="auto" w:fill="004054"/>
          </w:tcPr>
          <w:p>
            <w:pPr>
              <w:spacing w:after="0"/>
              <w:rPr>
                <w:sz w:val="17"/>
                <w:szCs w:val="17"/>
                <w:color w:val="auto"/>
              </w:rPr>
            </w:pPr>
          </w:p>
        </w:tc>
        <w:tc>
          <w:tcPr>
            <w:tcW w:w="870" w:type="dxa"/>
            <w:vAlign w:val="bottom"/>
            <w:shd w:val="clear" w:color="auto" w:fill="004054"/>
          </w:tcPr>
          <w:p>
            <w:pPr>
              <w:spacing w:after="0"/>
              <w:rPr>
                <w:sz w:val="17"/>
                <w:szCs w:val="17"/>
                <w:color w:val="auto"/>
              </w:rPr>
            </w:pPr>
          </w:p>
        </w:tc>
        <w:tc>
          <w:tcPr>
            <w:tcW w:w="1330" w:type="dxa"/>
            <w:vAlign w:val="bottom"/>
            <w:gridSpan w:val="2"/>
            <w:shd w:val="clear" w:color="auto" w:fill="004054"/>
          </w:tcPr>
          <w:p>
            <w:pPr>
              <w:jc w:val="right"/>
              <w:ind w:right="328"/>
              <w:spacing w:after="0"/>
              <w:rPr>
                <w:sz w:val="20"/>
                <w:szCs w:val="20"/>
                <w:color w:val="auto"/>
              </w:rPr>
            </w:pPr>
            <w:r>
              <w:rPr>
                <w:rFonts w:ascii="Arial" w:cs="Arial" w:eastAsia="Arial" w:hAnsi="Arial"/>
                <w:sz w:val="14"/>
                <w:szCs w:val="14"/>
                <w:b w:val="1"/>
                <w:bCs w:val="1"/>
                <w:color w:val="FFFFFF"/>
              </w:rPr>
              <w:t>Trading</w:t>
            </w:r>
          </w:p>
        </w:tc>
        <w:tc>
          <w:tcPr>
            <w:tcW w:w="11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70"/>
        </w:trPr>
        <w:tc>
          <w:tcPr>
            <w:tcW w:w="3430" w:type="dxa"/>
            <w:vAlign w:val="bottom"/>
            <w:shd w:val="clear" w:color="auto" w:fill="004054"/>
          </w:tcPr>
          <w:p>
            <w:pPr>
              <w:spacing w:after="0"/>
              <w:rPr>
                <w:sz w:val="6"/>
                <w:szCs w:val="6"/>
                <w:color w:val="auto"/>
              </w:rPr>
            </w:pPr>
          </w:p>
        </w:tc>
        <w:tc>
          <w:tcPr>
            <w:tcW w:w="1550" w:type="dxa"/>
            <w:vAlign w:val="bottom"/>
            <w:shd w:val="clear" w:color="auto" w:fill="004054"/>
          </w:tcPr>
          <w:p>
            <w:pPr>
              <w:spacing w:after="0"/>
              <w:rPr>
                <w:sz w:val="6"/>
                <w:szCs w:val="6"/>
                <w:color w:val="auto"/>
              </w:rPr>
            </w:pPr>
          </w:p>
        </w:tc>
        <w:tc>
          <w:tcPr>
            <w:tcW w:w="99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990" w:type="dxa"/>
            <w:vAlign w:val="bottom"/>
            <w:shd w:val="clear" w:color="auto" w:fill="004054"/>
          </w:tcPr>
          <w:p>
            <w:pPr>
              <w:spacing w:after="0"/>
              <w:rPr>
                <w:sz w:val="6"/>
                <w:szCs w:val="6"/>
                <w:color w:val="auto"/>
              </w:rPr>
            </w:pPr>
          </w:p>
        </w:tc>
        <w:tc>
          <w:tcPr>
            <w:tcW w:w="870" w:type="dxa"/>
            <w:vAlign w:val="bottom"/>
            <w:shd w:val="clear" w:color="auto" w:fill="004054"/>
          </w:tcPr>
          <w:p>
            <w:pPr>
              <w:spacing w:after="0"/>
              <w:rPr>
                <w:sz w:val="6"/>
                <w:szCs w:val="6"/>
                <w:color w:val="auto"/>
              </w:rPr>
            </w:pPr>
          </w:p>
        </w:tc>
        <w:tc>
          <w:tcPr>
            <w:tcW w:w="1330" w:type="dxa"/>
            <w:vAlign w:val="bottom"/>
            <w:gridSpan w:val="2"/>
            <w:vMerge w:val="restart"/>
            <w:shd w:val="clear" w:color="auto" w:fill="004054"/>
          </w:tcPr>
          <w:p>
            <w:pPr>
              <w:jc w:val="right"/>
              <w:ind w:right="88"/>
              <w:spacing w:after="0"/>
              <w:rPr>
                <w:sz w:val="20"/>
                <w:szCs w:val="20"/>
                <w:color w:val="auto"/>
              </w:rPr>
            </w:pPr>
            <w:r>
              <w:rPr>
                <w:rFonts w:ascii="Arial" w:cs="Arial" w:eastAsia="Arial" w:hAnsi="Arial"/>
                <w:sz w:val="14"/>
                <w:szCs w:val="14"/>
                <w:b w:val="1"/>
                <w:bCs w:val="1"/>
                <w:color w:val="FFFFFF"/>
              </w:rPr>
              <w:t>arrangement</w:t>
            </w:r>
            <w:r>
              <w:rPr>
                <w:rFonts w:ascii="Arial" w:cs="Arial" w:eastAsia="Arial" w:hAnsi="Arial"/>
                <w:sz w:val="18"/>
                <w:szCs w:val="18"/>
                <w:b w:val="1"/>
                <w:bCs w:val="1"/>
                <w:color w:val="FFFFFF"/>
                <w:vertAlign w:val="superscript"/>
              </w:rPr>
              <w:t>(1)</w:t>
            </w:r>
          </w:p>
        </w:tc>
        <w:tc>
          <w:tcPr>
            <w:tcW w:w="1120" w:type="dxa"/>
            <w:vAlign w:val="bottom"/>
            <w:vMerge w:val="continue"/>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430" w:type="dxa"/>
            <w:vAlign w:val="bottom"/>
            <w:shd w:val="clear" w:color="auto" w:fill="004054"/>
          </w:tcPr>
          <w:p>
            <w:pPr>
              <w:spacing w:after="0"/>
              <w:rPr>
                <w:sz w:val="13"/>
                <w:szCs w:val="13"/>
                <w:color w:val="auto"/>
              </w:rPr>
            </w:pPr>
          </w:p>
        </w:tc>
        <w:tc>
          <w:tcPr>
            <w:tcW w:w="1550" w:type="dxa"/>
            <w:vAlign w:val="bottom"/>
            <w:shd w:val="clear" w:color="auto" w:fill="004054"/>
          </w:tcPr>
          <w:p>
            <w:pPr>
              <w:spacing w:after="0"/>
              <w:rPr>
                <w:sz w:val="13"/>
                <w:szCs w:val="13"/>
                <w:color w:val="auto"/>
              </w:rPr>
            </w:pPr>
          </w:p>
        </w:tc>
        <w:tc>
          <w:tcPr>
            <w:tcW w:w="990" w:type="dxa"/>
            <w:vAlign w:val="bottom"/>
            <w:shd w:val="clear" w:color="auto" w:fill="004054"/>
          </w:tcPr>
          <w:p>
            <w:pPr>
              <w:spacing w:after="0"/>
              <w:rPr>
                <w:sz w:val="13"/>
                <w:szCs w:val="13"/>
                <w:color w:val="auto"/>
              </w:rPr>
            </w:pPr>
          </w:p>
        </w:tc>
        <w:tc>
          <w:tcPr>
            <w:tcW w:w="980" w:type="dxa"/>
            <w:vAlign w:val="bottom"/>
            <w:shd w:val="clear" w:color="auto" w:fill="004054"/>
          </w:tcPr>
          <w:p>
            <w:pPr>
              <w:spacing w:after="0"/>
              <w:rPr>
                <w:sz w:val="13"/>
                <w:szCs w:val="13"/>
                <w:color w:val="auto"/>
              </w:rPr>
            </w:pPr>
          </w:p>
        </w:tc>
        <w:tc>
          <w:tcPr>
            <w:tcW w:w="990" w:type="dxa"/>
            <w:vAlign w:val="bottom"/>
            <w:shd w:val="clear" w:color="auto" w:fill="004054"/>
          </w:tcPr>
          <w:p>
            <w:pPr>
              <w:spacing w:after="0"/>
              <w:rPr>
                <w:sz w:val="13"/>
                <w:szCs w:val="13"/>
                <w:color w:val="auto"/>
              </w:rPr>
            </w:pPr>
          </w:p>
        </w:tc>
        <w:tc>
          <w:tcPr>
            <w:tcW w:w="870" w:type="dxa"/>
            <w:vAlign w:val="bottom"/>
            <w:shd w:val="clear" w:color="auto" w:fill="004054"/>
          </w:tcPr>
          <w:p>
            <w:pPr>
              <w:spacing w:after="0"/>
              <w:rPr>
                <w:sz w:val="13"/>
                <w:szCs w:val="13"/>
                <w:color w:val="auto"/>
              </w:rPr>
            </w:pPr>
          </w:p>
        </w:tc>
        <w:tc>
          <w:tcPr>
            <w:tcW w:w="1330" w:type="dxa"/>
            <w:vAlign w:val="bottom"/>
            <w:gridSpan w:val="2"/>
            <w:vMerge w:val="continue"/>
            <w:shd w:val="clear" w:color="auto" w:fill="004054"/>
          </w:tcPr>
          <w:p>
            <w:pPr>
              <w:spacing w:after="0"/>
              <w:rPr>
                <w:sz w:val="13"/>
                <w:szCs w:val="13"/>
                <w:color w:val="auto"/>
              </w:rPr>
            </w:pPr>
          </w:p>
        </w:tc>
        <w:tc>
          <w:tcPr>
            <w:tcW w:w="1120" w:type="dxa"/>
            <w:vAlign w:val="bottom"/>
            <w:shd w:val="clear" w:color="auto" w:fill="004054"/>
          </w:tcPr>
          <w:p>
            <w:pPr>
              <w:jc w:val="right"/>
              <w:spacing w:after="0" w:line="158" w:lineRule="exact"/>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93"/>
        </w:trPr>
        <w:tc>
          <w:tcPr>
            <w:tcW w:w="3430" w:type="dxa"/>
            <w:vAlign w:val="bottom"/>
            <w:shd w:val="clear" w:color="auto" w:fill="004054"/>
          </w:tcPr>
          <w:p>
            <w:pPr>
              <w:spacing w:after="0"/>
              <w:rPr>
                <w:sz w:val="16"/>
                <w:szCs w:val="16"/>
                <w:color w:val="auto"/>
              </w:rPr>
            </w:pPr>
          </w:p>
        </w:tc>
        <w:tc>
          <w:tcPr>
            <w:tcW w:w="1550" w:type="dxa"/>
            <w:vAlign w:val="bottom"/>
            <w:shd w:val="clear" w:color="auto" w:fill="004054"/>
          </w:tcPr>
          <w:p>
            <w:pPr>
              <w:spacing w:after="0"/>
              <w:rPr>
                <w:sz w:val="16"/>
                <w:szCs w:val="16"/>
                <w:color w:val="auto"/>
              </w:rPr>
            </w:pPr>
          </w:p>
        </w:tc>
        <w:tc>
          <w:tcPr>
            <w:tcW w:w="990" w:type="dxa"/>
            <w:vAlign w:val="bottom"/>
            <w:vMerge w:val="restart"/>
            <w:shd w:val="clear" w:color="auto" w:fill="004054"/>
          </w:tcPr>
          <w:p>
            <w:pPr>
              <w:ind w:left="260"/>
              <w:spacing w:after="0"/>
              <w:rPr>
                <w:sz w:val="20"/>
                <w:szCs w:val="20"/>
                <w:color w:val="auto"/>
              </w:rPr>
            </w:pPr>
            <w:r>
              <w:rPr>
                <w:rFonts w:ascii="Arial" w:cs="Arial" w:eastAsia="Arial" w:hAnsi="Arial"/>
                <w:sz w:val="14"/>
                <w:szCs w:val="14"/>
                <w:b w:val="1"/>
                <w:bCs w:val="1"/>
                <w:color w:val="FFFFFF"/>
              </w:rPr>
              <w:t>Date of</w:t>
            </w:r>
          </w:p>
        </w:tc>
        <w:tc>
          <w:tcPr>
            <w:tcW w:w="9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Plan</w:t>
            </w:r>
          </w:p>
        </w:tc>
        <w:tc>
          <w:tcPr>
            <w:tcW w:w="9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Plan</w:t>
            </w:r>
          </w:p>
        </w:tc>
        <w:tc>
          <w:tcPr>
            <w:tcW w:w="87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Plan</w:t>
            </w:r>
          </w:p>
        </w:tc>
        <w:tc>
          <w:tcPr>
            <w:tcW w:w="670" w:type="dxa"/>
            <w:vAlign w:val="bottom"/>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w w:val="98"/>
              </w:rPr>
              <w:t>Rule</w:t>
            </w:r>
          </w:p>
        </w:tc>
        <w:tc>
          <w:tcPr>
            <w:tcW w:w="660" w:type="dxa"/>
            <w:vAlign w:val="bottom"/>
            <w:shd w:val="clear" w:color="auto" w:fill="004054"/>
          </w:tcPr>
          <w:p>
            <w:pPr>
              <w:jc w:val="right"/>
              <w:ind w:right="88"/>
              <w:spacing w:after="0"/>
              <w:rPr>
                <w:sz w:val="20"/>
                <w:szCs w:val="20"/>
                <w:color w:val="auto"/>
              </w:rPr>
            </w:pPr>
            <w:r>
              <w:rPr>
                <w:rFonts w:ascii="Arial" w:cs="Arial" w:eastAsia="Arial" w:hAnsi="Arial"/>
                <w:sz w:val="14"/>
                <w:szCs w:val="14"/>
                <w:b w:val="1"/>
                <w:bCs w:val="1"/>
                <w:color w:val="FFFFFF"/>
              </w:rPr>
              <w:t>Non-</w:t>
            </w: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securities to</w:t>
            </w:r>
          </w:p>
        </w:tc>
        <w:tc>
          <w:tcPr>
            <w:tcW w:w="0" w:type="dxa"/>
            <w:vAlign w:val="bottom"/>
          </w:tcPr>
          <w:p>
            <w:pPr>
              <w:spacing w:after="0"/>
              <w:rPr>
                <w:sz w:val="1"/>
                <w:szCs w:val="1"/>
                <w:color w:val="auto"/>
              </w:rPr>
            </w:pPr>
          </w:p>
        </w:tc>
      </w:tr>
      <w:tr>
        <w:trPr>
          <w:trHeight w:val="162"/>
        </w:trPr>
        <w:tc>
          <w:tcPr>
            <w:tcW w:w="3430" w:type="dxa"/>
            <w:vAlign w:val="bottom"/>
            <w:shd w:val="clear" w:color="auto" w:fill="004054"/>
          </w:tcPr>
          <w:p>
            <w:pPr>
              <w:spacing w:after="0"/>
              <w:rPr>
                <w:sz w:val="14"/>
                <w:szCs w:val="14"/>
                <w:color w:val="auto"/>
              </w:rPr>
            </w:pPr>
          </w:p>
        </w:tc>
        <w:tc>
          <w:tcPr>
            <w:tcW w:w="1550" w:type="dxa"/>
            <w:vAlign w:val="bottom"/>
            <w:shd w:val="clear" w:color="auto" w:fill="004054"/>
          </w:tcPr>
          <w:p>
            <w:pPr>
              <w:spacing w:after="0"/>
              <w:rPr>
                <w:sz w:val="14"/>
                <w:szCs w:val="14"/>
                <w:color w:val="auto"/>
              </w:rPr>
            </w:pPr>
          </w:p>
        </w:tc>
        <w:tc>
          <w:tcPr>
            <w:tcW w:w="990" w:type="dxa"/>
            <w:vAlign w:val="bottom"/>
            <w:vMerge w:val="continue"/>
            <w:shd w:val="clear" w:color="auto" w:fill="004054"/>
          </w:tcPr>
          <w:p>
            <w:pPr>
              <w:spacing w:after="0"/>
              <w:rPr>
                <w:sz w:val="14"/>
                <w:szCs w:val="14"/>
                <w:color w:val="auto"/>
              </w:rPr>
            </w:pPr>
          </w:p>
        </w:tc>
        <w:tc>
          <w:tcPr>
            <w:tcW w:w="9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effective</w:t>
            </w:r>
          </w:p>
        </w:tc>
        <w:tc>
          <w:tcPr>
            <w:tcW w:w="9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end</w:t>
            </w:r>
          </w:p>
        </w:tc>
        <w:tc>
          <w:tcPr>
            <w:tcW w:w="87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9"/>
              </w:rPr>
              <w:t>duration</w:t>
            </w:r>
          </w:p>
        </w:tc>
        <w:tc>
          <w:tcPr>
            <w:tcW w:w="670" w:type="dxa"/>
            <w:vAlign w:val="bottom"/>
            <w:vMerge w:val="continue"/>
            <w:shd w:val="clear" w:color="auto" w:fill="004054"/>
          </w:tcPr>
          <w:p>
            <w:pPr>
              <w:spacing w:after="0"/>
              <w:rPr>
                <w:sz w:val="14"/>
                <w:szCs w:val="14"/>
                <w:color w:val="auto"/>
              </w:rPr>
            </w:pPr>
          </w:p>
        </w:tc>
        <w:tc>
          <w:tcPr>
            <w:tcW w:w="660" w:type="dxa"/>
            <w:vAlign w:val="bottom"/>
            <w:shd w:val="clear" w:color="auto" w:fill="004054"/>
          </w:tcPr>
          <w:p>
            <w:pPr>
              <w:jc w:val="right"/>
              <w:ind w:right="108"/>
              <w:spacing w:after="0"/>
              <w:rPr>
                <w:sz w:val="20"/>
                <w:szCs w:val="20"/>
                <w:color w:val="auto"/>
              </w:rPr>
            </w:pPr>
            <w:r>
              <w:rPr>
                <w:rFonts w:ascii="Arial" w:cs="Arial" w:eastAsia="Arial" w:hAnsi="Arial"/>
                <w:sz w:val="14"/>
                <w:szCs w:val="14"/>
                <w:b w:val="1"/>
                <w:bCs w:val="1"/>
                <w:color w:val="FFFFFF"/>
              </w:rPr>
              <w:t>Rule</w:t>
            </w: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sold</w:t>
            </w:r>
          </w:p>
        </w:tc>
        <w:tc>
          <w:tcPr>
            <w:tcW w:w="0" w:type="dxa"/>
            <w:vAlign w:val="bottom"/>
          </w:tcPr>
          <w:p>
            <w:pPr>
              <w:spacing w:after="0"/>
              <w:rPr>
                <w:sz w:val="1"/>
                <w:szCs w:val="1"/>
                <w:color w:val="auto"/>
              </w:rPr>
            </w:pPr>
          </w:p>
        </w:tc>
      </w:tr>
      <w:tr>
        <w:trPr>
          <w:trHeight w:val="225"/>
        </w:trPr>
        <w:tc>
          <w:tcPr>
            <w:tcW w:w="343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 and Title</w:t>
            </w:r>
          </w:p>
        </w:tc>
        <w:tc>
          <w:tcPr>
            <w:tcW w:w="1550" w:type="dxa"/>
            <w:vAlign w:val="bottom"/>
            <w:shd w:val="clear" w:color="auto" w:fill="004054"/>
          </w:tcPr>
          <w:p>
            <w:pPr>
              <w:ind w:left="550"/>
              <w:spacing w:after="0"/>
              <w:rPr>
                <w:sz w:val="20"/>
                <w:szCs w:val="20"/>
                <w:color w:val="auto"/>
              </w:rPr>
            </w:pPr>
            <w:r>
              <w:rPr>
                <w:rFonts w:ascii="Arial" w:cs="Arial" w:eastAsia="Arial" w:hAnsi="Arial"/>
                <w:sz w:val="14"/>
                <w:szCs w:val="14"/>
                <w:b w:val="1"/>
                <w:bCs w:val="1"/>
                <w:color w:val="FFFFFF"/>
              </w:rPr>
              <w:t>Action</w:t>
            </w:r>
          </w:p>
        </w:tc>
        <w:tc>
          <w:tcPr>
            <w:tcW w:w="990" w:type="dxa"/>
            <w:vAlign w:val="bottom"/>
            <w:shd w:val="clear" w:color="auto" w:fill="004054"/>
          </w:tcPr>
          <w:p>
            <w:pPr>
              <w:ind w:left="280"/>
              <w:spacing w:after="0"/>
              <w:rPr>
                <w:sz w:val="20"/>
                <w:szCs w:val="20"/>
                <w:color w:val="auto"/>
              </w:rPr>
            </w:pPr>
            <w:r>
              <w:rPr>
                <w:rFonts w:ascii="Arial" w:cs="Arial" w:eastAsia="Arial" w:hAnsi="Arial"/>
                <w:sz w:val="14"/>
                <w:szCs w:val="14"/>
                <w:b w:val="1"/>
                <w:bCs w:val="1"/>
                <w:color w:val="FFFFFF"/>
              </w:rPr>
              <w:t>Action</w:t>
            </w:r>
          </w:p>
        </w:tc>
        <w:tc>
          <w:tcPr>
            <w:tcW w:w="9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7"/>
              </w:rPr>
              <w:t>date</w:t>
            </w:r>
          </w:p>
        </w:tc>
        <w:tc>
          <w:tcPr>
            <w:tcW w:w="9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date</w:t>
            </w:r>
          </w:p>
        </w:tc>
        <w:tc>
          <w:tcPr>
            <w:tcW w:w="87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(months)</w:t>
            </w:r>
          </w:p>
        </w:tc>
        <w:tc>
          <w:tcPr>
            <w:tcW w:w="67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10b5-1</w:t>
            </w:r>
          </w:p>
        </w:tc>
        <w:tc>
          <w:tcPr>
            <w:tcW w:w="660" w:type="dxa"/>
            <w:vAlign w:val="bottom"/>
            <w:shd w:val="clear" w:color="auto" w:fill="004054"/>
          </w:tcPr>
          <w:p>
            <w:pPr>
              <w:jc w:val="right"/>
              <w:ind w:right="28"/>
              <w:spacing w:after="0"/>
              <w:rPr>
                <w:sz w:val="20"/>
                <w:szCs w:val="20"/>
                <w:color w:val="auto"/>
              </w:rPr>
            </w:pPr>
            <w:r>
              <w:rPr>
                <w:rFonts w:ascii="Arial" w:cs="Arial" w:eastAsia="Arial" w:hAnsi="Arial"/>
                <w:sz w:val="14"/>
                <w:szCs w:val="14"/>
                <w:b w:val="1"/>
                <w:bCs w:val="1"/>
                <w:color w:val="FFFFFF"/>
              </w:rPr>
              <w:t>10b5-1</w:t>
            </w: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4718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-376555</wp:posOffset>
            </wp:positionV>
            <wp:extent cx="8489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580" w:type="dxa"/>
            <w:vAlign w:val="bottom"/>
          </w:tcPr>
          <w:p>
            <w:pPr>
              <w:spacing w:after="0"/>
              <w:rPr>
                <w:sz w:val="20"/>
                <w:szCs w:val="20"/>
                <w:color w:val="auto"/>
              </w:rPr>
            </w:pPr>
            <w:r>
              <w:rPr>
                <w:rFonts w:ascii="Arial" w:cs="Arial" w:eastAsia="Arial" w:hAnsi="Arial"/>
                <w:sz w:val="18"/>
                <w:szCs w:val="18"/>
                <w:b w:val="1"/>
                <w:bCs w:val="1"/>
                <w:color w:val="51555C"/>
              </w:rPr>
              <w:t>Anthony W. Boor</w:t>
            </w:r>
          </w:p>
        </w:tc>
        <w:tc>
          <w:tcPr>
            <w:tcW w:w="1260" w:type="dxa"/>
            <w:vAlign w:val="bottom"/>
            <w:vMerge w:val="restart"/>
          </w:tcPr>
          <w:p>
            <w:pPr>
              <w:ind w:left="240"/>
              <w:spacing w:after="0"/>
              <w:rPr>
                <w:sz w:val="20"/>
                <w:szCs w:val="20"/>
                <w:color w:val="auto"/>
              </w:rPr>
            </w:pPr>
            <w:r>
              <w:rPr>
                <w:rFonts w:ascii="Arial" w:cs="Arial" w:eastAsia="Arial" w:hAnsi="Arial"/>
                <w:sz w:val="18"/>
                <w:szCs w:val="18"/>
                <w:color w:val="51555C"/>
              </w:rPr>
              <w:t>Adoption</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51555C"/>
              </w:rPr>
              <w:t>3/12/25</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51555C"/>
              </w:rPr>
              <w:t>6/16/25</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51555C"/>
              </w:rPr>
              <w:t>6/12/26</w:t>
            </w:r>
          </w:p>
        </w:tc>
        <w:tc>
          <w:tcPr>
            <w:tcW w:w="940" w:type="dxa"/>
            <w:vAlign w:val="bottom"/>
            <w:vMerge w:val="restart"/>
          </w:tcPr>
          <w:p>
            <w:pPr>
              <w:ind w:left="180"/>
              <w:spacing w:after="0"/>
              <w:rPr>
                <w:sz w:val="20"/>
                <w:szCs w:val="20"/>
                <w:color w:val="auto"/>
              </w:rPr>
            </w:pPr>
            <w:r>
              <w:rPr>
                <w:rFonts w:ascii="Arial" w:cs="Arial" w:eastAsia="Arial" w:hAnsi="Arial"/>
                <w:sz w:val="18"/>
                <w:szCs w:val="18"/>
                <w:color w:val="51555C"/>
              </w:rPr>
              <w:t>Twelve</w:t>
            </w:r>
          </w:p>
        </w:tc>
        <w:tc>
          <w:tcPr>
            <w:tcW w:w="1080" w:type="dxa"/>
            <w:vAlign w:val="bottom"/>
            <w:vMerge w:val="restart"/>
          </w:tcPr>
          <w:p>
            <w:pPr>
              <w:ind w:left="220"/>
              <w:spacing w:after="0"/>
              <w:rPr>
                <w:sz w:val="20"/>
                <w:szCs w:val="20"/>
                <w:color w:val="auto"/>
              </w:rPr>
            </w:pPr>
            <w:r>
              <w:rPr>
                <w:rFonts w:ascii="Arial" w:cs="Arial" w:eastAsia="Arial" w:hAnsi="Arial"/>
                <w:sz w:val="18"/>
                <w:szCs w:val="18"/>
                <w:color w:val="51555C"/>
              </w:rPr>
              <w:t>X</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51555C"/>
              </w:rPr>
              <w:t>40,000</w:t>
            </w:r>
          </w:p>
        </w:tc>
        <w:tc>
          <w:tcPr>
            <w:tcW w:w="0" w:type="dxa"/>
            <w:vAlign w:val="bottom"/>
          </w:tcPr>
          <w:p>
            <w:pPr>
              <w:spacing w:after="0"/>
              <w:rPr>
                <w:sz w:val="1"/>
                <w:szCs w:val="1"/>
                <w:color w:val="auto"/>
              </w:rPr>
            </w:pPr>
          </w:p>
        </w:tc>
      </w:tr>
      <w:tr>
        <w:trPr>
          <w:trHeight w:val="168"/>
        </w:trPr>
        <w:tc>
          <w:tcPr>
            <w:tcW w:w="3580" w:type="dxa"/>
            <w:vAlign w:val="bottom"/>
            <w:vMerge w:val="restart"/>
          </w:tcPr>
          <w:p>
            <w:pPr>
              <w:spacing w:after="0"/>
              <w:rPr>
                <w:sz w:val="20"/>
                <w:szCs w:val="20"/>
                <w:color w:val="auto"/>
              </w:rPr>
            </w:pPr>
            <w:r>
              <w:rPr>
                <w:rFonts w:ascii="Arial" w:cs="Arial" w:eastAsia="Arial" w:hAnsi="Arial"/>
                <w:sz w:val="14"/>
                <w:szCs w:val="14"/>
                <w:color w:val="51555C"/>
              </w:rPr>
              <w:t>Executive Vice President of Corporate Development</w:t>
            </w: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58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Arial" w:cs="Arial" w:eastAsia="Arial" w:hAnsi="Arial"/>
                <w:sz w:val="14"/>
                <w:szCs w:val="14"/>
                <w:color w:val="51555C"/>
              </w:rPr>
              <w:t>and Strategy</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580" w:type="dxa"/>
            <w:vAlign w:val="bottom"/>
          </w:tcPr>
          <w:p>
            <w:pPr>
              <w:spacing w:after="0"/>
              <w:rPr>
                <w:sz w:val="20"/>
                <w:szCs w:val="20"/>
                <w:color w:val="auto"/>
              </w:rPr>
            </w:pPr>
            <w:r>
              <w:rPr>
                <w:rFonts w:ascii="Arial" w:cs="Arial" w:eastAsia="Arial" w:hAnsi="Arial"/>
                <w:sz w:val="18"/>
                <w:szCs w:val="18"/>
                <w:b w:val="1"/>
                <w:bCs w:val="1"/>
                <w:color w:val="51555C"/>
              </w:rPr>
              <w:t>Kevin P. Gregoire</w:t>
            </w:r>
          </w:p>
        </w:tc>
        <w:tc>
          <w:tcPr>
            <w:tcW w:w="1260" w:type="dxa"/>
            <w:vAlign w:val="bottom"/>
            <w:vMerge w:val="restart"/>
          </w:tcPr>
          <w:p>
            <w:pPr>
              <w:ind w:left="240"/>
              <w:spacing w:after="0"/>
              <w:rPr>
                <w:sz w:val="20"/>
                <w:szCs w:val="20"/>
                <w:color w:val="auto"/>
              </w:rPr>
            </w:pPr>
            <w:r>
              <w:rPr>
                <w:rFonts w:ascii="Arial" w:cs="Arial" w:eastAsia="Arial" w:hAnsi="Arial"/>
                <w:sz w:val="18"/>
                <w:szCs w:val="18"/>
                <w:color w:val="51555C"/>
              </w:rPr>
              <w:t>Adoption</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51555C"/>
              </w:rPr>
              <w:t>3/12/25</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51555C"/>
              </w:rPr>
              <w:t>6/16/25</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51555C"/>
              </w:rPr>
              <w:t>6/12/26</w:t>
            </w:r>
          </w:p>
        </w:tc>
        <w:tc>
          <w:tcPr>
            <w:tcW w:w="940" w:type="dxa"/>
            <w:vAlign w:val="bottom"/>
            <w:vMerge w:val="restart"/>
          </w:tcPr>
          <w:p>
            <w:pPr>
              <w:ind w:left="180"/>
              <w:spacing w:after="0"/>
              <w:rPr>
                <w:sz w:val="20"/>
                <w:szCs w:val="20"/>
                <w:color w:val="auto"/>
              </w:rPr>
            </w:pPr>
            <w:r>
              <w:rPr>
                <w:rFonts w:ascii="Arial" w:cs="Arial" w:eastAsia="Arial" w:hAnsi="Arial"/>
                <w:sz w:val="18"/>
                <w:szCs w:val="18"/>
                <w:color w:val="51555C"/>
              </w:rPr>
              <w:t>Twelve</w:t>
            </w:r>
          </w:p>
        </w:tc>
        <w:tc>
          <w:tcPr>
            <w:tcW w:w="1080" w:type="dxa"/>
            <w:vAlign w:val="bottom"/>
            <w:vMerge w:val="restart"/>
          </w:tcPr>
          <w:p>
            <w:pPr>
              <w:ind w:left="220"/>
              <w:spacing w:after="0"/>
              <w:rPr>
                <w:sz w:val="20"/>
                <w:szCs w:val="20"/>
                <w:color w:val="auto"/>
              </w:rPr>
            </w:pPr>
            <w:r>
              <w:rPr>
                <w:rFonts w:ascii="Arial" w:cs="Arial" w:eastAsia="Arial" w:hAnsi="Arial"/>
                <w:sz w:val="18"/>
                <w:szCs w:val="18"/>
                <w:color w:val="51555C"/>
              </w:rPr>
              <w:t>X</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51555C"/>
              </w:rPr>
              <w:t>24,320</w:t>
            </w:r>
          </w:p>
        </w:tc>
        <w:tc>
          <w:tcPr>
            <w:tcW w:w="0" w:type="dxa"/>
            <w:vAlign w:val="bottom"/>
          </w:tcPr>
          <w:p>
            <w:pPr>
              <w:spacing w:after="0"/>
              <w:rPr>
                <w:sz w:val="1"/>
                <w:szCs w:val="1"/>
                <w:color w:val="auto"/>
              </w:rPr>
            </w:pPr>
          </w:p>
        </w:tc>
      </w:tr>
      <w:tr>
        <w:trPr>
          <w:trHeight w:val="47"/>
        </w:trPr>
        <w:tc>
          <w:tcPr>
            <w:tcW w:w="358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51555C"/>
        </w:rPr>
        <w:t>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p>
      <w:pPr>
        <w:jc w:val="both"/>
        <w:ind w:left="340" w:right="20" w:hanging="332"/>
        <w:spacing w:after="0" w:line="265" w:lineRule="auto"/>
        <w:tabs>
          <w:tab w:leader="none" w:pos="354" w:val="left"/>
        </w:tabs>
        <w:numPr>
          <w:ilvl w:val="0"/>
          <w:numId w:val="36"/>
        </w:numPr>
        <w:rPr>
          <w:rFonts w:ascii="Arial" w:cs="Arial" w:eastAsia="Arial" w:hAnsi="Arial"/>
          <w:sz w:val="14"/>
          <w:szCs w:val="14"/>
          <w:color w:val="51555C"/>
        </w:rPr>
      </w:pPr>
      <w:r>
        <w:rPr>
          <w:rFonts w:ascii="Arial" w:cs="Arial" w:eastAsia="Arial" w:hAnsi="Arial"/>
          <w:sz w:val="14"/>
          <w:szCs w:val="14"/>
          <w:color w:val="51555C"/>
        </w:rPr>
        <w:t>An SEC "Rule 10b5-1(c) trading arrangement" is a trading arrangement made by a person through entering into a binding contract, verbal instruction or adoption of a written plan prior to becoming aware of material non-public information. The contract, instruction or written plan must specify the amount, price and date of securities to be sold; include the means for determining the amount, price and date of the sale or sales; and not permit the person to have subsequent influence over the sale or sales. The compliant plan must be entered into and operated in good faith, include a specified cooling off period, be certified by an authorized officer and is restricted from having multiple or overlapping plans. A non-compliant trading arrangement, or a "non-Rule 10b5-1 trading arrangement," is a trading arrangement that has similar requirements to a Rule 10b5-1(c) trading arrangement except that it must be in written form and does not require a cooling off period or certification of an authorized officer and there is no restriction from having multiple or overlapping plans.</w:t>
      </w:r>
    </w:p>
    <w:p>
      <w:pPr>
        <w:spacing w:after="0" w:line="1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None of our officers or directors adopted or terminated a non-Rule 10b5-1 trading arrangement during the three months ended March 31, 2025.</w:t>
      </w:r>
    </w:p>
    <w:p>
      <w:pPr>
        <w:spacing w:after="0" w:line="29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651510" cy="1714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6. EXHIBITS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51555C"/>
        </w:rPr>
        <w:t>The exhibits listed below are filed or incorporated by reference as part of this Quarterly Report on Form 10-Q:</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shd w:val="clear" w:color="auto" w:fill="004054"/>
          </w:tcPr>
          <w:p>
            <w:pPr>
              <w:spacing w:after="0"/>
              <w:rPr>
                <w:sz w:val="19"/>
                <w:szCs w:val="19"/>
                <w:color w:val="auto"/>
              </w:rPr>
            </w:pPr>
          </w:p>
        </w:tc>
        <w:tc>
          <w:tcPr>
            <w:tcW w:w="36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660" w:type="dxa"/>
            <w:vAlign w:val="bottom"/>
            <w:shd w:val="clear" w:color="auto" w:fill="004054"/>
          </w:tcPr>
          <w:p>
            <w:pPr>
              <w:spacing w:after="0"/>
              <w:rPr>
                <w:sz w:val="19"/>
                <w:szCs w:val="19"/>
                <w:color w:val="auto"/>
              </w:rPr>
            </w:pPr>
          </w:p>
        </w:tc>
        <w:tc>
          <w:tcPr>
            <w:tcW w:w="300" w:type="dxa"/>
            <w:vAlign w:val="bottom"/>
            <w:shd w:val="clear" w:color="auto" w:fill="004054"/>
          </w:tcPr>
          <w:p>
            <w:pPr>
              <w:spacing w:after="0"/>
              <w:rPr>
                <w:sz w:val="19"/>
                <w:szCs w:val="19"/>
                <w:color w:val="auto"/>
              </w:rPr>
            </w:pPr>
          </w:p>
        </w:tc>
        <w:tc>
          <w:tcPr>
            <w:tcW w:w="284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60" w:type="dxa"/>
            <w:vAlign w:val="bottom"/>
            <w:shd w:val="clear" w:color="auto" w:fill="004054"/>
          </w:tcPr>
          <w:p>
            <w:pPr>
              <w:spacing w:after="0"/>
              <w:rPr>
                <w:sz w:val="19"/>
                <w:szCs w:val="19"/>
                <w:color w:val="auto"/>
              </w:rPr>
            </w:pPr>
          </w:p>
        </w:tc>
        <w:tc>
          <w:tcPr>
            <w:tcW w:w="540" w:type="dxa"/>
            <w:vAlign w:val="bottom"/>
            <w:tcBorders>
              <w:right w:val="single" w:sz="8" w:color="004054"/>
            </w:tcBorders>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990" w:type="dxa"/>
            <w:vAlign w:val="bottom"/>
            <w:shd w:val="clear" w:color="auto" w:fill="004054"/>
          </w:tcPr>
          <w:p>
            <w:pPr>
              <w:spacing w:after="0"/>
              <w:rPr>
                <w:sz w:val="19"/>
                <w:szCs w:val="19"/>
                <w:color w:val="auto"/>
              </w:rPr>
            </w:pPr>
          </w:p>
        </w:tc>
        <w:tc>
          <w:tcPr>
            <w:tcW w:w="990" w:type="dxa"/>
            <w:vAlign w:val="bottom"/>
            <w:shd w:val="clear" w:color="auto" w:fill="004054"/>
          </w:tcPr>
          <w:p>
            <w:pPr>
              <w:spacing w:after="0"/>
              <w:rPr>
                <w:sz w:val="19"/>
                <w:szCs w:val="19"/>
                <w:color w:val="auto"/>
              </w:rPr>
            </w:pPr>
          </w:p>
        </w:tc>
        <w:tc>
          <w:tcPr>
            <w:tcW w:w="1400" w:type="dxa"/>
            <w:vAlign w:val="bottom"/>
            <w:shd w:val="clear" w:color="auto" w:fill="004054"/>
          </w:tcPr>
          <w:p>
            <w:pPr>
              <w:ind w:left="100"/>
              <w:spacing w:after="0"/>
              <w:rPr>
                <w:sz w:val="20"/>
                <w:szCs w:val="20"/>
                <w:color w:val="auto"/>
              </w:rPr>
            </w:pPr>
            <w:r>
              <w:rPr>
                <w:rFonts w:ascii="Arial" w:cs="Arial" w:eastAsia="Arial" w:hAnsi="Arial"/>
                <w:sz w:val="14"/>
                <w:szCs w:val="14"/>
                <w:b w:val="1"/>
                <w:bCs w:val="1"/>
                <w:color w:val="FFFFFF"/>
              </w:rPr>
              <w:t>Filed In</w:t>
            </w:r>
          </w:p>
        </w:tc>
        <w:tc>
          <w:tcPr>
            <w:tcW w:w="126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209"/>
        </w:trPr>
        <w:tc>
          <w:tcPr>
            <w:tcW w:w="10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Exhibit</w:t>
            </w:r>
          </w:p>
        </w:tc>
        <w:tc>
          <w:tcPr>
            <w:tcW w:w="140" w:type="dxa"/>
            <w:vAlign w:val="bottom"/>
            <w:shd w:val="clear" w:color="auto" w:fill="004054"/>
          </w:tcPr>
          <w:p>
            <w:pPr>
              <w:spacing w:after="0"/>
              <w:rPr>
                <w:sz w:val="18"/>
                <w:szCs w:val="18"/>
                <w:color w:val="auto"/>
              </w:rPr>
            </w:pPr>
          </w:p>
        </w:tc>
        <w:tc>
          <w:tcPr>
            <w:tcW w:w="660" w:type="dxa"/>
            <w:vAlign w:val="bottom"/>
            <w:shd w:val="clear" w:color="auto" w:fill="004054"/>
          </w:tcPr>
          <w:p>
            <w:pPr>
              <w:spacing w:after="0"/>
              <w:rPr>
                <w:sz w:val="18"/>
                <w:szCs w:val="18"/>
                <w:color w:val="auto"/>
              </w:rPr>
            </w:pPr>
          </w:p>
        </w:tc>
        <w:tc>
          <w:tcPr>
            <w:tcW w:w="300" w:type="dxa"/>
            <w:vAlign w:val="bottom"/>
            <w:shd w:val="clear" w:color="auto" w:fill="004054"/>
          </w:tcPr>
          <w:p>
            <w:pPr>
              <w:spacing w:after="0"/>
              <w:rPr>
                <w:sz w:val="18"/>
                <w:szCs w:val="18"/>
                <w:color w:val="auto"/>
              </w:rPr>
            </w:pPr>
          </w:p>
        </w:tc>
        <w:tc>
          <w:tcPr>
            <w:tcW w:w="2840" w:type="dxa"/>
            <w:vAlign w:val="bottom"/>
            <w:shd w:val="clear" w:color="auto" w:fill="004054"/>
          </w:tcPr>
          <w:p>
            <w:pPr>
              <w:spacing w:after="0"/>
              <w:rPr>
                <w:sz w:val="18"/>
                <w:szCs w:val="18"/>
                <w:color w:val="auto"/>
              </w:rPr>
            </w:pPr>
          </w:p>
        </w:tc>
        <w:tc>
          <w:tcPr>
            <w:tcW w:w="46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540" w:type="dxa"/>
            <w:vAlign w:val="bottom"/>
            <w:tcBorders>
              <w:right w:val="single" w:sz="8" w:color="004054"/>
            </w:tcBorders>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990" w:type="dxa"/>
            <w:vAlign w:val="bottom"/>
            <w:shd w:val="clear" w:color="auto" w:fill="004054"/>
          </w:tcPr>
          <w:p>
            <w:pPr>
              <w:jc w:val="center"/>
              <w:ind w:right="23"/>
              <w:spacing w:after="0"/>
              <w:rPr>
                <w:sz w:val="20"/>
                <w:szCs w:val="20"/>
                <w:color w:val="auto"/>
              </w:rPr>
            </w:pPr>
            <w:r>
              <w:rPr>
                <w:rFonts w:ascii="Arial" w:cs="Arial" w:eastAsia="Arial" w:hAnsi="Arial"/>
                <w:sz w:val="14"/>
                <w:szCs w:val="14"/>
                <w:b w:val="1"/>
                <w:bCs w:val="1"/>
                <w:color w:val="FFFFFF"/>
                <w:w w:val="97"/>
              </w:rPr>
              <w:t>Filed</w:t>
            </w:r>
          </w:p>
        </w:tc>
        <w:tc>
          <w:tcPr>
            <w:tcW w:w="990" w:type="dxa"/>
            <w:vAlign w:val="bottom"/>
            <w:shd w:val="clear" w:color="auto" w:fill="004054"/>
          </w:tcPr>
          <w:p>
            <w:pPr>
              <w:spacing w:after="0"/>
              <w:rPr>
                <w:sz w:val="18"/>
                <w:szCs w:val="18"/>
                <w:color w:val="auto"/>
              </w:rPr>
            </w:pPr>
          </w:p>
        </w:tc>
        <w:tc>
          <w:tcPr>
            <w:tcW w:w="1400" w:type="dxa"/>
            <w:vAlign w:val="bottom"/>
            <w:shd w:val="clear" w:color="auto" w:fill="004054"/>
          </w:tcPr>
          <w:p>
            <w:pPr>
              <w:spacing w:after="0"/>
              <w:rPr>
                <w:sz w:val="18"/>
                <w:szCs w:val="18"/>
                <w:color w:val="auto"/>
              </w:rPr>
            </w:pPr>
          </w:p>
        </w:tc>
        <w:tc>
          <w:tcPr>
            <w:tcW w:w="126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19"/>
        </w:trPr>
        <w:tc>
          <w:tcPr>
            <w:tcW w:w="108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40" w:type="dxa"/>
            <w:vAlign w:val="bottom"/>
            <w:tcBorders>
              <w:bottom w:val="single" w:sz="8" w:color="004054"/>
            </w:tcBorders>
            <w:shd w:val="clear" w:color="auto" w:fill="004054"/>
          </w:tcPr>
          <w:p>
            <w:pPr>
              <w:spacing w:after="0"/>
              <w:rPr>
                <w:sz w:val="19"/>
                <w:szCs w:val="19"/>
                <w:color w:val="auto"/>
              </w:rPr>
            </w:pPr>
          </w:p>
        </w:tc>
        <w:tc>
          <w:tcPr>
            <w:tcW w:w="660" w:type="dxa"/>
            <w:vAlign w:val="bottom"/>
            <w:tcBorders>
              <w:bottom w:val="single" w:sz="8" w:color="004054"/>
            </w:tcBorders>
            <w:shd w:val="clear" w:color="auto" w:fill="004054"/>
          </w:tcPr>
          <w:p>
            <w:pPr>
              <w:spacing w:after="0"/>
              <w:rPr>
                <w:sz w:val="19"/>
                <w:szCs w:val="19"/>
                <w:color w:val="auto"/>
              </w:rPr>
            </w:pPr>
          </w:p>
        </w:tc>
        <w:tc>
          <w:tcPr>
            <w:tcW w:w="300" w:type="dxa"/>
            <w:vAlign w:val="bottom"/>
            <w:tcBorders>
              <w:bottom w:val="single" w:sz="8" w:color="004054"/>
            </w:tcBorders>
            <w:shd w:val="clear" w:color="auto" w:fill="004054"/>
          </w:tcPr>
          <w:p>
            <w:pPr>
              <w:spacing w:after="0"/>
              <w:rPr>
                <w:sz w:val="19"/>
                <w:szCs w:val="19"/>
                <w:color w:val="auto"/>
              </w:rPr>
            </w:pPr>
          </w:p>
        </w:tc>
        <w:tc>
          <w:tcPr>
            <w:tcW w:w="4420" w:type="dxa"/>
            <w:vAlign w:val="bottom"/>
            <w:tcBorders>
              <w:bottom w:val="single" w:sz="8" w:color="004054"/>
            </w:tcBorders>
            <w:gridSpan w:val="9"/>
            <w:shd w:val="clear" w:color="auto" w:fill="004054"/>
          </w:tcPr>
          <w:p>
            <w:pPr>
              <w:ind w:left="820"/>
              <w:spacing w:after="0"/>
              <w:rPr>
                <w:sz w:val="20"/>
                <w:szCs w:val="20"/>
                <w:color w:val="auto"/>
              </w:rPr>
            </w:pPr>
            <w:r>
              <w:rPr>
                <w:rFonts w:ascii="Arial" w:cs="Arial" w:eastAsia="Arial" w:hAnsi="Arial"/>
                <w:sz w:val="14"/>
                <w:szCs w:val="14"/>
                <w:b w:val="1"/>
                <w:bCs w:val="1"/>
                <w:color w:val="FFFFFF"/>
              </w:rPr>
              <w:t>Description of Document</w:t>
            </w:r>
          </w:p>
        </w:tc>
        <w:tc>
          <w:tcPr>
            <w:tcW w:w="990" w:type="dxa"/>
            <w:vAlign w:val="bottom"/>
            <w:tcBorders>
              <w:bottom w:val="single" w:sz="8" w:color="004054"/>
            </w:tcBorders>
            <w:shd w:val="clear" w:color="auto" w:fill="004054"/>
          </w:tcPr>
          <w:p>
            <w:pPr>
              <w:jc w:val="center"/>
              <w:ind w:right="23"/>
              <w:spacing w:after="0"/>
              <w:rPr>
                <w:sz w:val="20"/>
                <w:szCs w:val="20"/>
                <w:color w:val="auto"/>
              </w:rPr>
            </w:pPr>
            <w:r>
              <w:rPr>
                <w:rFonts w:ascii="Arial" w:cs="Arial" w:eastAsia="Arial" w:hAnsi="Arial"/>
                <w:sz w:val="14"/>
                <w:szCs w:val="14"/>
                <w:b w:val="1"/>
                <w:bCs w:val="1"/>
                <w:color w:val="FFFFFF"/>
              </w:rPr>
              <w:t>Herewith</w:t>
            </w:r>
          </w:p>
        </w:tc>
        <w:tc>
          <w:tcPr>
            <w:tcW w:w="99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Form</w:t>
            </w:r>
          </w:p>
        </w:tc>
        <w:tc>
          <w:tcPr>
            <w:tcW w:w="14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Exhibit Number</w:t>
            </w:r>
          </w:p>
        </w:tc>
        <w:tc>
          <w:tcPr>
            <w:tcW w:w="12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6"/>
        </w:trPr>
        <w:tc>
          <w:tcPr>
            <w:tcW w:w="720" w:type="dxa"/>
            <w:vAlign w:val="bottom"/>
            <w:tcBorders>
              <w:bottom w:val="single" w:sz="8" w:color="EBFBFF"/>
            </w:tcBorders>
            <w:shd w:val="clear" w:color="auto" w:fill="EBFBFF"/>
          </w:tcPr>
          <w:p>
            <w:pPr>
              <w:spacing w:after="0"/>
              <w:rPr>
                <w:sz w:val="22"/>
                <w:szCs w:val="22"/>
                <w:color w:val="auto"/>
              </w:rPr>
            </w:pPr>
          </w:p>
        </w:tc>
        <w:tc>
          <w:tcPr>
            <w:tcW w:w="360" w:type="dxa"/>
            <w:vAlign w:val="bottom"/>
            <w:tcBorders>
              <w:bottom w:val="single" w:sz="8" w:color="7A04DD"/>
            </w:tcBorders>
            <w:shd w:val="clear" w:color="auto" w:fill="EBFBFF"/>
          </w:tcPr>
          <w:p>
            <w:pPr>
              <w:jc w:val="right"/>
              <w:spacing w:after="0"/>
              <w:rPr>
                <w:rFonts w:ascii="Arial" w:cs="Arial" w:eastAsia="Arial" w:hAnsi="Arial"/>
                <w:sz w:val="18"/>
                <w:szCs w:val="18"/>
                <w:color w:val="7A04DD"/>
                <w:w w:val="96"/>
              </w:rPr>
            </w:pPr>
            <w:hyperlink r:id="rId233">
              <w:r>
                <w:rPr>
                  <w:rFonts w:ascii="Arial" w:cs="Arial" w:eastAsia="Arial" w:hAnsi="Arial"/>
                  <w:sz w:val="18"/>
                  <w:szCs w:val="18"/>
                  <w:color w:val="7A04DD"/>
                  <w:w w:val="96"/>
                </w:rPr>
                <w:t>10.</w:t>
              </w:r>
              <w:r>
                <w:rPr>
                  <w:rFonts w:ascii="Arial" w:cs="Arial" w:eastAsia="Arial" w:hAnsi="Arial"/>
                  <w:sz w:val="18"/>
                  <w:szCs w:val="18"/>
                  <w:u w:val="single" w:color="auto"/>
                  <w:color w:val="7A04DD"/>
                  <w:w w:val="96"/>
                </w:rPr>
                <w:t>1</w:t>
              </w:r>
            </w:hyperlink>
          </w:p>
        </w:tc>
        <w:tc>
          <w:tcPr>
            <w:tcW w:w="140" w:type="dxa"/>
            <w:vAlign w:val="bottom"/>
            <w:tcBorders>
              <w:bottom w:val="single" w:sz="8" w:color="EBFBFF"/>
            </w:tcBorders>
            <w:shd w:val="clear" w:color="auto" w:fill="EBFBFF"/>
          </w:tcPr>
          <w:p>
            <w:pPr>
              <w:spacing w:after="0"/>
              <w:rPr>
                <w:sz w:val="22"/>
                <w:szCs w:val="22"/>
                <w:color w:val="auto"/>
              </w:rPr>
            </w:pPr>
          </w:p>
        </w:tc>
        <w:tc>
          <w:tcPr>
            <w:tcW w:w="4940" w:type="dxa"/>
            <w:vAlign w:val="bottom"/>
            <w:tcBorders>
              <w:bottom w:val="single" w:sz="8" w:color="7A04DD"/>
            </w:tcBorders>
            <w:gridSpan w:val="7"/>
            <w:shd w:val="clear" w:color="auto" w:fill="EBFBFF"/>
          </w:tcPr>
          <w:p>
            <w:pPr>
              <w:spacing w:after="0"/>
              <w:rPr>
                <w:rFonts w:ascii="Arial" w:cs="Arial" w:eastAsia="Arial" w:hAnsi="Arial"/>
                <w:sz w:val="18"/>
                <w:szCs w:val="18"/>
                <w:color w:val="7A04DD"/>
                <w:w w:val="99"/>
              </w:rPr>
            </w:pPr>
            <w:hyperlink r:id="rId233">
              <w:r>
                <w:rPr>
                  <w:rFonts w:ascii="Arial" w:cs="Arial" w:eastAsia="Arial" w:hAnsi="Arial"/>
                  <w:sz w:val="18"/>
                  <w:szCs w:val="18"/>
                  <w:color w:val="7A04DD"/>
                  <w:w w:val="99"/>
                </w:rPr>
                <w:t>First Amendment, dated March 10, 2025, to the Amended and</w:t>
              </w:r>
            </w:hyperlink>
          </w:p>
        </w:tc>
        <w:tc>
          <w:tcPr>
            <w:tcW w:w="440" w:type="dxa"/>
            <w:vAlign w:val="bottom"/>
            <w:tcBorders>
              <w:bottom w:val="single" w:sz="8" w:color="EBFBFF"/>
            </w:tcBorders>
            <w:gridSpan w:val="4"/>
            <w:shd w:val="clear" w:color="auto" w:fill="EBFBFF"/>
          </w:tcPr>
          <w:p>
            <w:pPr>
              <w:spacing w:after="0"/>
              <w:rPr>
                <w:sz w:val="22"/>
                <w:szCs w:val="22"/>
                <w:color w:val="auto"/>
              </w:rPr>
            </w:pPr>
          </w:p>
        </w:tc>
        <w:tc>
          <w:tcPr>
            <w:tcW w:w="990" w:type="dxa"/>
            <w:vAlign w:val="bottom"/>
            <w:tcBorders>
              <w:bottom w:val="single" w:sz="8" w:color="EBFBFF"/>
            </w:tcBorders>
            <w:shd w:val="clear" w:color="auto" w:fill="EBFBFF"/>
          </w:tcPr>
          <w:p>
            <w:pPr>
              <w:spacing w:after="0"/>
              <w:rPr>
                <w:sz w:val="22"/>
                <w:szCs w:val="22"/>
                <w:color w:val="auto"/>
              </w:rPr>
            </w:pPr>
          </w:p>
        </w:tc>
        <w:tc>
          <w:tcPr>
            <w:tcW w:w="99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8-K</w:t>
            </w:r>
          </w:p>
        </w:tc>
        <w:tc>
          <w:tcPr>
            <w:tcW w:w="1400" w:type="dxa"/>
            <w:vAlign w:val="bottom"/>
            <w:tcBorders>
              <w:bottom w:val="single" w:sz="8" w:color="EBFBFF"/>
            </w:tcBorders>
            <w:shd w:val="clear" w:color="auto" w:fill="EBFBFF"/>
          </w:tcPr>
          <w:p>
            <w:pPr>
              <w:jc w:val="right"/>
              <w:ind w:right="442"/>
              <w:spacing w:after="0"/>
              <w:rPr>
                <w:sz w:val="20"/>
                <w:szCs w:val="20"/>
                <w:color w:val="auto"/>
              </w:rPr>
            </w:pPr>
            <w:r>
              <w:rPr>
                <w:rFonts w:ascii="Arial" w:cs="Arial" w:eastAsia="Arial" w:hAnsi="Arial"/>
                <w:sz w:val="18"/>
                <w:szCs w:val="18"/>
                <w:color w:val="51555C"/>
              </w:rPr>
              <w:t>10.1</w:t>
            </w:r>
          </w:p>
        </w:tc>
        <w:tc>
          <w:tcPr>
            <w:tcW w:w="1260" w:type="dxa"/>
            <w:vAlign w:val="bottom"/>
            <w:tcBorders>
              <w:bottom w:val="single" w:sz="8" w:color="EBFBFF"/>
            </w:tcBorders>
            <w:shd w:val="clear" w:color="auto" w:fill="EBFBFF"/>
          </w:tcPr>
          <w:p>
            <w:pPr>
              <w:jc w:val="right"/>
              <w:ind w:right="139"/>
              <w:spacing w:after="0"/>
              <w:rPr>
                <w:sz w:val="20"/>
                <w:szCs w:val="20"/>
                <w:color w:val="auto"/>
              </w:rPr>
            </w:pPr>
            <w:r>
              <w:rPr>
                <w:rFonts w:ascii="Arial" w:cs="Arial" w:eastAsia="Arial" w:hAnsi="Arial"/>
                <w:sz w:val="18"/>
                <w:szCs w:val="18"/>
                <w:color w:val="51555C"/>
              </w:rPr>
              <w:t>3/13/2025</w:t>
            </w:r>
          </w:p>
        </w:tc>
        <w:tc>
          <w:tcPr>
            <w:tcW w:w="20" w:type="dxa"/>
            <w:vAlign w:val="bottom"/>
          </w:tcPr>
          <w:p>
            <w:pPr>
              <w:spacing w:after="0"/>
              <w:rPr>
                <w:sz w:val="22"/>
                <w:szCs w:val="22"/>
                <w:color w:val="auto"/>
              </w:rPr>
            </w:pPr>
          </w:p>
        </w:tc>
      </w:tr>
      <w:tr>
        <w:trPr>
          <w:trHeight w:val="196"/>
        </w:trPr>
        <w:tc>
          <w:tcPr>
            <w:tcW w:w="720" w:type="dxa"/>
            <w:vAlign w:val="bottom"/>
            <w:shd w:val="clear" w:color="auto" w:fill="EBFBFF"/>
          </w:tcPr>
          <w:p>
            <w:pPr>
              <w:spacing w:after="0"/>
              <w:rPr>
                <w:sz w:val="17"/>
                <w:szCs w:val="17"/>
                <w:color w:val="auto"/>
              </w:rPr>
            </w:pPr>
          </w:p>
        </w:tc>
        <w:tc>
          <w:tcPr>
            <w:tcW w:w="3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380" w:type="dxa"/>
            <w:vAlign w:val="bottom"/>
            <w:gridSpan w:val="11"/>
            <w:shd w:val="clear" w:color="auto" w:fill="EBFBFF"/>
          </w:tcPr>
          <w:p>
            <w:pPr>
              <w:spacing w:after="0" w:line="196" w:lineRule="exact"/>
              <w:rPr>
                <w:rFonts w:ascii="Arial" w:cs="Arial" w:eastAsia="Arial" w:hAnsi="Arial"/>
                <w:sz w:val="18"/>
                <w:szCs w:val="18"/>
                <w:color w:val="7A04DD"/>
              </w:rPr>
            </w:pPr>
            <w:hyperlink r:id="rId233">
              <w:r>
                <w:rPr>
                  <w:rFonts w:ascii="Arial" w:cs="Arial" w:eastAsia="Arial" w:hAnsi="Arial"/>
                  <w:sz w:val="18"/>
                  <w:szCs w:val="18"/>
                  <w:color w:val="7A04DD"/>
                </w:rPr>
                <w:t>Restated Employment and Noncompetition Agreement dated</w:t>
              </w:r>
            </w:hyperlink>
          </w:p>
        </w:tc>
        <w:tc>
          <w:tcPr>
            <w:tcW w:w="990" w:type="dxa"/>
            <w:vAlign w:val="bottom"/>
            <w:shd w:val="clear" w:color="auto" w:fill="EBFBFF"/>
          </w:tcPr>
          <w:p>
            <w:pPr>
              <w:spacing w:after="0"/>
              <w:rPr>
                <w:sz w:val="17"/>
                <w:szCs w:val="17"/>
                <w:color w:val="auto"/>
              </w:rPr>
            </w:pPr>
          </w:p>
        </w:tc>
        <w:tc>
          <w:tcPr>
            <w:tcW w:w="990" w:type="dxa"/>
            <w:vAlign w:val="bottom"/>
            <w:shd w:val="clear" w:color="auto" w:fill="EBFBFF"/>
          </w:tcPr>
          <w:p>
            <w:pPr>
              <w:spacing w:after="0"/>
              <w:rPr>
                <w:sz w:val="17"/>
                <w:szCs w:val="17"/>
                <w:color w:val="auto"/>
              </w:rPr>
            </w:pPr>
          </w:p>
        </w:tc>
        <w:tc>
          <w:tcPr>
            <w:tcW w:w="140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shd w:val="clear" w:color="auto" w:fill="EBFBFF"/>
          </w:tcPr>
          <w:p>
            <w:pPr>
              <w:spacing w:after="0" w:line="20" w:lineRule="exact"/>
              <w:rPr>
                <w:sz w:val="1"/>
                <w:szCs w:val="1"/>
                <w:color w:val="auto"/>
              </w:rPr>
            </w:pPr>
          </w:p>
        </w:tc>
        <w:tc>
          <w:tcPr>
            <w:tcW w:w="360" w:type="dxa"/>
            <w:vAlign w:val="bottom"/>
            <w:shd w:val="clear" w:color="auto" w:fill="EBFBFF"/>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66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2840" w:type="dxa"/>
            <w:vAlign w:val="bottom"/>
            <w:shd w:val="clear" w:color="auto" w:fill="7A04DD"/>
          </w:tcPr>
          <w:p>
            <w:pPr>
              <w:spacing w:after="0" w:line="20" w:lineRule="exact"/>
              <w:rPr>
                <w:sz w:val="1"/>
                <w:szCs w:val="1"/>
                <w:color w:val="auto"/>
              </w:rPr>
            </w:pPr>
          </w:p>
        </w:tc>
        <w:tc>
          <w:tcPr>
            <w:tcW w:w="46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540" w:type="dxa"/>
            <w:vAlign w:val="bottom"/>
            <w:tcBorders>
              <w:right w:val="single" w:sz="8" w:color="EBFBFF"/>
            </w:tcBorders>
            <w:shd w:val="clear" w:color="auto" w:fill="7A04DD"/>
          </w:tcPr>
          <w:p>
            <w:pPr>
              <w:spacing w:after="0" w:line="20" w:lineRule="exact"/>
              <w:rPr>
                <w:sz w:val="1"/>
                <w:szCs w:val="1"/>
                <w:color w:val="auto"/>
              </w:rPr>
            </w:pPr>
          </w:p>
        </w:tc>
        <w:tc>
          <w:tcPr>
            <w:tcW w:w="220" w:type="dxa"/>
            <w:vAlign w:val="bottom"/>
            <w:gridSpan w:val="2"/>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40" w:type="dxa"/>
            <w:vAlign w:val="bottom"/>
            <w:shd w:val="clear" w:color="auto" w:fill="EBFBFF"/>
          </w:tcPr>
          <w:p>
            <w:pPr>
              <w:spacing w:after="0" w:line="20" w:lineRule="exact"/>
              <w:rPr>
                <w:sz w:val="1"/>
                <w:szCs w:val="1"/>
                <w:color w:val="auto"/>
              </w:rPr>
            </w:pPr>
          </w:p>
        </w:tc>
        <w:tc>
          <w:tcPr>
            <w:tcW w:w="990" w:type="dxa"/>
            <w:vAlign w:val="bottom"/>
            <w:shd w:val="clear" w:color="auto" w:fill="EBFBFF"/>
          </w:tcPr>
          <w:p>
            <w:pPr>
              <w:spacing w:after="0" w:line="20" w:lineRule="exact"/>
              <w:rPr>
                <w:sz w:val="1"/>
                <w:szCs w:val="1"/>
                <w:color w:val="auto"/>
              </w:rPr>
            </w:pPr>
          </w:p>
        </w:tc>
        <w:tc>
          <w:tcPr>
            <w:tcW w:w="990" w:type="dxa"/>
            <w:vAlign w:val="bottom"/>
            <w:shd w:val="clear" w:color="auto" w:fill="EBFBFF"/>
          </w:tcPr>
          <w:p>
            <w:pPr>
              <w:spacing w:after="0" w:line="20" w:lineRule="exact"/>
              <w:rPr>
                <w:sz w:val="1"/>
                <w:szCs w:val="1"/>
                <w:color w:val="auto"/>
              </w:rPr>
            </w:pPr>
          </w:p>
        </w:tc>
        <w:tc>
          <w:tcPr>
            <w:tcW w:w="1400" w:type="dxa"/>
            <w:vAlign w:val="bottom"/>
            <w:shd w:val="clear" w:color="auto" w:fill="EBFBFF"/>
          </w:tcPr>
          <w:p>
            <w:pPr>
              <w:spacing w:after="0" w:line="20" w:lineRule="exact"/>
              <w:rPr>
                <w:sz w:val="1"/>
                <w:szCs w:val="1"/>
                <w:color w:val="auto"/>
              </w:rPr>
            </w:pPr>
          </w:p>
        </w:tc>
        <w:tc>
          <w:tcPr>
            <w:tcW w:w="126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Borders>
              <w:bottom w:val="single" w:sz="8" w:color="EBFBFF"/>
            </w:tcBorders>
            <w:shd w:val="clear" w:color="auto" w:fill="EBFBFF"/>
          </w:tcPr>
          <w:p>
            <w:pPr>
              <w:spacing w:after="0"/>
              <w:rPr>
                <w:sz w:val="17"/>
                <w:szCs w:val="17"/>
                <w:color w:val="auto"/>
              </w:rPr>
            </w:pPr>
          </w:p>
        </w:tc>
        <w:tc>
          <w:tcPr>
            <w:tcW w:w="360" w:type="dxa"/>
            <w:vAlign w:val="bottom"/>
            <w:tcBorders>
              <w:bottom w:val="single" w:sz="8" w:color="EBFBFF"/>
            </w:tcBorders>
            <w:shd w:val="clear" w:color="auto" w:fill="EBFBFF"/>
          </w:tcPr>
          <w:p>
            <w:pPr>
              <w:spacing w:after="0"/>
              <w:rPr>
                <w:sz w:val="17"/>
                <w:szCs w:val="17"/>
                <w:color w:val="auto"/>
              </w:rPr>
            </w:pPr>
          </w:p>
        </w:tc>
        <w:tc>
          <w:tcPr>
            <w:tcW w:w="140" w:type="dxa"/>
            <w:vAlign w:val="bottom"/>
            <w:tcBorders>
              <w:bottom w:val="single" w:sz="8" w:color="EBFBFF"/>
            </w:tcBorders>
            <w:shd w:val="clear" w:color="auto" w:fill="EBFBFF"/>
          </w:tcPr>
          <w:p>
            <w:pPr>
              <w:spacing w:after="0"/>
              <w:rPr>
                <w:sz w:val="17"/>
                <w:szCs w:val="17"/>
                <w:color w:val="auto"/>
              </w:rPr>
            </w:pPr>
          </w:p>
        </w:tc>
        <w:tc>
          <w:tcPr>
            <w:tcW w:w="4860" w:type="dxa"/>
            <w:vAlign w:val="bottom"/>
            <w:tcBorders>
              <w:bottom w:val="single" w:sz="8" w:color="7A04DD"/>
              <w:right w:val="single" w:sz="8" w:color="EBFBFF"/>
            </w:tcBorders>
            <w:gridSpan w:val="6"/>
            <w:shd w:val="clear" w:color="auto" w:fill="EBFBFF"/>
          </w:tcPr>
          <w:p>
            <w:pPr>
              <w:spacing w:after="0" w:line="196" w:lineRule="exact"/>
              <w:rPr>
                <w:rFonts w:ascii="Arial" w:cs="Arial" w:eastAsia="Arial" w:hAnsi="Arial"/>
                <w:sz w:val="18"/>
                <w:szCs w:val="18"/>
                <w:color w:val="7A04DD"/>
                <w:w w:val="98"/>
              </w:rPr>
            </w:pPr>
            <w:hyperlink r:id="rId233">
              <w:r>
                <w:rPr>
                  <w:rFonts w:ascii="Arial" w:cs="Arial" w:eastAsia="Arial" w:hAnsi="Arial"/>
                  <w:sz w:val="18"/>
                  <w:szCs w:val="18"/>
                  <w:color w:val="7A04DD"/>
                  <w:w w:val="98"/>
                </w:rPr>
                <w:t>September 22, 2022 between Blackbaud, Inc. and Michael P.</w:t>
              </w:r>
            </w:hyperlink>
          </w:p>
        </w:tc>
        <w:tc>
          <w:tcPr>
            <w:tcW w:w="520" w:type="dxa"/>
            <w:vAlign w:val="bottom"/>
            <w:tcBorders>
              <w:bottom w:val="single" w:sz="8" w:color="EBFBFF"/>
            </w:tcBorders>
            <w:gridSpan w:val="5"/>
            <w:shd w:val="clear" w:color="auto" w:fill="EBFBFF"/>
          </w:tcPr>
          <w:p>
            <w:pPr>
              <w:spacing w:after="0"/>
              <w:rPr>
                <w:sz w:val="17"/>
                <w:szCs w:val="17"/>
                <w:color w:val="auto"/>
              </w:rPr>
            </w:pPr>
          </w:p>
        </w:tc>
        <w:tc>
          <w:tcPr>
            <w:tcW w:w="990" w:type="dxa"/>
            <w:vAlign w:val="bottom"/>
            <w:tcBorders>
              <w:bottom w:val="single" w:sz="8" w:color="EBFBFF"/>
            </w:tcBorders>
            <w:shd w:val="clear" w:color="auto" w:fill="EBFBFF"/>
          </w:tcPr>
          <w:p>
            <w:pPr>
              <w:spacing w:after="0"/>
              <w:rPr>
                <w:sz w:val="17"/>
                <w:szCs w:val="17"/>
                <w:color w:val="auto"/>
              </w:rPr>
            </w:pPr>
          </w:p>
        </w:tc>
        <w:tc>
          <w:tcPr>
            <w:tcW w:w="990" w:type="dxa"/>
            <w:vAlign w:val="bottom"/>
            <w:tcBorders>
              <w:bottom w:val="single" w:sz="8" w:color="EBFBFF"/>
            </w:tcBorders>
            <w:shd w:val="clear" w:color="auto" w:fill="EBFBFF"/>
          </w:tcPr>
          <w:p>
            <w:pPr>
              <w:spacing w:after="0"/>
              <w:rPr>
                <w:sz w:val="17"/>
                <w:szCs w:val="17"/>
                <w:color w:val="auto"/>
              </w:rPr>
            </w:pPr>
          </w:p>
        </w:tc>
        <w:tc>
          <w:tcPr>
            <w:tcW w:w="1400" w:type="dxa"/>
            <w:vAlign w:val="bottom"/>
            <w:tcBorders>
              <w:bottom w:val="single" w:sz="8" w:color="EBFBFF"/>
            </w:tcBorders>
            <w:shd w:val="clear" w:color="auto" w:fill="EBFBFF"/>
          </w:tcPr>
          <w:p>
            <w:pPr>
              <w:spacing w:after="0"/>
              <w:rPr>
                <w:sz w:val="17"/>
                <w:szCs w:val="17"/>
                <w:color w:val="auto"/>
              </w:rPr>
            </w:pPr>
          </w:p>
        </w:tc>
        <w:tc>
          <w:tcPr>
            <w:tcW w:w="12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shd w:val="clear" w:color="auto" w:fill="EBFBFF"/>
          </w:tcPr>
          <w:p>
            <w:pPr>
              <w:spacing w:after="0"/>
              <w:rPr>
                <w:sz w:val="17"/>
                <w:szCs w:val="17"/>
                <w:color w:val="auto"/>
              </w:rPr>
            </w:pPr>
          </w:p>
        </w:tc>
        <w:tc>
          <w:tcPr>
            <w:tcW w:w="3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380" w:type="dxa"/>
            <w:vAlign w:val="bottom"/>
            <w:gridSpan w:val="11"/>
            <w:shd w:val="clear" w:color="auto" w:fill="EBFBFF"/>
          </w:tcPr>
          <w:p>
            <w:pPr>
              <w:spacing w:after="0" w:line="196" w:lineRule="exact"/>
              <w:rPr>
                <w:rFonts w:ascii="Arial" w:cs="Arial" w:eastAsia="Arial" w:hAnsi="Arial"/>
                <w:sz w:val="18"/>
                <w:szCs w:val="18"/>
                <w:color w:val="7A04DD"/>
              </w:rPr>
            </w:pPr>
            <w:hyperlink r:id="rId233">
              <w:r>
                <w:rPr>
                  <w:rFonts w:ascii="Arial" w:cs="Arial" w:eastAsia="Arial" w:hAnsi="Arial"/>
                  <w:sz w:val="18"/>
                  <w:szCs w:val="18"/>
                  <w:color w:val="7A04DD"/>
                </w:rPr>
                <w:t>Gianoni.</w:t>
              </w:r>
            </w:hyperlink>
          </w:p>
        </w:tc>
        <w:tc>
          <w:tcPr>
            <w:tcW w:w="990" w:type="dxa"/>
            <w:vAlign w:val="bottom"/>
            <w:shd w:val="clear" w:color="auto" w:fill="EBFBFF"/>
          </w:tcPr>
          <w:p>
            <w:pPr>
              <w:spacing w:after="0"/>
              <w:rPr>
                <w:sz w:val="17"/>
                <w:szCs w:val="17"/>
                <w:color w:val="auto"/>
              </w:rPr>
            </w:pPr>
          </w:p>
        </w:tc>
        <w:tc>
          <w:tcPr>
            <w:tcW w:w="990" w:type="dxa"/>
            <w:vAlign w:val="bottom"/>
            <w:shd w:val="clear" w:color="auto" w:fill="EBFBFF"/>
          </w:tcPr>
          <w:p>
            <w:pPr>
              <w:spacing w:after="0"/>
              <w:rPr>
                <w:sz w:val="17"/>
                <w:szCs w:val="17"/>
                <w:color w:val="auto"/>
              </w:rPr>
            </w:pPr>
          </w:p>
        </w:tc>
        <w:tc>
          <w:tcPr>
            <w:tcW w:w="140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20" w:type="dxa"/>
            <w:vAlign w:val="bottom"/>
            <w:tcBorders>
              <w:top w:val="single" w:sz="8" w:color="EBFBFF"/>
            </w:tcBorders>
            <w:shd w:val="clear" w:color="auto" w:fill="EBFBFF"/>
          </w:tcPr>
          <w:p>
            <w:pPr>
              <w:spacing w:after="0"/>
              <w:rPr>
                <w:sz w:val="4"/>
                <w:szCs w:val="4"/>
                <w:color w:val="auto"/>
              </w:rPr>
            </w:pPr>
          </w:p>
        </w:tc>
        <w:tc>
          <w:tcPr>
            <w:tcW w:w="36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660" w:type="dxa"/>
            <w:vAlign w:val="bottom"/>
            <w:tcBorders>
              <w:top w:val="single" w:sz="8" w:color="7A04DD"/>
            </w:tcBorders>
            <w:shd w:val="clear" w:color="auto" w:fill="EBFBFF"/>
          </w:tcPr>
          <w:p>
            <w:pPr>
              <w:spacing w:after="0"/>
              <w:rPr>
                <w:sz w:val="4"/>
                <w:szCs w:val="4"/>
                <w:color w:val="auto"/>
              </w:rPr>
            </w:pPr>
          </w:p>
        </w:tc>
        <w:tc>
          <w:tcPr>
            <w:tcW w:w="300" w:type="dxa"/>
            <w:vAlign w:val="bottom"/>
            <w:tcBorders>
              <w:top w:val="single" w:sz="8" w:color="EBFBFF"/>
            </w:tcBorders>
            <w:shd w:val="clear" w:color="auto" w:fill="EBFBFF"/>
          </w:tcPr>
          <w:p>
            <w:pPr>
              <w:spacing w:after="0"/>
              <w:rPr>
                <w:sz w:val="4"/>
                <w:szCs w:val="4"/>
                <w:color w:val="auto"/>
              </w:rPr>
            </w:pPr>
          </w:p>
        </w:tc>
        <w:tc>
          <w:tcPr>
            <w:tcW w:w="284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540" w:type="dxa"/>
            <w:vAlign w:val="bottom"/>
            <w:tcBorders>
              <w:top w:val="single" w:sz="8" w:color="EBFBFF"/>
              <w:right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990" w:type="dxa"/>
            <w:vAlign w:val="bottom"/>
            <w:tcBorders>
              <w:top w:val="single" w:sz="8" w:color="EBFBFF"/>
            </w:tcBorders>
            <w:shd w:val="clear" w:color="auto" w:fill="EBFBFF"/>
          </w:tcPr>
          <w:p>
            <w:pPr>
              <w:spacing w:after="0"/>
              <w:rPr>
                <w:sz w:val="4"/>
                <w:szCs w:val="4"/>
                <w:color w:val="auto"/>
              </w:rPr>
            </w:pPr>
          </w:p>
        </w:tc>
        <w:tc>
          <w:tcPr>
            <w:tcW w:w="990" w:type="dxa"/>
            <w:vAlign w:val="bottom"/>
            <w:tcBorders>
              <w:top w:val="single" w:sz="8" w:color="EBFBFF"/>
            </w:tcBorders>
            <w:shd w:val="clear" w:color="auto" w:fill="EBFBFF"/>
          </w:tcPr>
          <w:p>
            <w:pPr>
              <w:spacing w:after="0"/>
              <w:rPr>
                <w:sz w:val="4"/>
                <w:szCs w:val="4"/>
                <w:color w:val="auto"/>
              </w:rPr>
            </w:pPr>
          </w:p>
        </w:tc>
        <w:tc>
          <w:tcPr>
            <w:tcW w:w="1400" w:type="dxa"/>
            <w:vAlign w:val="bottom"/>
            <w:tcBorders>
              <w:top w:val="single" w:sz="8" w:color="EBFBFF"/>
            </w:tcBorders>
            <w:shd w:val="clear" w:color="auto" w:fill="EBFBFF"/>
          </w:tcPr>
          <w:p>
            <w:pPr>
              <w:spacing w:after="0"/>
              <w:rPr>
                <w:sz w:val="4"/>
                <w:szCs w:val="4"/>
                <w:color w:val="auto"/>
              </w:rPr>
            </w:pPr>
          </w:p>
        </w:tc>
        <w:tc>
          <w:tcPr>
            <w:tcW w:w="126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0" w:type="dxa"/>
            <w:vAlign w:val="bottom"/>
          </w:tcPr>
          <w:p>
            <w:pPr>
              <w:spacing w:after="0"/>
              <w:rPr>
                <w:sz w:val="22"/>
                <w:szCs w:val="22"/>
                <w:color w:val="auto"/>
              </w:rPr>
            </w:pPr>
          </w:p>
        </w:tc>
        <w:tc>
          <w:tcPr>
            <w:tcW w:w="360" w:type="dxa"/>
            <w:vAlign w:val="bottom"/>
            <w:tcBorders>
              <w:bottom w:val="single" w:sz="8" w:color="7A04DD"/>
            </w:tcBorders>
          </w:tcPr>
          <w:p>
            <w:pPr>
              <w:jc w:val="right"/>
              <w:spacing w:after="0"/>
              <w:rPr>
                <w:sz w:val="20"/>
                <w:szCs w:val="20"/>
                <w:color w:val="auto"/>
              </w:rPr>
            </w:pPr>
            <w:r>
              <w:rPr>
                <w:rFonts w:ascii="Arial" w:cs="Arial" w:eastAsia="Arial" w:hAnsi="Arial"/>
                <w:sz w:val="18"/>
                <w:szCs w:val="18"/>
                <w:color w:val="7A04DD"/>
                <w:w w:val="96"/>
              </w:rPr>
              <w:t>31.</w:t>
            </w:r>
            <w:r>
              <w:rPr>
                <w:rFonts w:ascii="Arial" w:cs="Arial" w:eastAsia="Arial" w:hAnsi="Arial"/>
                <w:sz w:val="18"/>
                <w:szCs w:val="18"/>
                <w:u w:val="single" w:color="auto"/>
                <w:color w:val="7A04DD"/>
                <w:w w:val="96"/>
              </w:rPr>
              <w:t>1</w:t>
            </w:r>
          </w:p>
        </w:tc>
        <w:tc>
          <w:tcPr>
            <w:tcW w:w="140" w:type="dxa"/>
            <w:vAlign w:val="bottom"/>
          </w:tcPr>
          <w:p>
            <w:pPr>
              <w:spacing w:after="0"/>
              <w:rPr>
                <w:sz w:val="22"/>
                <w:szCs w:val="22"/>
                <w:color w:val="auto"/>
              </w:rPr>
            </w:pPr>
          </w:p>
        </w:tc>
        <w:tc>
          <w:tcPr>
            <w:tcW w:w="4320" w:type="dxa"/>
            <w:vAlign w:val="bottom"/>
            <w:tcBorders>
              <w:bottom w:val="single" w:sz="8" w:color="7A04DD"/>
            </w:tcBorders>
            <w:gridSpan w:val="5"/>
          </w:tcPr>
          <w:p>
            <w:pPr>
              <w:spacing w:after="0"/>
              <w:rPr>
                <w:sz w:val="20"/>
                <w:szCs w:val="20"/>
                <w:color w:val="auto"/>
              </w:rPr>
            </w:pPr>
            <w:r>
              <w:rPr>
                <w:rFonts w:ascii="Arial" w:cs="Arial" w:eastAsia="Arial" w:hAnsi="Arial"/>
                <w:sz w:val="18"/>
                <w:szCs w:val="18"/>
                <w:color w:val="7A04DD"/>
                <w:w w:val="99"/>
              </w:rPr>
              <w:t>Certification by the Chief Executive Officer pursuant to</w:t>
            </w:r>
          </w:p>
        </w:tc>
        <w:tc>
          <w:tcPr>
            <w:tcW w:w="1060" w:type="dxa"/>
            <w:vAlign w:val="bottom"/>
            <w:gridSpan w:val="6"/>
          </w:tcPr>
          <w:p>
            <w:pPr>
              <w:spacing w:after="0"/>
              <w:rPr>
                <w:sz w:val="22"/>
                <w:szCs w:val="22"/>
                <w:color w:val="auto"/>
              </w:rPr>
            </w:pP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11"/>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99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7A04DD"/>
            </w:tcBorders>
          </w:tcPr>
          <w:p>
            <w:pPr>
              <w:spacing w:after="0"/>
              <w:rPr>
                <w:sz w:val="4"/>
                <w:szCs w:val="4"/>
                <w:color w:val="auto"/>
              </w:rPr>
            </w:pPr>
          </w:p>
        </w:tc>
        <w:tc>
          <w:tcPr>
            <w:tcW w:w="300" w:type="dxa"/>
            <w:vAlign w:val="bottom"/>
            <w:tcBorders>
              <w:top w:val="single" w:sz="8" w:color="7A04DD"/>
            </w:tcBorders>
          </w:tcPr>
          <w:p>
            <w:pPr>
              <w:spacing w:after="0"/>
              <w:rPr>
                <w:sz w:val="4"/>
                <w:szCs w:val="4"/>
                <w:color w:val="auto"/>
              </w:rPr>
            </w:pPr>
          </w:p>
        </w:tc>
        <w:tc>
          <w:tcPr>
            <w:tcW w:w="2840" w:type="dxa"/>
            <w:vAlign w:val="bottom"/>
            <w:tcBorders>
              <w:top w:val="single" w:sz="8" w:color="7A04DD"/>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90" w:type="dxa"/>
            <w:vAlign w:val="bottom"/>
          </w:tcPr>
          <w:p>
            <w:pPr>
              <w:spacing w:after="0"/>
              <w:rPr>
                <w:sz w:val="4"/>
                <w:szCs w:val="4"/>
                <w:color w:val="auto"/>
              </w:rPr>
            </w:pPr>
          </w:p>
        </w:tc>
        <w:tc>
          <w:tcPr>
            <w:tcW w:w="99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0" w:type="dxa"/>
            <w:vAlign w:val="bottom"/>
            <w:tcBorders>
              <w:bottom w:val="single" w:sz="8" w:color="EBFBFF"/>
            </w:tcBorders>
            <w:shd w:val="clear" w:color="auto" w:fill="EBFBFF"/>
          </w:tcPr>
          <w:p>
            <w:pPr>
              <w:spacing w:after="0"/>
              <w:rPr>
                <w:sz w:val="22"/>
                <w:szCs w:val="22"/>
                <w:color w:val="auto"/>
              </w:rPr>
            </w:pPr>
          </w:p>
        </w:tc>
        <w:tc>
          <w:tcPr>
            <w:tcW w:w="360" w:type="dxa"/>
            <w:vAlign w:val="bottom"/>
            <w:tcBorders>
              <w:bottom w:val="single" w:sz="8" w:color="7A04DD"/>
            </w:tcBorders>
            <w:shd w:val="clear" w:color="auto" w:fill="EBFBFF"/>
          </w:tcPr>
          <w:p>
            <w:pPr>
              <w:jc w:val="right"/>
              <w:spacing w:after="0"/>
              <w:rPr>
                <w:sz w:val="20"/>
                <w:szCs w:val="20"/>
                <w:color w:val="auto"/>
              </w:rPr>
            </w:pPr>
            <w:r>
              <w:rPr>
                <w:rFonts w:ascii="Arial" w:cs="Arial" w:eastAsia="Arial" w:hAnsi="Arial"/>
                <w:sz w:val="18"/>
                <w:szCs w:val="18"/>
                <w:color w:val="7A04DD"/>
                <w:w w:val="96"/>
              </w:rPr>
              <w:t>31.</w:t>
            </w:r>
            <w:r>
              <w:rPr>
                <w:rFonts w:ascii="Arial" w:cs="Arial" w:eastAsia="Arial" w:hAnsi="Arial"/>
                <w:sz w:val="18"/>
                <w:szCs w:val="18"/>
                <w:u w:val="single" w:color="auto"/>
                <w:color w:val="7A04DD"/>
                <w:w w:val="96"/>
              </w:rPr>
              <w:t>2</w:t>
            </w:r>
          </w:p>
        </w:tc>
        <w:tc>
          <w:tcPr>
            <w:tcW w:w="140" w:type="dxa"/>
            <w:vAlign w:val="bottom"/>
            <w:tcBorders>
              <w:bottom w:val="single" w:sz="8" w:color="EBFBFF"/>
            </w:tcBorders>
            <w:shd w:val="clear" w:color="auto" w:fill="EBFBFF"/>
          </w:tcPr>
          <w:p>
            <w:pPr>
              <w:spacing w:after="0"/>
              <w:rPr>
                <w:sz w:val="22"/>
                <w:szCs w:val="22"/>
                <w:color w:val="auto"/>
              </w:rPr>
            </w:pPr>
          </w:p>
        </w:tc>
        <w:tc>
          <w:tcPr>
            <w:tcW w:w="4260" w:type="dxa"/>
            <w:vAlign w:val="bottom"/>
            <w:tcBorders>
              <w:bottom w:val="single" w:sz="8" w:color="7A04DD"/>
            </w:tcBorders>
            <w:gridSpan w:val="4"/>
            <w:shd w:val="clear" w:color="auto" w:fill="EBFBFF"/>
          </w:tcPr>
          <w:p>
            <w:pPr>
              <w:spacing w:after="0"/>
              <w:rPr>
                <w:sz w:val="20"/>
                <w:szCs w:val="20"/>
                <w:color w:val="auto"/>
              </w:rPr>
            </w:pPr>
            <w:r>
              <w:rPr>
                <w:rFonts w:ascii="Arial" w:cs="Arial" w:eastAsia="Arial" w:hAnsi="Arial"/>
                <w:sz w:val="18"/>
                <w:szCs w:val="18"/>
                <w:color w:val="7A04DD"/>
                <w:w w:val="99"/>
              </w:rPr>
              <w:t>Certification by the Chief Financial Officer pursuant to</w:t>
            </w:r>
          </w:p>
        </w:tc>
        <w:tc>
          <w:tcPr>
            <w:tcW w:w="1120" w:type="dxa"/>
            <w:vAlign w:val="bottom"/>
            <w:tcBorders>
              <w:bottom w:val="single" w:sz="8" w:color="EBFBFF"/>
            </w:tcBorders>
            <w:gridSpan w:val="7"/>
            <w:shd w:val="clear" w:color="auto" w:fill="EBFBFF"/>
          </w:tcPr>
          <w:p>
            <w:pPr>
              <w:spacing w:after="0"/>
              <w:rPr>
                <w:sz w:val="22"/>
                <w:szCs w:val="22"/>
                <w:color w:val="auto"/>
              </w:rPr>
            </w:pPr>
          </w:p>
        </w:tc>
        <w:tc>
          <w:tcPr>
            <w:tcW w:w="990" w:type="dxa"/>
            <w:vAlign w:val="bottom"/>
            <w:tcBorders>
              <w:bottom w:val="single" w:sz="8" w:color="EBFBFF"/>
            </w:tcBorders>
            <w:shd w:val="clear" w:color="auto" w:fill="EBFBFF"/>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2"/>
                <w:szCs w:val="22"/>
                <w:color w:val="auto"/>
              </w:rPr>
            </w:pPr>
          </w:p>
        </w:tc>
        <w:tc>
          <w:tcPr>
            <w:tcW w:w="1400" w:type="dxa"/>
            <w:vAlign w:val="bottom"/>
            <w:tcBorders>
              <w:bottom w:val="single" w:sz="8" w:color="EBFBFF"/>
            </w:tcBorders>
            <w:shd w:val="clear" w:color="auto" w:fill="EBFBFF"/>
          </w:tcPr>
          <w:p>
            <w:pPr>
              <w:spacing w:after="0"/>
              <w:rPr>
                <w:sz w:val="22"/>
                <w:szCs w:val="22"/>
                <w:color w:val="auto"/>
              </w:rPr>
            </w:pPr>
          </w:p>
        </w:tc>
        <w:tc>
          <w:tcPr>
            <w:tcW w:w="1260" w:type="dxa"/>
            <w:vAlign w:val="bottom"/>
            <w:tcBorders>
              <w:bottom w:val="single" w:sz="8" w:color="EBFBFF"/>
            </w:tcBorders>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7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3800" w:type="dxa"/>
            <w:vAlign w:val="bottom"/>
            <w:tcBorders>
              <w:bottom w:val="single" w:sz="8" w:color="7A04DD"/>
            </w:tcBorders>
            <w:gridSpan w:val="3"/>
            <w:shd w:val="clear" w:color="auto" w:fill="EBFBFF"/>
          </w:tcPr>
          <w:p>
            <w:pPr>
              <w:spacing w:after="0" w:line="196" w:lineRule="exact"/>
              <w:rPr>
                <w:sz w:val="20"/>
                <w:szCs w:val="20"/>
                <w:color w:val="auto"/>
              </w:rPr>
            </w:pPr>
            <w:r>
              <w:rPr>
                <w:rFonts w:ascii="Arial" w:cs="Arial" w:eastAsia="Arial" w:hAnsi="Arial"/>
                <w:sz w:val="18"/>
                <w:szCs w:val="18"/>
                <w:color w:val="7A04DD"/>
                <w:w w:val="99"/>
              </w:rPr>
              <w:t>Section 302 of the Sarbanes-Oxley Act of 2002.</w:t>
            </w:r>
          </w:p>
        </w:tc>
        <w:tc>
          <w:tcPr>
            <w:tcW w:w="1580" w:type="dxa"/>
            <w:vAlign w:val="bottom"/>
            <w:tcBorders>
              <w:bottom w:val="single" w:sz="8" w:color="EBFBFF"/>
            </w:tcBorders>
            <w:gridSpan w:val="8"/>
            <w:shd w:val="clear" w:color="auto" w:fill="EBFBFF"/>
          </w:tcPr>
          <w:p>
            <w:pPr>
              <w:spacing w:after="0"/>
              <w:rPr>
                <w:sz w:val="21"/>
                <w:szCs w:val="21"/>
                <w:color w:val="auto"/>
              </w:rPr>
            </w:pPr>
          </w:p>
        </w:tc>
        <w:tc>
          <w:tcPr>
            <w:tcW w:w="990" w:type="dxa"/>
            <w:vAlign w:val="bottom"/>
            <w:tcBorders>
              <w:bottom w:val="single" w:sz="8" w:color="EBFBFF"/>
            </w:tcBorders>
            <w:shd w:val="clear" w:color="auto" w:fill="EBFBFF"/>
          </w:tcPr>
          <w:p>
            <w:pPr>
              <w:spacing w:after="0"/>
              <w:rPr>
                <w:sz w:val="21"/>
                <w:szCs w:val="21"/>
                <w:color w:val="auto"/>
              </w:rPr>
            </w:pPr>
          </w:p>
        </w:tc>
        <w:tc>
          <w:tcPr>
            <w:tcW w:w="99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7A04DD"/>
                <w:w w:val="96"/>
              </w:rPr>
              <w:t>32.</w:t>
            </w:r>
            <w:r>
              <w:rPr>
                <w:rFonts w:ascii="Arial" w:cs="Arial" w:eastAsia="Arial" w:hAnsi="Arial"/>
                <w:sz w:val="18"/>
                <w:szCs w:val="18"/>
                <w:u w:val="single" w:color="auto"/>
                <w:color w:val="7A04DD"/>
                <w:w w:val="96"/>
              </w:rPr>
              <w:t>1</w:t>
            </w:r>
          </w:p>
        </w:tc>
        <w:tc>
          <w:tcPr>
            <w:tcW w:w="140" w:type="dxa"/>
            <w:vAlign w:val="bottom"/>
          </w:tcPr>
          <w:p>
            <w:pPr>
              <w:spacing w:after="0"/>
              <w:rPr>
                <w:sz w:val="22"/>
                <w:szCs w:val="22"/>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7A04DD"/>
              </w:rPr>
              <w:t>Certification by the Chief Executive Officer pursuant to 18 U.S.C.</w:t>
            </w: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36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7A04DD"/>
            </w:tcBorders>
            <w:gridSpan w:val="10"/>
          </w:tcPr>
          <w:p>
            <w:pPr>
              <w:spacing w:after="0" w:line="196" w:lineRule="exact"/>
              <w:rPr>
                <w:sz w:val="20"/>
                <w:szCs w:val="20"/>
                <w:color w:val="auto"/>
              </w:rPr>
            </w:pPr>
            <w:r>
              <w:rPr>
                <w:rFonts w:ascii="Arial" w:cs="Arial" w:eastAsia="Arial" w:hAnsi="Arial"/>
                <w:sz w:val="18"/>
                <w:szCs w:val="18"/>
                <w:color w:val="7A04DD"/>
                <w:w w:val="99"/>
              </w:rPr>
              <w:t>1350 as adopted pursuant to Section 906 of the Sarbanes-Oxley</w:t>
            </w:r>
          </w:p>
        </w:tc>
        <w:tc>
          <w:tcPr>
            <w:tcW w:w="24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top w:val="single" w:sz="8" w:color="7A04DD"/>
            </w:tcBorders>
            <w:gridSpan w:val="9"/>
          </w:tcPr>
          <w:p>
            <w:pPr>
              <w:spacing w:after="0" w:line="196" w:lineRule="exact"/>
              <w:rPr>
                <w:sz w:val="20"/>
                <w:szCs w:val="20"/>
                <w:color w:val="auto"/>
              </w:rPr>
            </w:pPr>
            <w:r>
              <w:rPr>
                <w:rFonts w:ascii="Arial" w:cs="Arial" w:eastAsia="Arial" w:hAnsi="Arial"/>
                <w:sz w:val="18"/>
                <w:szCs w:val="18"/>
                <w:color w:val="7A04DD"/>
              </w:rPr>
              <w:t>Act of 2002.</w:t>
            </w:r>
          </w:p>
        </w:tc>
        <w:tc>
          <w:tcPr>
            <w:tcW w:w="260" w:type="dxa"/>
            <w:vAlign w:val="bottom"/>
            <w:gridSpan w:val="2"/>
          </w:tcPr>
          <w:p>
            <w:pPr>
              <w:spacing w:after="0"/>
              <w:rPr>
                <w:sz w:val="17"/>
                <w:szCs w:val="17"/>
                <w:color w:val="auto"/>
              </w:rPr>
            </w:pPr>
          </w:p>
        </w:tc>
        <w:tc>
          <w:tcPr>
            <w:tcW w:w="99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7A04DD"/>
            </w:tcBorders>
          </w:tcPr>
          <w:p>
            <w:pPr>
              <w:spacing w:after="0"/>
              <w:rPr>
                <w:sz w:val="4"/>
                <w:szCs w:val="4"/>
                <w:color w:val="auto"/>
              </w:rPr>
            </w:pPr>
          </w:p>
        </w:tc>
        <w:tc>
          <w:tcPr>
            <w:tcW w:w="300" w:type="dxa"/>
            <w:vAlign w:val="bottom"/>
            <w:tcBorders>
              <w:top w:val="single" w:sz="8" w:color="7A04DD"/>
            </w:tcBorders>
          </w:tcPr>
          <w:p>
            <w:pPr>
              <w:spacing w:after="0"/>
              <w:rPr>
                <w:sz w:val="4"/>
                <w:szCs w:val="4"/>
                <w:color w:val="auto"/>
              </w:rPr>
            </w:pPr>
          </w:p>
        </w:tc>
        <w:tc>
          <w:tcPr>
            <w:tcW w:w="2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90" w:type="dxa"/>
            <w:vAlign w:val="bottom"/>
          </w:tcPr>
          <w:p>
            <w:pPr>
              <w:spacing w:after="0"/>
              <w:rPr>
                <w:sz w:val="4"/>
                <w:szCs w:val="4"/>
                <w:color w:val="auto"/>
              </w:rPr>
            </w:pPr>
          </w:p>
        </w:tc>
        <w:tc>
          <w:tcPr>
            <w:tcW w:w="99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0" w:type="dxa"/>
            <w:vAlign w:val="bottom"/>
            <w:shd w:val="clear" w:color="auto" w:fill="EBFBFF"/>
          </w:tcPr>
          <w:p>
            <w:pPr>
              <w:spacing w:after="0"/>
              <w:rPr>
                <w:sz w:val="22"/>
                <w:szCs w:val="22"/>
                <w:color w:val="auto"/>
              </w:rPr>
            </w:pPr>
          </w:p>
        </w:tc>
        <w:tc>
          <w:tcPr>
            <w:tcW w:w="360" w:type="dxa"/>
            <w:vAlign w:val="bottom"/>
            <w:shd w:val="clear" w:color="auto" w:fill="EBFBFF"/>
          </w:tcPr>
          <w:p>
            <w:pPr>
              <w:jc w:val="right"/>
              <w:spacing w:after="0"/>
              <w:rPr>
                <w:sz w:val="20"/>
                <w:szCs w:val="20"/>
                <w:color w:val="auto"/>
              </w:rPr>
            </w:pPr>
            <w:r>
              <w:rPr>
                <w:rFonts w:ascii="Arial" w:cs="Arial" w:eastAsia="Arial" w:hAnsi="Arial"/>
                <w:sz w:val="18"/>
                <w:szCs w:val="18"/>
                <w:color w:val="7A04DD"/>
                <w:w w:val="96"/>
              </w:rPr>
              <w:t>32.</w:t>
            </w:r>
            <w:r>
              <w:rPr>
                <w:rFonts w:ascii="Arial" w:cs="Arial" w:eastAsia="Arial" w:hAnsi="Arial"/>
                <w:sz w:val="18"/>
                <w:szCs w:val="18"/>
                <w:u w:val="single" w:color="auto"/>
                <w:color w:val="7A04DD"/>
                <w:w w:val="96"/>
              </w:rPr>
              <w:t>2</w:t>
            </w:r>
          </w:p>
        </w:tc>
        <w:tc>
          <w:tcPr>
            <w:tcW w:w="140" w:type="dxa"/>
            <w:vAlign w:val="bottom"/>
            <w:shd w:val="clear" w:color="auto" w:fill="EBFBFF"/>
          </w:tcPr>
          <w:p>
            <w:pPr>
              <w:spacing w:after="0"/>
              <w:rPr>
                <w:sz w:val="22"/>
                <w:szCs w:val="22"/>
                <w:color w:val="auto"/>
              </w:rPr>
            </w:pPr>
          </w:p>
        </w:tc>
        <w:tc>
          <w:tcPr>
            <w:tcW w:w="5380" w:type="dxa"/>
            <w:vAlign w:val="bottom"/>
            <w:gridSpan w:val="11"/>
            <w:shd w:val="clear" w:color="auto" w:fill="EBFBFF"/>
          </w:tcPr>
          <w:p>
            <w:pPr>
              <w:spacing w:after="0"/>
              <w:rPr>
                <w:sz w:val="20"/>
                <w:szCs w:val="20"/>
                <w:color w:val="auto"/>
              </w:rPr>
            </w:pPr>
            <w:r>
              <w:rPr>
                <w:rFonts w:ascii="Arial" w:cs="Arial" w:eastAsia="Arial" w:hAnsi="Arial"/>
                <w:sz w:val="18"/>
                <w:szCs w:val="18"/>
                <w:color w:val="7A04DD"/>
              </w:rPr>
              <w:t>Certification by the Chief Financial Officer pursuant to 18 U.S.C.</w:t>
            </w:r>
          </w:p>
        </w:tc>
        <w:tc>
          <w:tcPr>
            <w:tcW w:w="990" w:type="dxa"/>
            <w:vAlign w:val="bottom"/>
            <w:shd w:val="clear" w:color="auto" w:fill="EBFBFF"/>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shd w:val="clear" w:color="auto" w:fill="EBFBFF"/>
          </w:tcPr>
          <w:p>
            <w:pPr>
              <w:spacing w:after="0"/>
              <w:rPr>
                <w:sz w:val="22"/>
                <w:szCs w:val="22"/>
                <w:color w:val="auto"/>
              </w:rPr>
            </w:pPr>
          </w:p>
        </w:tc>
        <w:tc>
          <w:tcPr>
            <w:tcW w:w="1400" w:type="dxa"/>
            <w:vAlign w:val="bottom"/>
            <w:shd w:val="clear" w:color="auto" w:fill="EBFBFF"/>
          </w:tcPr>
          <w:p>
            <w:pPr>
              <w:spacing w:after="0"/>
              <w:rPr>
                <w:sz w:val="22"/>
                <w:szCs w:val="22"/>
                <w:color w:val="auto"/>
              </w:rPr>
            </w:pPr>
          </w:p>
        </w:tc>
        <w:tc>
          <w:tcPr>
            <w:tcW w:w="126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20" w:type="dxa"/>
            <w:vAlign w:val="bottom"/>
            <w:shd w:val="clear" w:color="auto" w:fill="EBFBFF"/>
          </w:tcPr>
          <w:p>
            <w:pPr>
              <w:spacing w:after="0" w:line="20" w:lineRule="exact"/>
              <w:rPr>
                <w:sz w:val="1"/>
                <w:szCs w:val="1"/>
                <w:color w:val="auto"/>
              </w:rPr>
            </w:pPr>
          </w:p>
        </w:tc>
        <w:tc>
          <w:tcPr>
            <w:tcW w:w="360" w:type="dxa"/>
            <w:vAlign w:val="bottom"/>
            <w:shd w:val="clear" w:color="auto" w:fill="7A04DD"/>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5080" w:type="dxa"/>
            <w:vAlign w:val="bottom"/>
            <w:gridSpan w:val="8"/>
            <w:shd w:val="clear" w:color="auto" w:fill="7A04DD"/>
          </w:tcPr>
          <w:p>
            <w:pPr>
              <w:spacing w:after="0" w:line="20" w:lineRule="exact"/>
              <w:rPr>
                <w:sz w:val="1"/>
                <w:szCs w:val="1"/>
                <w:color w:val="auto"/>
              </w:rPr>
            </w:pPr>
          </w:p>
        </w:tc>
        <w:tc>
          <w:tcPr>
            <w:tcW w:w="300" w:type="dxa"/>
            <w:vAlign w:val="bottom"/>
            <w:gridSpan w:val="3"/>
            <w:shd w:val="clear" w:color="auto" w:fill="EBFBFF"/>
          </w:tcPr>
          <w:p>
            <w:pPr>
              <w:spacing w:after="0" w:line="20" w:lineRule="exact"/>
              <w:rPr>
                <w:sz w:val="1"/>
                <w:szCs w:val="1"/>
                <w:color w:val="auto"/>
              </w:rPr>
            </w:pPr>
          </w:p>
        </w:tc>
        <w:tc>
          <w:tcPr>
            <w:tcW w:w="990" w:type="dxa"/>
            <w:vAlign w:val="bottom"/>
            <w:shd w:val="clear" w:color="auto" w:fill="EBFBFF"/>
          </w:tcPr>
          <w:p>
            <w:pPr>
              <w:spacing w:after="0" w:line="20" w:lineRule="exact"/>
              <w:rPr>
                <w:sz w:val="1"/>
                <w:szCs w:val="1"/>
                <w:color w:val="auto"/>
              </w:rPr>
            </w:pPr>
          </w:p>
        </w:tc>
        <w:tc>
          <w:tcPr>
            <w:tcW w:w="990" w:type="dxa"/>
            <w:vAlign w:val="bottom"/>
            <w:shd w:val="clear" w:color="auto" w:fill="EBFBFF"/>
          </w:tcPr>
          <w:p>
            <w:pPr>
              <w:spacing w:after="0" w:line="20" w:lineRule="exact"/>
              <w:rPr>
                <w:sz w:val="1"/>
                <w:szCs w:val="1"/>
                <w:color w:val="auto"/>
              </w:rPr>
            </w:pPr>
          </w:p>
        </w:tc>
        <w:tc>
          <w:tcPr>
            <w:tcW w:w="1400" w:type="dxa"/>
            <w:vAlign w:val="bottom"/>
            <w:shd w:val="clear" w:color="auto" w:fill="EBFBFF"/>
          </w:tcPr>
          <w:p>
            <w:pPr>
              <w:spacing w:after="0" w:line="20" w:lineRule="exact"/>
              <w:rPr>
                <w:sz w:val="1"/>
                <w:szCs w:val="1"/>
                <w:color w:val="auto"/>
              </w:rPr>
            </w:pPr>
          </w:p>
        </w:tc>
        <w:tc>
          <w:tcPr>
            <w:tcW w:w="126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shd w:val="clear" w:color="auto" w:fill="EBFBFF"/>
          </w:tcPr>
          <w:p>
            <w:pPr>
              <w:spacing w:after="0"/>
              <w:rPr>
                <w:sz w:val="17"/>
                <w:szCs w:val="17"/>
                <w:color w:val="auto"/>
              </w:rPr>
            </w:pPr>
          </w:p>
        </w:tc>
        <w:tc>
          <w:tcPr>
            <w:tcW w:w="3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380" w:type="dxa"/>
            <w:vAlign w:val="bottom"/>
            <w:gridSpan w:val="11"/>
            <w:shd w:val="clear" w:color="auto" w:fill="EBFBFF"/>
          </w:tcPr>
          <w:p>
            <w:pPr>
              <w:spacing w:after="0" w:line="196" w:lineRule="exact"/>
              <w:rPr>
                <w:sz w:val="20"/>
                <w:szCs w:val="20"/>
                <w:color w:val="auto"/>
              </w:rPr>
            </w:pPr>
            <w:r>
              <w:rPr>
                <w:rFonts w:ascii="Arial" w:cs="Arial" w:eastAsia="Arial" w:hAnsi="Arial"/>
                <w:sz w:val="18"/>
                <w:szCs w:val="18"/>
                <w:color w:val="7A04DD"/>
              </w:rPr>
              <w:t>1350 as adopted pursuant to Section 906 of the Sarbanes-Oxley</w:t>
            </w:r>
          </w:p>
        </w:tc>
        <w:tc>
          <w:tcPr>
            <w:tcW w:w="990" w:type="dxa"/>
            <w:vAlign w:val="bottom"/>
            <w:shd w:val="clear" w:color="auto" w:fill="EBFBFF"/>
          </w:tcPr>
          <w:p>
            <w:pPr>
              <w:spacing w:after="0"/>
              <w:rPr>
                <w:sz w:val="17"/>
                <w:szCs w:val="17"/>
                <w:color w:val="auto"/>
              </w:rPr>
            </w:pPr>
          </w:p>
        </w:tc>
        <w:tc>
          <w:tcPr>
            <w:tcW w:w="990" w:type="dxa"/>
            <w:vAlign w:val="bottom"/>
            <w:shd w:val="clear" w:color="auto" w:fill="EBFBFF"/>
          </w:tcPr>
          <w:p>
            <w:pPr>
              <w:spacing w:after="0"/>
              <w:rPr>
                <w:sz w:val="17"/>
                <w:szCs w:val="17"/>
                <w:color w:val="auto"/>
              </w:rPr>
            </w:pPr>
          </w:p>
        </w:tc>
        <w:tc>
          <w:tcPr>
            <w:tcW w:w="140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720" w:type="dxa"/>
            <w:vAlign w:val="bottom"/>
            <w:tcBorders>
              <w:top w:val="single" w:sz="8" w:color="EBFBFF"/>
              <w:bottom w:val="single" w:sz="8" w:color="EBFBFF"/>
            </w:tcBorders>
            <w:shd w:val="clear" w:color="auto" w:fill="EBFBFF"/>
          </w:tcPr>
          <w:p>
            <w:pPr>
              <w:spacing w:after="0"/>
              <w:rPr>
                <w:sz w:val="21"/>
                <w:szCs w:val="21"/>
                <w:color w:val="auto"/>
              </w:rPr>
            </w:pPr>
          </w:p>
        </w:tc>
        <w:tc>
          <w:tcPr>
            <w:tcW w:w="360" w:type="dxa"/>
            <w:vAlign w:val="bottom"/>
            <w:tcBorders>
              <w:top w:val="single" w:sz="8" w:color="EBFBFF"/>
              <w:bottom w:val="single" w:sz="8" w:color="EBFBFF"/>
            </w:tcBorders>
            <w:shd w:val="clear" w:color="auto" w:fill="EBFBFF"/>
          </w:tcPr>
          <w:p>
            <w:pPr>
              <w:spacing w:after="0"/>
              <w:rPr>
                <w:sz w:val="21"/>
                <w:szCs w:val="21"/>
                <w:color w:val="auto"/>
              </w:rPr>
            </w:pPr>
          </w:p>
        </w:tc>
        <w:tc>
          <w:tcPr>
            <w:tcW w:w="140" w:type="dxa"/>
            <w:vAlign w:val="bottom"/>
            <w:tcBorders>
              <w:top w:val="single" w:sz="8" w:color="EBFBFF"/>
              <w:bottom w:val="single" w:sz="8" w:color="EBFBFF"/>
            </w:tcBorders>
            <w:shd w:val="clear" w:color="auto" w:fill="EBFBFF"/>
          </w:tcPr>
          <w:p>
            <w:pPr>
              <w:spacing w:after="0"/>
              <w:rPr>
                <w:sz w:val="21"/>
                <w:szCs w:val="21"/>
                <w:color w:val="auto"/>
              </w:rPr>
            </w:pPr>
          </w:p>
        </w:tc>
        <w:tc>
          <w:tcPr>
            <w:tcW w:w="960" w:type="dxa"/>
            <w:vAlign w:val="bottom"/>
            <w:tcBorders>
              <w:top w:val="single" w:sz="8" w:color="7A04DD"/>
              <w:bottom w:val="single" w:sz="8" w:color="7A04DD"/>
            </w:tcBorders>
            <w:gridSpan w:val="2"/>
            <w:shd w:val="clear" w:color="auto" w:fill="EBFBFF"/>
          </w:tcPr>
          <w:p>
            <w:pPr>
              <w:spacing w:after="0" w:line="196" w:lineRule="exact"/>
              <w:rPr>
                <w:sz w:val="20"/>
                <w:szCs w:val="20"/>
                <w:color w:val="auto"/>
              </w:rPr>
            </w:pPr>
            <w:r>
              <w:rPr>
                <w:rFonts w:ascii="Arial" w:cs="Arial" w:eastAsia="Arial" w:hAnsi="Arial"/>
                <w:sz w:val="18"/>
                <w:szCs w:val="18"/>
                <w:color w:val="7A04DD"/>
                <w:w w:val="97"/>
              </w:rPr>
              <w:t>Act of 2002.</w:t>
            </w:r>
          </w:p>
        </w:tc>
        <w:tc>
          <w:tcPr>
            <w:tcW w:w="4160" w:type="dxa"/>
            <w:vAlign w:val="bottom"/>
            <w:tcBorders>
              <w:top w:val="single" w:sz="8" w:color="7A04DD"/>
              <w:bottom w:val="single" w:sz="8" w:color="EBFBFF"/>
            </w:tcBorders>
            <w:gridSpan w:val="7"/>
            <w:shd w:val="clear" w:color="auto" w:fill="EBFBFF"/>
          </w:tcPr>
          <w:p>
            <w:pPr>
              <w:spacing w:after="0"/>
              <w:rPr>
                <w:sz w:val="21"/>
                <w:szCs w:val="21"/>
                <w:color w:val="auto"/>
              </w:rPr>
            </w:pPr>
          </w:p>
        </w:tc>
        <w:tc>
          <w:tcPr>
            <w:tcW w:w="260" w:type="dxa"/>
            <w:vAlign w:val="bottom"/>
            <w:tcBorders>
              <w:top w:val="single" w:sz="8" w:color="EBFBFF"/>
              <w:bottom w:val="single" w:sz="8" w:color="EBFBFF"/>
            </w:tcBorders>
            <w:gridSpan w:val="2"/>
            <w:shd w:val="clear" w:color="auto" w:fill="EBFBFF"/>
          </w:tcPr>
          <w:p>
            <w:pPr>
              <w:spacing w:after="0"/>
              <w:rPr>
                <w:sz w:val="21"/>
                <w:szCs w:val="21"/>
                <w:color w:val="auto"/>
              </w:rPr>
            </w:pPr>
          </w:p>
        </w:tc>
        <w:tc>
          <w:tcPr>
            <w:tcW w:w="990" w:type="dxa"/>
            <w:vAlign w:val="bottom"/>
            <w:tcBorders>
              <w:top w:val="single" w:sz="8" w:color="EBFBFF"/>
              <w:bottom w:val="single" w:sz="8" w:color="EBFBFF"/>
            </w:tcBorders>
            <w:shd w:val="clear" w:color="auto" w:fill="EBFBFF"/>
          </w:tcPr>
          <w:p>
            <w:pPr>
              <w:spacing w:after="0"/>
              <w:rPr>
                <w:sz w:val="21"/>
                <w:szCs w:val="21"/>
                <w:color w:val="auto"/>
              </w:rPr>
            </w:pPr>
          </w:p>
        </w:tc>
        <w:tc>
          <w:tcPr>
            <w:tcW w:w="990" w:type="dxa"/>
            <w:vAlign w:val="bottom"/>
            <w:tcBorders>
              <w:top w:val="single" w:sz="8" w:color="EBFBFF"/>
              <w:bottom w:val="single" w:sz="8" w:color="EBFBFF"/>
            </w:tcBorders>
            <w:shd w:val="clear" w:color="auto" w:fill="EBFBFF"/>
          </w:tcPr>
          <w:p>
            <w:pPr>
              <w:spacing w:after="0"/>
              <w:rPr>
                <w:sz w:val="21"/>
                <w:szCs w:val="21"/>
                <w:color w:val="auto"/>
              </w:rPr>
            </w:pPr>
          </w:p>
        </w:tc>
        <w:tc>
          <w:tcPr>
            <w:tcW w:w="1400" w:type="dxa"/>
            <w:vAlign w:val="bottom"/>
            <w:tcBorders>
              <w:top w:val="single" w:sz="8" w:color="EBFBFF"/>
              <w:bottom w:val="single" w:sz="8" w:color="EBFBFF"/>
            </w:tcBorders>
            <w:shd w:val="clear" w:color="auto" w:fill="EBFBFF"/>
          </w:tcPr>
          <w:p>
            <w:pPr>
              <w:spacing w:after="0"/>
              <w:rPr>
                <w:sz w:val="21"/>
                <w:szCs w:val="21"/>
                <w:color w:val="auto"/>
              </w:rPr>
            </w:pPr>
          </w:p>
        </w:tc>
        <w:tc>
          <w:tcPr>
            <w:tcW w:w="126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1080" w:type="dxa"/>
            <w:vAlign w:val="bottom"/>
            <w:gridSpan w:val="2"/>
          </w:tcPr>
          <w:p>
            <w:pPr>
              <w:jc w:val="right"/>
              <w:spacing w:after="0"/>
              <w:rPr>
                <w:sz w:val="20"/>
                <w:szCs w:val="20"/>
                <w:color w:val="auto"/>
              </w:rPr>
            </w:pPr>
            <w:r>
              <w:rPr>
                <w:rFonts w:ascii="Arial" w:cs="Arial" w:eastAsia="Arial" w:hAnsi="Arial"/>
                <w:sz w:val="18"/>
                <w:szCs w:val="18"/>
                <w:color w:val="51555C"/>
              </w:rPr>
              <w:t>101.INS</w:t>
            </w:r>
          </w:p>
        </w:tc>
        <w:tc>
          <w:tcPr>
            <w:tcW w:w="140" w:type="dxa"/>
            <w:vAlign w:val="bottom"/>
          </w:tcPr>
          <w:p>
            <w:pPr>
              <w:spacing w:after="0"/>
              <w:rPr>
                <w:sz w:val="19"/>
                <w:szCs w:val="19"/>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Inline XBRL Instance Document - the Instance Document does</w:t>
            </w: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not appear in the interactive data file because its XBRL tags are</w:t>
            </w:r>
          </w:p>
        </w:tc>
        <w:tc>
          <w:tcPr>
            <w:tcW w:w="99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embedded within the Inline XBRL Document.</w:t>
            </w:r>
          </w:p>
        </w:tc>
        <w:tc>
          <w:tcPr>
            <w:tcW w:w="990" w:type="dxa"/>
            <w:vAlign w:val="bottom"/>
          </w:tcPr>
          <w:p>
            <w:pPr>
              <w:spacing w:after="0"/>
              <w:rPr>
                <w:sz w:val="20"/>
                <w:szCs w:val="20"/>
                <w:color w:val="auto"/>
              </w:rPr>
            </w:pPr>
          </w:p>
        </w:tc>
        <w:tc>
          <w:tcPr>
            <w:tcW w:w="99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90" w:type="dxa"/>
            <w:vAlign w:val="bottom"/>
          </w:tcPr>
          <w:p>
            <w:pPr>
              <w:spacing w:after="0"/>
              <w:rPr>
                <w:sz w:val="2"/>
                <w:szCs w:val="2"/>
                <w:color w:val="auto"/>
              </w:rPr>
            </w:pPr>
          </w:p>
        </w:tc>
        <w:tc>
          <w:tcPr>
            <w:tcW w:w="99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101.SCH</w:t>
            </w:r>
          </w:p>
        </w:tc>
        <w:tc>
          <w:tcPr>
            <w:tcW w:w="140" w:type="dxa"/>
            <w:vAlign w:val="bottom"/>
            <w:tcBorders>
              <w:bottom w:val="single" w:sz="8" w:color="EBFBFF"/>
            </w:tcBorders>
            <w:shd w:val="clear" w:color="auto" w:fill="EBFBFF"/>
          </w:tcPr>
          <w:p>
            <w:pPr>
              <w:spacing w:after="0"/>
              <w:rPr>
                <w:sz w:val="21"/>
                <w:szCs w:val="21"/>
                <w:color w:val="auto"/>
              </w:rPr>
            </w:pPr>
          </w:p>
        </w:tc>
        <w:tc>
          <w:tcPr>
            <w:tcW w:w="5380" w:type="dxa"/>
            <w:vAlign w:val="bottom"/>
            <w:tcBorders>
              <w:bottom w:val="single" w:sz="8" w:color="EBFBFF"/>
            </w:tcBorders>
            <w:gridSpan w:val="11"/>
            <w:shd w:val="clear" w:color="auto" w:fill="EBFBFF"/>
          </w:tcPr>
          <w:p>
            <w:pPr>
              <w:spacing w:after="0"/>
              <w:rPr>
                <w:sz w:val="20"/>
                <w:szCs w:val="20"/>
                <w:color w:val="auto"/>
              </w:rPr>
            </w:pPr>
            <w:r>
              <w:rPr>
                <w:rFonts w:ascii="Arial" w:cs="Arial" w:eastAsia="Arial" w:hAnsi="Arial"/>
                <w:sz w:val="18"/>
                <w:szCs w:val="18"/>
                <w:color w:val="51555C"/>
              </w:rPr>
              <w:t>Inline XBRL Taxonomy Extension Schema Document.</w:t>
            </w:r>
          </w:p>
        </w:tc>
        <w:tc>
          <w:tcPr>
            <w:tcW w:w="990" w:type="dxa"/>
            <w:vAlign w:val="bottom"/>
            <w:tcBorders>
              <w:bottom w:val="single" w:sz="8" w:color="EBFBFF"/>
            </w:tcBorders>
            <w:shd w:val="clear" w:color="auto" w:fill="EBFBFF"/>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1080" w:type="dxa"/>
            <w:vAlign w:val="bottom"/>
            <w:gridSpan w:val="2"/>
          </w:tcPr>
          <w:p>
            <w:pPr>
              <w:jc w:val="right"/>
              <w:spacing w:after="0"/>
              <w:rPr>
                <w:sz w:val="20"/>
                <w:szCs w:val="20"/>
                <w:color w:val="auto"/>
              </w:rPr>
            </w:pPr>
            <w:r>
              <w:rPr>
                <w:rFonts w:ascii="Arial" w:cs="Arial" w:eastAsia="Arial" w:hAnsi="Arial"/>
                <w:sz w:val="18"/>
                <w:szCs w:val="18"/>
                <w:color w:val="51555C"/>
              </w:rPr>
              <w:t>101.CAL</w:t>
            </w:r>
          </w:p>
        </w:tc>
        <w:tc>
          <w:tcPr>
            <w:tcW w:w="140" w:type="dxa"/>
            <w:vAlign w:val="bottom"/>
          </w:tcPr>
          <w:p>
            <w:pPr>
              <w:spacing w:after="0"/>
              <w:rPr>
                <w:sz w:val="19"/>
                <w:szCs w:val="19"/>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Inline XBRL Taxonomy Extension Calculation Linkbase</w:t>
            </w: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Document.</w:t>
            </w:r>
          </w:p>
        </w:tc>
        <w:tc>
          <w:tcPr>
            <w:tcW w:w="990" w:type="dxa"/>
            <w:vAlign w:val="bottom"/>
          </w:tcPr>
          <w:p>
            <w:pPr>
              <w:spacing w:after="0"/>
              <w:rPr>
                <w:sz w:val="20"/>
                <w:szCs w:val="20"/>
                <w:color w:val="auto"/>
              </w:rPr>
            </w:pPr>
          </w:p>
        </w:tc>
        <w:tc>
          <w:tcPr>
            <w:tcW w:w="99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90" w:type="dxa"/>
            <w:vAlign w:val="bottom"/>
          </w:tcPr>
          <w:p>
            <w:pPr>
              <w:spacing w:after="0"/>
              <w:rPr>
                <w:sz w:val="2"/>
                <w:szCs w:val="2"/>
                <w:color w:val="auto"/>
              </w:rPr>
            </w:pPr>
          </w:p>
        </w:tc>
        <w:tc>
          <w:tcPr>
            <w:tcW w:w="99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101.DEF</w:t>
            </w:r>
          </w:p>
        </w:tc>
        <w:tc>
          <w:tcPr>
            <w:tcW w:w="140" w:type="dxa"/>
            <w:vAlign w:val="bottom"/>
            <w:tcBorders>
              <w:bottom w:val="single" w:sz="8" w:color="EBFBFF"/>
            </w:tcBorders>
            <w:shd w:val="clear" w:color="auto" w:fill="EBFBFF"/>
          </w:tcPr>
          <w:p>
            <w:pPr>
              <w:spacing w:after="0"/>
              <w:rPr>
                <w:sz w:val="21"/>
                <w:szCs w:val="21"/>
                <w:color w:val="auto"/>
              </w:rPr>
            </w:pPr>
          </w:p>
        </w:tc>
        <w:tc>
          <w:tcPr>
            <w:tcW w:w="5380" w:type="dxa"/>
            <w:vAlign w:val="bottom"/>
            <w:tcBorders>
              <w:bottom w:val="single" w:sz="8" w:color="EBFBFF"/>
            </w:tcBorders>
            <w:gridSpan w:val="11"/>
            <w:shd w:val="clear" w:color="auto" w:fill="EBFBFF"/>
          </w:tcPr>
          <w:p>
            <w:pPr>
              <w:spacing w:after="0"/>
              <w:rPr>
                <w:sz w:val="20"/>
                <w:szCs w:val="20"/>
                <w:color w:val="auto"/>
              </w:rPr>
            </w:pPr>
            <w:r>
              <w:rPr>
                <w:rFonts w:ascii="Arial" w:cs="Arial" w:eastAsia="Arial" w:hAnsi="Arial"/>
                <w:sz w:val="18"/>
                <w:szCs w:val="18"/>
                <w:color w:val="51555C"/>
              </w:rPr>
              <w:t>Inline XBRL Taxonomy Extension Definition Linkbase Document.</w:t>
            </w:r>
          </w:p>
        </w:tc>
        <w:tc>
          <w:tcPr>
            <w:tcW w:w="990" w:type="dxa"/>
            <w:vAlign w:val="bottom"/>
            <w:tcBorders>
              <w:bottom w:val="single" w:sz="8" w:color="EBFBFF"/>
            </w:tcBorders>
            <w:shd w:val="clear" w:color="auto" w:fill="EBFBFF"/>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1080" w:type="dxa"/>
            <w:vAlign w:val="bottom"/>
            <w:gridSpan w:val="2"/>
          </w:tcPr>
          <w:p>
            <w:pPr>
              <w:jc w:val="right"/>
              <w:spacing w:after="0"/>
              <w:rPr>
                <w:sz w:val="20"/>
                <w:szCs w:val="20"/>
                <w:color w:val="auto"/>
              </w:rPr>
            </w:pPr>
            <w:r>
              <w:rPr>
                <w:rFonts w:ascii="Arial" w:cs="Arial" w:eastAsia="Arial" w:hAnsi="Arial"/>
                <w:sz w:val="18"/>
                <w:szCs w:val="18"/>
                <w:color w:val="51555C"/>
              </w:rPr>
              <w:t>101.LAB</w:t>
            </w:r>
          </w:p>
        </w:tc>
        <w:tc>
          <w:tcPr>
            <w:tcW w:w="140" w:type="dxa"/>
            <w:vAlign w:val="bottom"/>
          </w:tcPr>
          <w:p>
            <w:pPr>
              <w:spacing w:after="0"/>
              <w:rPr>
                <w:sz w:val="21"/>
                <w:szCs w:val="21"/>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Inline XBRL Taxonomy Extension Label Linkbase Document.</w:t>
            </w: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90" w:type="dxa"/>
            <w:vAlign w:val="bottom"/>
          </w:tcPr>
          <w:p>
            <w:pPr>
              <w:spacing w:after="0"/>
              <w:rPr>
                <w:sz w:val="2"/>
                <w:szCs w:val="2"/>
                <w:color w:val="auto"/>
              </w:rPr>
            </w:pPr>
          </w:p>
        </w:tc>
        <w:tc>
          <w:tcPr>
            <w:tcW w:w="99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1080" w:type="dxa"/>
            <w:vAlign w:val="bottom"/>
            <w:gridSpan w:val="2"/>
            <w:shd w:val="clear" w:color="auto" w:fill="EBFBFF"/>
          </w:tcPr>
          <w:p>
            <w:pPr>
              <w:jc w:val="right"/>
              <w:spacing w:after="0"/>
              <w:rPr>
                <w:sz w:val="20"/>
                <w:szCs w:val="20"/>
                <w:color w:val="auto"/>
              </w:rPr>
            </w:pPr>
            <w:r>
              <w:rPr>
                <w:rFonts w:ascii="Arial" w:cs="Arial" w:eastAsia="Arial" w:hAnsi="Arial"/>
                <w:sz w:val="18"/>
                <w:szCs w:val="18"/>
                <w:color w:val="51555C"/>
              </w:rPr>
              <w:t>101.PRE</w:t>
            </w:r>
          </w:p>
        </w:tc>
        <w:tc>
          <w:tcPr>
            <w:tcW w:w="140" w:type="dxa"/>
            <w:vAlign w:val="bottom"/>
            <w:shd w:val="clear" w:color="auto" w:fill="EBFBFF"/>
          </w:tcPr>
          <w:p>
            <w:pPr>
              <w:spacing w:after="0"/>
              <w:rPr>
                <w:sz w:val="19"/>
                <w:szCs w:val="19"/>
                <w:color w:val="auto"/>
              </w:rPr>
            </w:pPr>
          </w:p>
        </w:tc>
        <w:tc>
          <w:tcPr>
            <w:tcW w:w="5380" w:type="dxa"/>
            <w:vAlign w:val="bottom"/>
            <w:gridSpan w:val="11"/>
            <w:shd w:val="clear" w:color="auto" w:fill="EBFBFF"/>
          </w:tcPr>
          <w:p>
            <w:pPr>
              <w:spacing w:after="0"/>
              <w:rPr>
                <w:sz w:val="20"/>
                <w:szCs w:val="20"/>
                <w:color w:val="auto"/>
              </w:rPr>
            </w:pPr>
            <w:r>
              <w:rPr>
                <w:rFonts w:ascii="Arial" w:cs="Arial" w:eastAsia="Arial" w:hAnsi="Arial"/>
                <w:sz w:val="18"/>
                <w:szCs w:val="18"/>
                <w:color w:val="51555C"/>
              </w:rPr>
              <w:t>Inline XBRL Taxonomy Extension Presentation Linkbase</w:t>
            </w:r>
          </w:p>
        </w:tc>
        <w:tc>
          <w:tcPr>
            <w:tcW w:w="990" w:type="dxa"/>
            <w:vAlign w:val="bottom"/>
            <w:shd w:val="clear" w:color="auto" w:fill="EBFBFF"/>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shd w:val="clear" w:color="auto" w:fill="EBFBFF"/>
          </w:tcPr>
          <w:p>
            <w:pPr>
              <w:spacing w:after="0"/>
              <w:rPr>
                <w:sz w:val="19"/>
                <w:szCs w:val="19"/>
                <w:color w:val="auto"/>
              </w:rPr>
            </w:pPr>
          </w:p>
        </w:tc>
        <w:tc>
          <w:tcPr>
            <w:tcW w:w="1400" w:type="dxa"/>
            <w:vAlign w:val="bottom"/>
            <w:shd w:val="clear" w:color="auto" w:fill="EBFBFF"/>
          </w:tcPr>
          <w:p>
            <w:pPr>
              <w:spacing w:after="0"/>
              <w:rPr>
                <w:sz w:val="19"/>
                <w:szCs w:val="19"/>
                <w:color w:val="auto"/>
              </w:rPr>
            </w:pPr>
          </w:p>
        </w:tc>
        <w:tc>
          <w:tcPr>
            <w:tcW w:w="126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7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5380" w:type="dxa"/>
            <w:vAlign w:val="bottom"/>
            <w:tcBorders>
              <w:bottom w:val="single" w:sz="8" w:color="EBFBFF"/>
            </w:tcBorders>
            <w:gridSpan w:val="11"/>
            <w:shd w:val="clear" w:color="auto" w:fill="EBFBFF"/>
          </w:tcPr>
          <w:p>
            <w:pPr>
              <w:spacing w:after="0"/>
              <w:rPr>
                <w:sz w:val="20"/>
                <w:szCs w:val="20"/>
                <w:color w:val="auto"/>
              </w:rPr>
            </w:pPr>
            <w:r>
              <w:rPr>
                <w:rFonts w:ascii="Arial" w:cs="Arial" w:eastAsia="Arial" w:hAnsi="Arial"/>
                <w:sz w:val="18"/>
                <w:szCs w:val="18"/>
                <w:color w:val="51555C"/>
              </w:rPr>
              <w:t>Document.</w:t>
            </w:r>
          </w:p>
        </w:tc>
        <w:tc>
          <w:tcPr>
            <w:tcW w:w="990" w:type="dxa"/>
            <w:vAlign w:val="bottom"/>
            <w:tcBorders>
              <w:bottom w:val="single" w:sz="8" w:color="EBFBFF"/>
            </w:tcBorders>
            <w:shd w:val="clear" w:color="auto" w:fill="EBFBFF"/>
          </w:tcPr>
          <w:p>
            <w:pPr>
              <w:spacing w:after="0"/>
              <w:rPr>
                <w:sz w:val="21"/>
                <w:szCs w:val="21"/>
                <w:color w:val="auto"/>
              </w:rPr>
            </w:pPr>
          </w:p>
        </w:tc>
        <w:tc>
          <w:tcPr>
            <w:tcW w:w="99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1080" w:type="dxa"/>
            <w:vAlign w:val="bottom"/>
            <w:gridSpan w:val="2"/>
          </w:tcPr>
          <w:p>
            <w:pPr>
              <w:jc w:val="right"/>
              <w:spacing w:after="0"/>
              <w:rPr>
                <w:sz w:val="20"/>
                <w:szCs w:val="20"/>
                <w:color w:val="auto"/>
              </w:rPr>
            </w:pPr>
            <w:r>
              <w:rPr>
                <w:rFonts w:ascii="Arial" w:cs="Arial" w:eastAsia="Arial" w:hAnsi="Arial"/>
                <w:sz w:val="18"/>
                <w:szCs w:val="18"/>
                <w:color w:val="51555C"/>
              </w:rPr>
              <w:t>104</w:t>
            </w:r>
          </w:p>
        </w:tc>
        <w:tc>
          <w:tcPr>
            <w:tcW w:w="140" w:type="dxa"/>
            <w:vAlign w:val="bottom"/>
          </w:tcPr>
          <w:p>
            <w:pPr>
              <w:spacing w:after="0"/>
              <w:rPr>
                <w:sz w:val="19"/>
                <w:szCs w:val="19"/>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Cover Page Interactive Data File (formatted as Inline XBRL and</w:t>
            </w:r>
          </w:p>
        </w:tc>
        <w:tc>
          <w:tcPr>
            <w:tcW w:w="990" w:type="dxa"/>
            <w:vAlign w:val="bottom"/>
          </w:tcPr>
          <w:p>
            <w:pPr>
              <w:jc w:val="center"/>
              <w:ind w:right="2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51555C"/>
              </w:rPr>
              <w:t>contained in Exhibit 101).</w:t>
            </w:r>
          </w:p>
        </w:tc>
        <w:tc>
          <w:tcPr>
            <w:tcW w:w="990" w:type="dxa"/>
            <w:vAlign w:val="bottom"/>
          </w:tcPr>
          <w:p>
            <w:pPr>
              <w:spacing w:after="0"/>
              <w:rPr>
                <w:sz w:val="20"/>
                <w:szCs w:val="20"/>
                <w:color w:val="auto"/>
              </w:rPr>
            </w:pPr>
          </w:p>
        </w:tc>
        <w:tc>
          <w:tcPr>
            <w:tcW w:w="99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72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660" w:type="dxa"/>
            <w:vAlign w:val="bottom"/>
            <w:tcBorders>
              <w:bottom w:val="single" w:sz="8" w:color="0CD973"/>
            </w:tcBorders>
          </w:tcPr>
          <w:p>
            <w:pPr>
              <w:spacing w:after="0"/>
              <w:rPr>
                <w:sz w:val="2"/>
                <w:szCs w:val="2"/>
                <w:color w:val="auto"/>
              </w:rPr>
            </w:pPr>
          </w:p>
        </w:tc>
        <w:tc>
          <w:tcPr>
            <w:tcW w:w="300" w:type="dxa"/>
            <w:vAlign w:val="bottom"/>
            <w:tcBorders>
              <w:bottom w:val="single" w:sz="8" w:color="0CD973"/>
            </w:tcBorders>
          </w:tcPr>
          <w:p>
            <w:pPr>
              <w:spacing w:after="0"/>
              <w:rPr>
                <w:sz w:val="2"/>
                <w:szCs w:val="2"/>
                <w:color w:val="auto"/>
              </w:rPr>
            </w:pPr>
          </w:p>
        </w:tc>
        <w:tc>
          <w:tcPr>
            <w:tcW w:w="2840" w:type="dxa"/>
            <w:vAlign w:val="bottom"/>
            <w:tcBorders>
              <w:bottom w:val="single" w:sz="8" w:color="0CD973"/>
            </w:tcBorders>
          </w:tcPr>
          <w:p>
            <w:pPr>
              <w:spacing w:after="0"/>
              <w:rPr>
                <w:sz w:val="2"/>
                <w:szCs w:val="2"/>
                <w:color w:val="auto"/>
              </w:rPr>
            </w:pPr>
          </w:p>
        </w:tc>
        <w:tc>
          <w:tcPr>
            <w:tcW w:w="460" w:type="dxa"/>
            <w:vAlign w:val="bottom"/>
            <w:tcBorders>
              <w:bottom w:val="single" w:sz="8" w:color="0CD973"/>
            </w:tcBorders>
          </w:tcPr>
          <w:p>
            <w:pPr>
              <w:spacing w:after="0"/>
              <w:rPr>
                <w:sz w:val="2"/>
                <w:szCs w:val="2"/>
                <w:color w:val="auto"/>
              </w:rPr>
            </w:pPr>
          </w:p>
        </w:tc>
        <w:tc>
          <w:tcPr>
            <w:tcW w:w="60" w:type="dxa"/>
            <w:vAlign w:val="bottom"/>
            <w:tcBorders>
              <w:bottom w:val="single" w:sz="8" w:color="0CD973"/>
            </w:tcBorders>
          </w:tcPr>
          <w:p>
            <w:pPr>
              <w:spacing w:after="0"/>
              <w:rPr>
                <w:sz w:val="2"/>
                <w:szCs w:val="2"/>
                <w:color w:val="auto"/>
              </w:rPr>
            </w:pPr>
          </w:p>
        </w:tc>
        <w:tc>
          <w:tcPr>
            <w:tcW w:w="540" w:type="dxa"/>
            <w:vAlign w:val="bottom"/>
            <w:tcBorders>
              <w:bottom w:val="single" w:sz="8" w:color="0CD973"/>
            </w:tcBorders>
          </w:tcPr>
          <w:p>
            <w:pPr>
              <w:spacing w:after="0"/>
              <w:rPr>
                <w:sz w:val="2"/>
                <w:szCs w:val="2"/>
                <w:color w:val="auto"/>
              </w:rPr>
            </w:pPr>
          </w:p>
        </w:tc>
        <w:tc>
          <w:tcPr>
            <w:tcW w:w="8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4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990" w:type="dxa"/>
            <w:vAlign w:val="bottom"/>
            <w:tcBorders>
              <w:bottom w:val="single" w:sz="8" w:color="0CD973"/>
            </w:tcBorders>
          </w:tcPr>
          <w:p>
            <w:pPr>
              <w:spacing w:after="0"/>
              <w:rPr>
                <w:sz w:val="2"/>
                <w:szCs w:val="2"/>
                <w:color w:val="auto"/>
              </w:rPr>
            </w:pPr>
          </w:p>
        </w:tc>
        <w:tc>
          <w:tcPr>
            <w:tcW w:w="990" w:type="dxa"/>
            <w:vAlign w:val="bottom"/>
            <w:tcBorders>
              <w:bottom w:val="single" w:sz="8" w:color="0CD973"/>
            </w:tcBorders>
          </w:tcPr>
          <w:p>
            <w:pPr>
              <w:spacing w:after="0"/>
              <w:rPr>
                <w:sz w:val="2"/>
                <w:szCs w:val="2"/>
                <w:color w:val="auto"/>
              </w:rPr>
            </w:pPr>
          </w:p>
        </w:tc>
        <w:tc>
          <w:tcPr>
            <w:tcW w:w="140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-4431030</wp:posOffset>
            </wp:positionV>
            <wp:extent cx="29571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471170</wp:posOffset>
            </wp:positionV>
            <wp:extent cx="65976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80"/>
              <w:spacing w:after="0"/>
              <w:rPr>
                <w:sz w:val="20"/>
                <w:szCs w:val="20"/>
                <w:color w:val="auto"/>
              </w:rPr>
            </w:pPr>
            <w:r>
              <w:rPr>
                <w:rFonts w:ascii="Arial" w:cs="Arial" w:eastAsia="Arial" w:hAnsi="Arial"/>
                <w:sz w:val="14"/>
                <w:szCs w:val="14"/>
                <w:color w:val="51555C"/>
              </w:rPr>
              <w:t>First Quarter 2025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43</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28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7160" w:type="dxa"/>
            <w:vAlign w:val="bottom"/>
            <w:gridSpan w:val="2"/>
          </w:tcPr>
          <w:p>
            <w:pPr>
              <w:ind w:left="500"/>
              <w:spacing w:after="0"/>
              <w:rPr>
                <w:sz w:val="20"/>
                <w:szCs w:val="20"/>
                <w:color w:val="auto"/>
              </w:rPr>
            </w:pPr>
            <w:r>
              <w:rPr>
                <w:rFonts w:ascii="Arial" w:cs="Arial" w:eastAsia="Arial" w:hAnsi="Arial"/>
                <w:sz w:val="18"/>
                <w:szCs w:val="18"/>
                <w:b w:val="1"/>
                <w:bCs w:val="1"/>
                <w:color w:val="51555C"/>
              </w:rPr>
              <w:t>BLACKBAUD, INC.</w:t>
            </w:r>
          </w:p>
        </w:tc>
      </w:tr>
      <w:tr>
        <w:trPr>
          <w:trHeight w:val="532"/>
        </w:trPr>
        <w:tc>
          <w:tcPr>
            <w:tcW w:w="560" w:type="dxa"/>
            <w:vAlign w:val="bottom"/>
          </w:tcPr>
          <w:p>
            <w:pPr>
              <w:ind w:left="20"/>
              <w:spacing w:after="0"/>
              <w:rPr>
                <w:sz w:val="20"/>
                <w:szCs w:val="20"/>
                <w:color w:val="auto"/>
              </w:rPr>
            </w:pPr>
            <w:r>
              <w:rPr>
                <w:rFonts w:ascii="Arial" w:cs="Arial" w:eastAsia="Arial" w:hAnsi="Arial"/>
                <w:sz w:val="18"/>
                <w:szCs w:val="18"/>
                <w:color w:val="51555C"/>
              </w:rPr>
              <w:t>Date:</w:t>
            </w:r>
          </w:p>
        </w:tc>
        <w:tc>
          <w:tcPr>
            <w:tcW w:w="3480" w:type="dxa"/>
            <w:vAlign w:val="bottom"/>
          </w:tcPr>
          <w:p>
            <w:pPr>
              <w:ind w:left="100"/>
              <w:spacing w:after="0"/>
              <w:rPr>
                <w:sz w:val="20"/>
                <w:szCs w:val="20"/>
                <w:color w:val="auto"/>
              </w:rPr>
            </w:pPr>
            <w:r>
              <w:rPr>
                <w:rFonts w:ascii="Arial" w:cs="Arial" w:eastAsia="Arial" w:hAnsi="Arial"/>
                <w:sz w:val="18"/>
                <w:szCs w:val="18"/>
                <w:color w:val="51555C"/>
              </w:rPr>
              <w:t>April 30, 2025</w:t>
            </w:r>
          </w:p>
        </w:tc>
        <w:tc>
          <w:tcPr>
            <w:tcW w:w="940" w:type="dxa"/>
            <w:vAlign w:val="bottom"/>
          </w:tcPr>
          <w:p>
            <w:pPr>
              <w:ind w:left="500"/>
              <w:spacing w:after="0"/>
              <w:rPr>
                <w:sz w:val="20"/>
                <w:szCs w:val="20"/>
                <w:color w:val="auto"/>
              </w:rPr>
            </w:pPr>
            <w:r>
              <w:rPr>
                <w:rFonts w:ascii="Arial" w:cs="Arial" w:eastAsia="Arial" w:hAnsi="Arial"/>
                <w:sz w:val="18"/>
                <w:szCs w:val="18"/>
                <w:color w:val="51555C"/>
              </w:rPr>
              <w:t>By:</w:t>
            </w:r>
          </w:p>
        </w:tc>
        <w:tc>
          <w:tcPr>
            <w:tcW w:w="6220" w:type="dxa"/>
            <w:vAlign w:val="bottom"/>
          </w:tcPr>
          <w:p>
            <w:pPr>
              <w:ind w:left="20"/>
              <w:spacing w:after="0"/>
              <w:rPr>
                <w:sz w:val="20"/>
                <w:szCs w:val="20"/>
                <w:color w:val="auto"/>
              </w:rPr>
            </w:pPr>
            <w:r>
              <w:rPr>
                <w:rFonts w:ascii="Arial" w:cs="Arial" w:eastAsia="Arial" w:hAnsi="Arial"/>
                <w:sz w:val="18"/>
                <w:szCs w:val="18"/>
                <w:color w:val="51555C"/>
              </w:rPr>
              <w:t>/s/ Michael P. Gianoni</w:t>
            </w:r>
          </w:p>
        </w:tc>
      </w:tr>
      <w:tr>
        <w:trPr>
          <w:trHeight w:val="23"/>
        </w:trPr>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r>
      <w:tr>
        <w:trPr>
          <w:trHeight w:val="241"/>
        </w:trPr>
        <w:tc>
          <w:tcPr>
            <w:tcW w:w="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Michael P. Gianoni</w:t>
            </w:r>
          </w:p>
        </w:tc>
      </w:tr>
      <w:tr>
        <w:trPr>
          <w:trHeight w:val="270"/>
        </w:trPr>
        <w:tc>
          <w:tcPr>
            <w:tcW w:w="5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Chief Executive Officer, President and Vice Chairman of the Board</w:t>
            </w:r>
          </w:p>
        </w:tc>
      </w:tr>
      <w:tr>
        <w:trPr>
          <w:trHeight w:val="270"/>
        </w:trPr>
        <w:tc>
          <w:tcPr>
            <w:tcW w:w="5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r>
      <w:tr>
        <w:trPr>
          <w:trHeight w:val="540"/>
        </w:trPr>
        <w:tc>
          <w:tcPr>
            <w:tcW w:w="560" w:type="dxa"/>
            <w:vAlign w:val="bottom"/>
          </w:tcPr>
          <w:p>
            <w:pPr>
              <w:ind w:left="20"/>
              <w:spacing w:after="0"/>
              <w:rPr>
                <w:sz w:val="20"/>
                <w:szCs w:val="20"/>
                <w:color w:val="auto"/>
              </w:rPr>
            </w:pPr>
            <w:r>
              <w:rPr>
                <w:rFonts w:ascii="Arial" w:cs="Arial" w:eastAsia="Arial" w:hAnsi="Arial"/>
                <w:sz w:val="18"/>
                <w:szCs w:val="18"/>
                <w:color w:val="51555C"/>
              </w:rPr>
              <w:t>Date:</w:t>
            </w:r>
          </w:p>
        </w:tc>
        <w:tc>
          <w:tcPr>
            <w:tcW w:w="3480" w:type="dxa"/>
            <w:vAlign w:val="bottom"/>
          </w:tcPr>
          <w:p>
            <w:pPr>
              <w:ind w:left="100"/>
              <w:spacing w:after="0"/>
              <w:rPr>
                <w:sz w:val="20"/>
                <w:szCs w:val="20"/>
                <w:color w:val="auto"/>
              </w:rPr>
            </w:pPr>
            <w:r>
              <w:rPr>
                <w:rFonts w:ascii="Arial" w:cs="Arial" w:eastAsia="Arial" w:hAnsi="Arial"/>
                <w:sz w:val="18"/>
                <w:szCs w:val="18"/>
                <w:color w:val="51555C"/>
              </w:rPr>
              <w:t>April 30, 2025</w:t>
            </w:r>
          </w:p>
        </w:tc>
        <w:tc>
          <w:tcPr>
            <w:tcW w:w="940" w:type="dxa"/>
            <w:vAlign w:val="bottom"/>
          </w:tcPr>
          <w:p>
            <w:pPr>
              <w:ind w:left="500"/>
              <w:spacing w:after="0"/>
              <w:rPr>
                <w:sz w:val="20"/>
                <w:szCs w:val="20"/>
                <w:color w:val="auto"/>
              </w:rPr>
            </w:pPr>
            <w:r>
              <w:rPr>
                <w:rFonts w:ascii="Arial" w:cs="Arial" w:eastAsia="Arial" w:hAnsi="Arial"/>
                <w:sz w:val="18"/>
                <w:szCs w:val="18"/>
                <w:color w:val="51555C"/>
              </w:rPr>
              <w:t>By:</w:t>
            </w:r>
          </w:p>
        </w:tc>
        <w:tc>
          <w:tcPr>
            <w:tcW w:w="6220" w:type="dxa"/>
            <w:vAlign w:val="bottom"/>
          </w:tcPr>
          <w:p>
            <w:pPr>
              <w:ind w:left="20"/>
              <w:spacing w:after="0"/>
              <w:rPr>
                <w:sz w:val="20"/>
                <w:szCs w:val="20"/>
                <w:color w:val="auto"/>
              </w:rPr>
            </w:pPr>
            <w:r>
              <w:rPr>
                <w:rFonts w:ascii="Arial" w:cs="Arial" w:eastAsia="Arial" w:hAnsi="Arial"/>
                <w:sz w:val="18"/>
                <w:szCs w:val="18"/>
                <w:color w:val="51555C"/>
              </w:rPr>
              <w:t>/s/ Chad M. Anderson</w:t>
            </w:r>
          </w:p>
        </w:tc>
      </w:tr>
      <w:tr>
        <w:trPr>
          <w:trHeight w:val="23"/>
        </w:trPr>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r>
      <w:tr>
        <w:trPr>
          <w:trHeight w:val="241"/>
        </w:trPr>
        <w:tc>
          <w:tcPr>
            <w:tcW w:w="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Chad M. Anderson</w:t>
            </w:r>
          </w:p>
        </w:tc>
      </w:tr>
      <w:tr>
        <w:trPr>
          <w:trHeight w:val="270"/>
        </w:trPr>
        <w:tc>
          <w:tcPr>
            <w:tcW w:w="5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70"/>
        </w:trPr>
        <w:tc>
          <w:tcPr>
            <w:tcW w:w="5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r>
      <w:tr>
        <w:trPr>
          <w:trHeight w:val="717"/>
        </w:trPr>
        <w:tc>
          <w:tcPr>
            <w:tcW w:w="560" w:type="dxa"/>
            <w:vAlign w:val="bottom"/>
          </w:tcPr>
          <w:p>
            <w:pPr>
              <w:spacing w:after="0"/>
              <w:rPr>
                <w:sz w:val="20"/>
                <w:szCs w:val="20"/>
                <w:color w:val="auto"/>
              </w:rPr>
            </w:pPr>
            <w:r>
              <w:rPr>
                <w:rFonts w:ascii="Arial" w:cs="Arial" w:eastAsia="Arial" w:hAnsi="Arial"/>
                <w:sz w:val="14"/>
                <w:szCs w:val="14"/>
                <w:color w:val="51555C"/>
              </w:rPr>
              <w:t>44</w:t>
            </w:r>
          </w:p>
        </w:tc>
        <w:tc>
          <w:tcPr>
            <w:tcW w:w="3480" w:type="dxa"/>
            <w:vAlign w:val="bottom"/>
          </w:tcPr>
          <w:p>
            <w:pPr>
              <w:ind w:left="1060"/>
              <w:spacing w:after="0"/>
              <w:rPr>
                <w:sz w:val="20"/>
                <w:szCs w:val="20"/>
                <w:color w:val="auto"/>
              </w:rPr>
            </w:pPr>
            <w:r>
              <w:rPr>
                <w:rFonts w:ascii="Arial" w:cs="Arial" w:eastAsia="Arial" w:hAnsi="Arial"/>
                <w:sz w:val="14"/>
                <w:szCs w:val="14"/>
                <w:color w:val="51555C"/>
              </w:rPr>
              <w:t>First Quarter 2025 Form 10-Q</w:t>
            </w:r>
          </w:p>
        </w:tc>
        <w:tc>
          <w:tcPr>
            <w:tcW w:w="940" w:type="dxa"/>
            <w:vAlign w:val="bottom"/>
          </w:tcPr>
          <w:p>
            <w:pPr>
              <w:spacing w:after="0"/>
              <w:rPr>
                <w:sz w:val="24"/>
                <w:szCs w:val="24"/>
                <w:color w:val="auto"/>
              </w:rPr>
            </w:pPr>
          </w:p>
        </w:tc>
        <w:tc>
          <w:tcPr>
            <w:tcW w:w="6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-157480</wp:posOffset>
            </wp:positionV>
            <wp:extent cx="65151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51555C"/>
        </w:rPr>
        <w:t>EXHIBIT 31.1</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I, Michael P. Gianoni,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ind w:left="660" w:right="80" w:hanging="328"/>
        <w:spacing w:after="0" w:line="268" w:lineRule="auto"/>
        <w:tabs>
          <w:tab w:leader="none" w:pos="661"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51555C"/>
        </w:rPr>
      </w:pPr>
    </w:p>
    <w:p>
      <w:pPr>
        <w:ind w:left="980" w:right="40" w:hanging="324"/>
        <w:spacing w:after="0" w:line="268" w:lineRule="auto"/>
        <w:tabs>
          <w:tab w:leader="none" w:pos="995"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51555C"/>
        </w:rPr>
      </w:pPr>
    </w:p>
    <w:p>
      <w:pPr>
        <w:ind w:left="980" w:right="340" w:hanging="324"/>
        <w:spacing w:after="0" w:line="268" w:lineRule="auto"/>
        <w:tabs>
          <w:tab w:leader="none" w:pos="981"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51555C"/>
        </w:rPr>
      </w:pPr>
    </w:p>
    <w:p>
      <w:pPr>
        <w:jc w:val="both"/>
        <w:ind w:left="980" w:right="260" w:hanging="324"/>
        <w:spacing w:after="0" w:line="268" w:lineRule="auto"/>
        <w:tabs>
          <w:tab w:leader="none" w:pos="998"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51555C"/>
        </w:rPr>
      </w:pPr>
    </w:p>
    <w:p>
      <w:pPr>
        <w:ind w:left="980" w:right="100" w:hanging="324"/>
        <w:spacing w:after="0" w:line="268" w:lineRule="auto"/>
        <w:tabs>
          <w:tab w:leader="none" w:pos="981"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51555C"/>
        </w:rPr>
      </w:pPr>
    </w:p>
    <w:p>
      <w:pPr>
        <w:ind w:left="660" w:right="340" w:hanging="328"/>
        <w:spacing w:after="0" w:line="268" w:lineRule="auto"/>
        <w:tabs>
          <w:tab w:leader="none" w:pos="661" w:val="left"/>
        </w:tabs>
        <w:numPr>
          <w:ilvl w:val="0"/>
          <w:numId w:val="37"/>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51555C"/>
        </w:rPr>
      </w:pPr>
    </w:p>
    <w:p>
      <w:pPr>
        <w:ind w:left="980" w:right="260" w:hanging="324"/>
        <w:spacing w:after="0" w:line="268" w:lineRule="auto"/>
        <w:tabs>
          <w:tab w:leader="none" w:pos="995"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51555C"/>
        </w:rPr>
      </w:pPr>
    </w:p>
    <w:p>
      <w:pPr>
        <w:ind w:left="980" w:right="200" w:hanging="324"/>
        <w:spacing w:after="0" w:line="287" w:lineRule="auto"/>
        <w:tabs>
          <w:tab w:leader="none" w:pos="981" w:val="left"/>
        </w:tabs>
        <w:numPr>
          <w:ilvl w:val="1"/>
          <w:numId w:val="37"/>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r>
              <w:rPr>
                <w:rFonts w:ascii="Arial" w:cs="Arial" w:eastAsia="Arial" w:hAnsi="Arial"/>
                <w:sz w:val="18"/>
                <w:szCs w:val="18"/>
                <w:color w:val="51555C"/>
              </w:rPr>
              <w:t>Date:  April 30, 2025</w:t>
            </w:r>
          </w:p>
        </w:tc>
        <w:tc>
          <w:tcPr>
            <w:tcW w:w="8020" w:type="dxa"/>
            <w:vAlign w:val="bottom"/>
            <w:gridSpan w:val="2"/>
          </w:tcPr>
          <w:p>
            <w:pPr>
              <w:ind w:left="1420"/>
              <w:spacing w:after="0"/>
              <w:rPr>
                <w:sz w:val="20"/>
                <w:szCs w:val="20"/>
                <w:color w:val="auto"/>
              </w:rPr>
            </w:pPr>
            <w:r>
              <w:rPr>
                <w:rFonts w:ascii="Arial" w:cs="Arial" w:eastAsia="Arial" w:hAnsi="Arial"/>
                <w:sz w:val="18"/>
                <w:szCs w:val="18"/>
                <w:color w:val="51555C"/>
              </w:rPr>
              <w:t>By:   /s/ Michael P. Gianoni</w:t>
            </w:r>
          </w:p>
        </w:tc>
      </w:tr>
      <w:tr>
        <w:trPr>
          <w:trHeight w:val="218"/>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Michael P. Gianoni</w:t>
            </w:r>
          </w:p>
        </w:tc>
      </w:tr>
      <w:tr>
        <w:trPr>
          <w:trHeight w:val="230"/>
        </w:trPr>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Chief Executive Officer, President and Vice Chairman of the Board</w:t>
            </w:r>
          </w:p>
        </w:tc>
      </w:tr>
      <w:tr>
        <w:trPr>
          <w:trHeight w:val="239"/>
        </w:trPr>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9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51555C"/>
        </w:rPr>
        <w:t>EXHIBIT 31.2</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I, Chad M. Anderson,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ind w:left="660" w:right="8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51555C"/>
        </w:rPr>
      </w:pPr>
    </w:p>
    <w:p>
      <w:pPr>
        <w:ind w:left="980" w:right="40" w:hanging="324"/>
        <w:spacing w:after="0" w:line="268" w:lineRule="auto"/>
        <w:tabs>
          <w:tab w:leader="none" w:pos="995"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51555C"/>
        </w:rPr>
      </w:pPr>
    </w:p>
    <w:p>
      <w:pPr>
        <w:ind w:left="980" w:right="340" w:hanging="324"/>
        <w:spacing w:after="0" w:line="268"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51555C"/>
        </w:rPr>
      </w:pPr>
    </w:p>
    <w:p>
      <w:pPr>
        <w:jc w:val="both"/>
        <w:ind w:left="980" w:right="260" w:hanging="324"/>
        <w:spacing w:after="0" w:line="268" w:lineRule="auto"/>
        <w:tabs>
          <w:tab w:leader="none" w:pos="998"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51555C"/>
        </w:rPr>
      </w:pPr>
    </w:p>
    <w:p>
      <w:pPr>
        <w:ind w:left="980" w:right="100" w:hanging="324"/>
        <w:spacing w:after="0" w:line="268"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51555C"/>
        </w:rPr>
      </w:pPr>
    </w:p>
    <w:p>
      <w:pPr>
        <w:ind w:left="660" w:right="34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51555C"/>
        </w:rPr>
      </w:pPr>
    </w:p>
    <w:p>
      <w:pPr>
        <w:ind w:left="980" w:right="260" w:hanging="324"/>
        <w:spacing w:after="0" w:line="268" w:lineRule="auto"/>
        <w:tabs>
          <w:tab w:leader="none" w:pos="995"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51555C"/>
        </w:rPr>
      </w:pPr>
    </w:p>
    <w:p>
      <w:pPr>
        <w:ind w:left="980" w:right="200" w:hanging="324"/>
        <w:spacing w:after="0" w:line="287"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r>
              <w:rPr>
                <w:rFonts w:ascii="Arial" w:cs="Arial" w:eastAsia="Arial" w:hAnsi="Arial"/>
                <w:sz w:val="18"/>
                <w:szCs w:val="18"/>
                <w:color w:val="51555C"/>
              </w:rPr>
              <w:t>Date:  April 30, 2025</w:t>
            </w:r>
          </w:p>
        </w:tc>
        <w:tc>
          <w:tcPr>
            <w:tcW w:w="8020" w:type="dxa"/>
            <w:vAlign w:val="bottom"/>
            <w:gridSpan w:val="2"/>
          </w:tcPr>
          <w:p>
            <w:pPr>
              <w:ind w:left="1420"/>
              <w:spacing w:after="0"/>
              <w:rPr>
                <w:sz w:val="20"/>
                <w:szCs w:val="20"/>
                <w:color w:val="auto"/>
              </w:rPr>
            </w:pPr>
            <w:r>
              <w:rPr>
                <w:rFonts w:ascii="Arial" w:cs="Arial" w:eastAsia="Arial" w:hAnsi="Arial"/>
                <w:sz w:val="18"/>
                <w:szCs w:val="18"/>
                <w:color w:val="51555C"/>
              </w:rPr>
              <w:t>By:   /s/ Chad M. Anderson</w:t>
            </w:r>
          </w:p>
        </w:tc>
      </w:tr>
      <w:tr>
        <w:trPr>
          <w:trHeight w:val="218"/>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Chad M. Anderson</w:t>
            </w:r>
          </w:p>
        </w:tc>
      </w:tr>
      <w:tr>
        <w:trPr>
          <w:trHeight w:val="230"/>
        </w:trPr>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39"/>
        </w:trPr>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r>
    </w:tbl>
    <w:p>
      <w:pPr>
        <w:sectPr>
          <w:pgSz w:w="11900" w:h="16838" w:orient="portrait"/>
          <w:cols w:equalWidth="0" w:num="1">
            <w:col w:w="11240"/>
          </w:cols>
          <w:pgMar w:left="320" w:top="89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51555C"/>
        </w:rPr>
        <w:t>EXHIBIT 32.1</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connection with the Quarterly Report on Form 10-Q of Blackbaud, Inc. (the “Company”) for the period ended March 31, 2025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spacing w:after="0" w:line="12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87" w:lineRule="auto"/>
        <w:tabs>
          <w:tab w:leader="none" w:pos="661"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r>
              <w:rPr>
                <w:rFonts w:ascii="Arial" w:cs="Arial" w:eastAsia="Arial" w:hAnsi="Arial"/>
                <w:sz w:val="18"/>
                <w:szCs w:val="18"/>
                <w:color w:val="51555C"/>
              </w:rPr>
              <w:t>Date:  April 30, 2025</w:t>
            </w:r>
          </w:p>
        </w:tc>
        <w:tc>
          <w:tcPr>
            <w:tcW w:w="8040" w:type="dxa"/>
            <w:vAlign w:val="bottom"/>
            <w:gridSpan w:val="2"/>
          </w:tcPr>
          <w:p>
            <w:pPr>
              <w:ind w:left="1420"/>
              <w:spacing w:after="0"/>
              <w:rPr>
                <w:sz w:val="20"/>
                <w:szCs w:val="20"/>
                <w:color w:val="auto"/>
              </w:rPr>
            </w:pPr>
            <w:r>
              <w:rPr>
                <w:rFonts w:ascii="Arial" w:cs="Arial" w:eastAsia="Arial" w:hAnsi="Arial"/>
                <w:sz w:val="18"/>
                <w:szCs w:val="18"/>
                <w:color w:val="51555C"/>
              </w:rPr>
              <w:t>By:   /s/ Michael P. Gianoni</w:t>
            </w:r>
          </w:p>
        </w:tc>
      </w:tr>
      <w:tr>
        <w:trPr>
          <w:trHeight w:val="218"/>
        </w:trPr>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51555C"/>
              </w:rPr>
              <w:t>Michael P. Gianoni</w:t>
            </w:r>
          </w:p>
        </w:tc>
      </w:tr>
      <w:tr>
        <w:trPr>
          <w:trHeight w:val="230"/>
        </w:trPr>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Chief Executive Officer, President and Vice Chairman of the Board</w:t>
            </w:r>
          </w:p>
        </w:tc>
      </w:tr>
      <w:tr>
        <w:trPr>
          <w:trHeight w:val="239"/>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9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51555C"/>
        </w:rPr>
        <w:t>EXHIBIT 32.2</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connection with the Quarterly Report on Form 10-Q of Blackbaud, Inc. (the “Company”) for the period ended March 31, 2025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spacing w:after="0" w:line="12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87" w:lineRule="auto"/>
        <w:tabs>
          <w:tab w:leader="none" w:pos="661" w:val="left"/>
        </w:tabs>
        <w:numPr>
          <w:ilvl w:val="0"/>
          <w:numId w:val="40"/>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r>
              <w:rPr>
                <w:rFonts w:ascii="Arial" w:cs="Arial" w:eastAsia="Arial" w:hAnsi="Arial"/>
                <w:sz w:val="18"/>
                <w:szCs w:val="18"/>
                <w:color w:val="51555C"/>
              </w:rPr>
              <w:t>Date:  April 30, 2025</w:t>
            </w:r>
          </w:p>
        </w:tc>
        <w:tc>
          <w:tcPr>
            <w:tcW w:w="8040" w:type="dxa"/>
            <w:vAlign w:val="bottom"/>
            <w:gridSpan w:val="2"/>
          </w:tcPr>
          <w:p>
            <w:pPr>
              <w:ind w:left="1420"/>
              <w:spacing w:after="0"/>
              <w:rPr>
                <w:sz w:val="20"/>
                <w:szCs w:val="20"/>
                <w:color w:val="auto"/>
              </w:rPr>
            </w:pPr>
            <w:r>
              <w:rPr>
                <w:rFonts w:ascii="Arial" w:cs="Arial" w:eastAsia="Arial" w:hAnsi="Arial"/>
                <w:sz w:val="18"/>
                <w:szCs w:val="18"/>
                <w:color w:val="51555C"/>
              </w:rPr>
              <w:t>By:   /s/ Chad M. Anderson</w:t>
            </w:r>
          </w:p>
        </w:tc>
      </w:tr>
      <w:tr>
        <w:trPr>
          <w:trHeight w:val="218"/>
        </w:trPr>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51555C"/>
              </w:rPr>
              <w:t>Chad M. Anderson</w:t>
            </w:r>
          </w:p>
        </w:tc>
      </w:tr>
      <w:tr>
        <w:trPr>
          <w:trHeight w:val="230"/>
        </w:trPr>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39"/>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788"/>
    </w:lvl>
  </w:abstractNum>
  <w:abstractNum w:abstractNumId="3">
    <w:nsid w:val="721DA317"/>
    <w:multiLevelType w:val="hybridMultilevel"/>
    <w:lvl w:ilvl="0">
      <w:lvlJc w:val="left"/>
      <w:lvlText w:val="(%1)"/>
      <w:numFmt w:val="decimal"/>
      <w:start w:val="221"/>
    </w:lvl>
  </w:abstractNum>
  <w:abstractNum w:abstractNumId="4">
    <w:nsid w:val="2443A858"/>
    <w:multiLevelType w:val="hybridMultilevel"/>
    <w:lvl w:ilvl="0">
      <w:lvlJc w:val="left"/>
      <w:lvlText w:val="%1"/>
      <w:numFmt w:val="decimal"/>
      <w:start w:val="699"/>
    </w:lvl>
  </w:abstractNum>
  <w:abstractNum w:abstractNumId="5">
    <w:nsid w:val="2D1D5AE9"/>
    <w:multiLevelType w:val="hybridMultilevel"/>
    <w:lvl w:ilvl="0">
      <w:lvlJc w:val="left"/>
      <w:lvlText w:val="(%1)"/>
      <w:numFmt w:val="decimal"/>
      <w:start w:val="688"/>
    </w:lvl>
  </w:abstractNum>
  <w:abstractNum w:abstractNumId="6">
    <w:nsid w:val="6763845E"/>
    <w:multiLevelType w:val="hybridMultilevel"/>
    <w:lvl w:ilvl="0">
      <w:lvlJc w:val="left"/>
      <w:lvlText w:val="6"/>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33" Type="http://schemas.openxmlformats.org/officeDocument/2006/relationships/hyperlink" Target="https://www.sec.gov/Archives/edgar/data/1280058/000128005825000014/blkbex101gianonicontract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2025-04-30T15:41:54Z</dcterms:created>
  <dcterms:modified xsi:type="dcterms:W3CDTF">2025-04-30T15:41:54Z</dcterms:modified>
</cp:coreProperties>
</file>